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1B26" w14:textId="77777777" w:rsidR="00E72FA3" w:rsidRPr="00D572ED" w:rsidRDefault="00E72FA3" w:rsidP="00E72FA3">
      <w:pPr>
        <w:rPr>
          <w:sz w:val="24"/>
          <w:szCs w:val="24"/>
          <w:lang w:val="en-US"/>
        </w:rPr>
      </w:pPr>
      <w:r>
        <w:rPr>
          <w:noProof/>
          <w:lang w:eastAsia="en-NZ"/>
        </w:rPr>
        <w:drawing>
          <wp:anchor distT="0" distB="0" distL="114300" distR="114300" simplePos="0" relativeHeight="251698687" behindDoc="0" locked="0" layoutInCell="1" allowOverlap="1" wp14:anchorId="1A3B13A7" wp14:editId="676DB55F">
            <wp:simplePos x="0" y="0"/>
            <wp:positionH relativeFrom="margin">
              <wp:align>right</wp:align>
            </wp:positionH>
            <wp:positionV relativeFrom="paragraph">
              <wp:posOffset>136525</wp:posOffset>
            </wp:positionV>
            <wp:extent cx="2934970" cy="650875"/>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4970" cy="65087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99711" behindDoc="0" locked="0" layoutInCell="1" allowOverlap="1" wp14:anchorId="76D3F731" wp14:editId="3CBF1267">
            <wp:simplePos x="0" y="0"/>
            <wp:positionH relativeFrom="margin">
              <wp:align>left</wp:align>
            </wp:positionH>
            <wp:positionV relativeFrom="paragraph">
              <wp:posOffset>-33655</wp:posOffset>
            </wp:positionV>
            <wp:extent cx="1804946" cy="1351721"/>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946" cy="13517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77399" w14:textId="77777777" w:rsidR="00E72FA3" w:rsidRDefault="00E72FA3" w:rsidP="00E72FA3">
      <w:pPr>
        <w:rPr>
          <w:sz w:val="24"/>
          <w:szCs w:val="24"/>
          <w:lang w:val="en-US"/>
        </w:rPr>
      </w:pPr>
      <w:r>
        <w:rPr>
          <w:sz w:val="24"/>
          <w:szCs w:val="24"/>
          <w:lang w:val="en-US"/>
        </w:rPr>
        <w:t xml:space="preserve">                             </w:t>
      </w:r>
    </w:p>
    <w:p w14:paraId="015A728D" w14:textId="77777777" w:rsidR="00E72FA3" w:rsidRDefault="00E72FA3" w:rsidP="00E72FA3">
      <w:pPr>
        <w:pStyle w:val="Heading1"/>
        <w:jc w:val="center"/>
        <w:rPr>
          <w:lang w:val="en-US"/>
        </w:rPr>
      </w:pPr>
    </w:p>
    <w:p w14:paraId="05E94706" w14:textId="77777777" w:rsidR="00E72FA3" w:rsidRDefault="00E72FA3" w:rsidP="00E72FA3">
      <w:pPr>
        <w:pStyle w:val="Heading1"/>
        <w:jc w:val="center"/>
        <w:rPr>
          <w:sz w:val="44"/>
          <w:szCs w:val="44"/>
          <w:lang w:val="en-US"/>
        </w:rPr>
      </w:pPr>
    </w:p>
    <w:p w14:paraId="61565357" w14:textId="7B64F972" w:rsidR="00E72FA3" w:rsidRPr="00E72FA3" w:rsidRDefault="00271AF2" w:rsidP="00E72FA3">
      <w:pPr>
        <w:pStyle w:val="Heading1"/>
        <w:jc w:val="center"/>
        <w:rPr>
          <w:color w:val="000000" w:themeColor="text1"/>
          <w:sz w:val="36"/>
          <w:szCs w:val="36"/>
          <w:lang w:val="en-US"/>
        </w:rPr>
      </w:pPr>
      <w:r>
        <w:rPr>
          <w:color w:val="000000" w:themeColor="text1"/>
          <w:sz w:val="36"/>
          <w:szCs w:val="36"/>
          <w:lang w:val="en-US"/>
        </w:rPr>
        <w:t>202</w:t>
      </w:r>
      <w:r w:rsidR="008E7C31">
        <w:rPr>
          <w:color w:val="000000" w:themeColor="text1"/>
          <w:sz w:val="36"/>
          <w:szCs w:val="36"/>
          <w:lang w:val="en-US"/>
        </w:rPr>
        <w:t>1</w:t>
      </w:r>
      <w:r>
        <w:rPr>
          <w:color w:val="000000" w:themeColor="text1"/>
          <w:sz w:val="36"/>
          <w:szCs w:val="36"/>
          <w:lang w:val="en-US"/>
        </w:rPr>
        <w:t xml:space="preserve"> </w:t>
      </w:r>
      <w:r w:rsidR="00E72FA3" w:rsidRPr="00E72FA3">
        <w:rPr>
          <w:color w:val="000000" w:themeColor="text1"/>
          <w:sz w:val="36"/>
          <w:szCs w:val="36"/>
          <w:lang w:val="en-US"/>
        </w:rPr>
        <w:t>Briefing to the Incoming Minister</w:t>
      </w:r>
      <w:r w:rsidR="005E7533">
        <w:rPr>
          <w:color w:val="000000" w:themeColor="text1"/>
          <w:sz w:val="36"/>
          <w:szCs w:val="36"/>
          <w:lang w:val="en-US"/>
        </w:rPr>
        <w:t>s</w:t>
      </w:r>
      <w:r w:rsidR="00E72FA3" w:rsidRPr="00E72FA3">
        <w:rPr>
          <w:color w:val="000000" w:themeColor="text1"/>
          <w:sz w:val="36"/>
          <w:szCs w:val="36"/>
          <w:lang w:val="en-US"/>
        </w:rPr>
        <w:t xml:space="preserve">: </w:t>
      </w:r>
    </w:p>
    <w:p w14:paraId="47C81717" w14:textId="0E64CF94" w:rsidR="00E72FA3" w:rsidRPr="00484E2D" w:rsidRDefault="009E2016" w:rsidP="00E72FA3">
      <w:pPr>
        <w:pStyle w:val="Heading1"/>
        <w:spacing w:before="0"/>
        <w:jc w:val="center"/>
        <w:rPr>
          <w:b/>
          <w:bCs/>
          <w:color w:val="538135" w:themeColor="accent6" w:themeShade="BF"/>
          <w:sz w:val="44"/>
          <w:szCs w:val="44"/>
          <w:lang w:val="en-US"/>
        </w:rPr>
      </w:pPr>
      <w:r w:rsidRPr="00484E2D">
        <w:rPr>
          <w:b/>
          <w:bCs/>
          <w:color w:val="538135" w:themeColor="accent6" w:themeShade="BF"/>
          <w:sz w:val="44"/>
          <w:szCs w:val="44"/>
          <w:lang w:val="en-US"/>
        </w:rPr>
        <w:t>Health</w:t>
      </w:r>
    </w:p>
    <w:p w14:paraId="622A9B47" w14:textId="77777777" w:rsidR="00E72FA3" w:rsidRPr="00271AF2" w:rsidRDefault="00E72FA3" w:rsidP="00E72FA3">
      <w:pPr>
        <w:pStyle w:val="Heading1"/>
        <w:jc w:val="center"/>
        <w:rPr>
          <w:b/>
          <w:bCs/>
          <w:color w:val="000000" w:themeColor="text1"/>
          <w:sz w:val="12"/>
          <w:szCs w:val="12"/>
          <w:lang w:val="en-US"/>
        </w:rPr>
      </w:pPr>
    </w:p>
    <w:p w14:paraId="6C7A7BEB" w14:textId="5C54593D" w:rsidR="00C66708" w:rsidRPr="00C66708" w:rsidRDefault="00E72FA3" w:rsidP="00C66708">
      <w:pPr>
        <w:spacing w:after="120"/>
        <w:rPr>
          <w:rFonts w:cstheme="minorHAnsi"/>
          <w:color w:val="000000" w:themeColor="text1"/>
          <w:sz w:val="24"/>
          <w:szCs w:val="24"/>
          <w:lang w:val="en-US"/>
        </w:rPr>
      </w:pPr>
      <w:r w:rsidRPr="00C66708">
        <w:rPr>
          <w:color w:val="000000" w:themeColor="text1"/>
          <w:sz w:val="24"/>
          <w:szCs w:val="24"/>
          <w:lang w:val="en-US"/>
        </w:rPr>
        <w:t xml:space="preserve">To: </w:t>
      </w:r>
      <w:r w:rsidR="00C66708" w:rsidRPr="00C66708">
        <w:rPr>
          <w:color w:val="000000" w:themeColor="text1"/>
          <w:sz w:val="24"/>
          <w:szCs w:val="24"/>
          <w:lang w:val="en-US"/>
        </w:rPr>
        <w:tab/>
      </w:r>
      <w:r w:rsidRPr="000A29BB">
        <w:rPr>
          <w:rFonts w:cstheme="minorHAnsi"/>
          <w:b/>
          <w:bCs/>
          <w:color w:val="000000" w:themeColor="text1"/>
          <w:sz w:val="24"/>
          <w:szCs w:val="24"/>
          <w:lang w:val="en-US"/>
        </w:rPr>
        <w:t xml:space="preserve">Hon. </w:t>
      </w:r>
      <w:r w:rsidR="009E2016" w:rsidRPr="000A29BB">
        <w:rPr>
          <w:rFonts w:cstheme="minorHAnsi"/>
          <w:b/>
          <w:bCs/>
          <w:color w:val="000000" w:themeColor="text1"/>
          <w:sz w:val="24"/>
          <w:szCs w:val="24"/>
          <w:lang w:val="en-US"/>
        </w:rPr>
        <w:t>Andrew Little</w:t>
      </w:r>
      <w:r w:rsidR="00C66708" w:rsidRPr="00C66708">
        <w:rPr>
          <w:rFonts w:cstheme="minorHAnsi"/>
          <w:color w:val="000000" w:themeColor="text1"/>
          <w:sz w:val="24"/>
          <w:szCs w:val="24"/>
          <w:lang w:val="en-US"/>
        </w:rPr>
        <w:t xml:space="preserve"> </w:t>
      </w:r>
      <w:r w:rsidR="000A29BB">
        <w:rPr>
          <w:rFonts w:cstheme="minorHAnsi"/>
          <w:color w:val="000000" w:themeColor="text1"/>
          <w:sz w:val="24"/>
          <w:szCs w:val="24"/>
          <w:lang w:val="en-US"/>
        </w:rPr>
        <w:tab/>
      </w:r>
      <w:r w:rsidR="000A29BB">
        <w:rPr>
          <w:rFonts w:cstheme="minorHAnsi"/>
          <w:color w:val="000000" w:themeColor="text1"/>
          <w:sz w:val="24"/>
          <w:szCs w:val="24"/>
          <w:lang w:val="en-US"/>
        </w:rPr>
        <w:tab/>
      </w:r>
      <w:r w:rsidRPr="00C66708">
        <w:rPr>
          <w:rFonts w:cstheme="minorHAnsi"/>
          <w:color w:val="000000" w:themeColor="text1"/>
          <w:sz w:val="24"/>
          <w:szCs w:val="24"/>
          <w:lang w:val="en-US"/>
        </w:rPr>
        <w:t xml:space="preserve">Minister </w:t>
      </w:r>
      <w:r w:rsidR="009E2016" w:rsidRPr="00C66708">
        <w:rPr>
          <w:rFonts w:cstheme="minorHAnsi"/>
          <w:color w:val="000000" w:themeColor="text1"/>
          <w:sz w:val="24"/>
          <w:szCs w:val="24"/>
          <w:lang w:val="en-US"/>
        </w:rPr>
        <w:t>of Health</w:t>
      </w:r>
    </w:p>
    <w:p w14:paraId="5A76B0AA" w14:textId="3C61CA24" w:rsidR="00C66708" w:rsidRPr="00C66708" w:rsidRDefault="009E2016" w:rsidP="000A29BB">
      <w:pPr>
        <w:ind w:left="3600" w:hanging="2880"/>
        <w:rPr>
          <w:rFonts w:cstheme="minorHAnsi"/>
          <w:color w:val="000000" w:themeColor="text1"/>
          <w:sz w:val="24"/>
          <w:szCs w:val="24"/>
          <w:lang w:val="en-US"/>
        </w:rPr>
      </w:pPr>
      <w:r w:rsidRPr="000A29BB">
        <w:rPr>
          <w:rFonts w:cstheme="minorHAnsi"/>
          <w:b/>
          <w:bCs/>
          <w:color w:val="000000" w:themeColor="text1"/>
          <w:sz w:val="24"/>
          <w:szCs w:val="24"/>
          <w:lang w:val="en-US"/>
        </w:rPr>
        <w:t xml:space="preserve">Hon. </w:t>
      </w:r>
      <w:proofErr w:type="spellStart"/>
      <w:r w:rsidRPr="000A29BB">
        <w:rPr>
          <w:rFonts w:cstheme="minorHAnsi"/>
          <w:b/>
          <w:bCs/>
          <w:color w:val="000000" w:themeColor="text1"/>
          <w:sz w:val="24"/>
          <w:szCs w:val="24"/>
          <w:lang w:val="en-US"/>
        </w:rPr>
        <w:t>Peeni</w:t>
      </w:r>
      <w:proofErr w:type="spellEnd"/>
      <w:r w:rsidRPr="000A29BB">
        <w:rPr>
          <w:rFonts w:cstheme="minorHAnsi"/>
          <w:b/>
          <w:bCs/>
          <w:color w:val="000000" w:themeColor="text1"/>
          <w:sz w:val="24"/>
          <w:szCs w:val="24"/>
          <w:lang w:val="en-US"/>
        </w:rPr>
        <w:t xml:space="preserve"> Henare</w:t>
      </w:r>
      <w:r w:rsidR="000A29BB">
        <w:rPr>
          <w:rFonts w:cstheme="minorHAnsi"/>
          <w:color w:val="000000" w:themeColor="text1"/>
          <w:sz w:val="24"/>
          <w:szCs w:val="24"/>
          <w:lang w:val="en-US"/>
        </w:rPr>
        <w:tab/>
      </w:r>
      <w:r w:rsidRPr="00C66708">
        <w:rPr>
          <w:rFonts w:cstheme="minorHAnsi"/>
          <w:color w:val="000000" w:themeColor="text1"/>
          <w:sz w:val="24"/>
          <w:szCs w:val="24"/>
          <w:lang w:val="en-US"/>
        </w:rPr>
        <w:t xml:space="preserve">Minister for </w:t>
      </w:r>
      <w:proofErr w:type="spellStart"/>
      <w:r w:rsidRPr="00C66708">
        <w:rPr>
          <w:rFonts w:cstheme="minorHAnsi"/>
          <w:color w:val="000000" w:themeColor="text1"/>
          <w:sz w:val="24"/>
          <w:szCs w:val="24"/>
          <w:lang w:val="en-US"/>
        </w:rPr>
        <w:t>Whānau</w:t>
      </w:r>
      <w:proofErr w:type="spellEnd"/>
      <w:r w:rsidRPr="00C66708">
        <w:rPr>
          <w:rFonts w:cstheme="minorHAnsi"/>
          <w:color w:val="000000" w:themeColor="text1"/>
          <w:sz w:val="24"/>
          <w:szCs w:val="24"/>
          <w:lang w:val="en-US"/>
        </w:rPr>
        <w:t xml:space="preserve"> Ora</w:t>
      </w:r>
      <w:r w:rsidR="000A29BB">
        <w:rPr>
          <w:rFonts w:cstheme="minorHAnsi"/>
          <w:color w:val="000000" w:themeColor="text1"/>
          <w:sz w:val="24"/>
          <w:szCs w:val="24"/>
          <w:lang w:val="en-US"/>
        </w:rPr>
        <w:br/>
      </w:r>
      <w:r w:rsidRPr="00C66708">
        <w:rPr>
          <w:rFonts w:cstheme="minorHAnsi"/>
          <w:color w:val="000000" w:themeColor="text1"/>
          <w:sz w:val="24"/>
          <w:szCs w:val="24"/>
          <w:lang w:val="en-US"/>
        </w:rPr>
        <w:t>Associate Minister for Māori Health</w:t>
      </w:r>
    </w:p>
    <w:p w14:paraId="7AEDC6B0" w14:textId="3C0458BC" w:rsidR="00BF6BE6" w:rsidRPr="00C66708" w:rsidRDefault="00C66708" w:rsidP="00C66708">
      <w:pPr>
        <w:ind w:firstLine="720"/>
        <w:rPr>
          <w:rFonts w:eastAsia="Times New Roman" w:cstheme="minorHAnsi"/>
          <w:color w:val="000000" w:themeColor="text1"/>
          <w:sz w:val="24"/>
          <w:szCs w:val="24"/>
          <w:lang w:eastAsia="en-NZ"/>
        </w:rPr>
      </w:pPr>
      <w:r w:rsidRPr="000A29BB">
        <w:rPr>
          <w:rFonts w:cstheme="minorHAnsi"/>
          <w:b/>
          <w:bCs/>
          <w:color w:val="000000" w:themeColor="text1"/>
          <w:sz w:val="24"/>
          <w:szCs w:val="24"/>
          <w:lang w:val="en-US"/>
        </w:rPr>
        <w:t xml:space="preserve">Hon. </w:t>
      </w:r>
      <w:r w:rsidR="00BF6BE6" w:rsidRPr="000A29BB">
        <w:rPr>
          <w:rFonts w:eastAsia="Times New Roman" w:cstheme="minorHAnsi"/>
          <w:b/>
          <w:bCs/>
          <w:color w:val="000000" w:themeColor="text1"/>
          <w:sz w:val="24"/>
          <w:szCs w:val="24"/>
          <w:lang w:eastAsia="en-NZ"/>
        </w:rPr>
        <w:t xml:space="preserve">Dr Ayesha </w:t>
      </w:r>
      <w:proofErr w:type="spellStart"/>
      <w:r w:rsidR="00BF6BE6" w:rsidRPr="000A29BB">
        <w:rPr>
          <w:rFonts w:eastAsia="Times New Roman" w:cstheme="minorHAnsi"/>
          <w:b/>
          <w:bCs/>
          <w:color w:val="000000" w:themeColor="text1"/>
          <w:sz w:val="24"/>
          <w:szCs w:val="24"/>
          <w:lang w:eastAsia="en-NZ"/>
        </w:rPr>
        <w:t>Verrall</w:t>
      </w:r>
      <w:proofErr w:type="spellEnd"/>
      <w:r w:rsidR="00BF6BE6" w:rsidRPr="00C66708">
        <w:rPr>
          <w:rFonts w:eastAsia="Times New Roman" w:cstheme="minorHAnsi"/>
          <w:color w:val="000000" w:themeColor="text1"/>
          <w:sz w:val="24"/>
          <w:szCs w:val="24"/>
          <w:lang w:eastAsia="en-NZ"/>
        </w:rPr>
        <w:t xml:space="preserve"> </w:t>
      </w:r>
      <w:r w:rsidR="000A29BB">
        <w:rPr>
          <w:rFonts w:eastAsia="Times New Roman" w:cstheme="minorHAnsi"/>
          <w:color w:val="000000" w:themeColor="text1"/>
          <w:sz w:val="24"/>
          <w:szCs w:val="24"/>
          <w:lang w:eastAsia="en-NZ"/>
        </w:rPr>
        <w:tab/>
      </w:r>
      <w:r w:rsidR="00BF6BE6" w:rsidRPr="00C66708">
        <w:rPr>
          <w:rFonts w:eastAsia="Times New Roman" w:cstheme="minorHAnsi"/>
          <w:color w:val="000000" w:themeColor="text1"/>
          <w:sz w:val="24"/>
          <w:szCs w:val="24"/>
          <w:lang w:eastAsia="en-NZ"/>
        </w:rPr>
        <w:t>Associate Minist</w:t>
      </w:r>
      <w:r w:rsidRPr="00C66708">
        <w:rPr>
          <w:rFonts w:eastAsia="Times New Roman" w:cstheme="minorHAnsi"/>
          <w:color w:val="000000" w:themeColor="text1"/>
          <w:sz w:val="24"/>
          <w:szCs w:val="24"/>
          <w:lang w:eastAsia="en-NZ"/>
        </w:rPr>
        <w:t>er</w:t>
      </w:r>
      <w:r w:rsidR="00BF6BE6" w:rsidRPr="00C66708">
        <w:rPr>
          <w:rFonts w:eastAsia="Times New Roman" w:cstheme="minorHAnsi"/>
          <w:color w:val="000000" w:themeColor="text1"/>
          <w:sz w:val="24"/>
          <w:szCs w:val="24"/>
          <w:lang w:eastAsia="en-NZ"/>
        </w:rPr>
        <w:t xml:space="preserve"> of Health</w:t>
      </w:r>
    </w:p>
    <w:p w14:paraId="437811BB" w14:textId="634665DC" w:rsidR="00C66708" w:rsidRPr="00C66708" w:rsidRDefault="00C66708" w:rsidP="00C66708">
      <w:pPr>
        <w:ind w:firstLine="720"/>
        <w:rPr>
          <w:rFonts w:cstheme="minorHAnsi"/>
          <w:color w:val="000000" w:themeColor="text1"/>
          <w:sz w:val="24"/>
          <w:szCs w:val="24"/>
          <w:lang w:val="en-US"/>
        </w:rPr>
      </w:pPr>
      <w:r w:rsidRPr="000A29BB">
        <w:rPr>
          <w:rFonts w:eastAsia="Times New Roman" w:cstheme="minorHAnsi"/>
          <w:b/>
          <w:bCs/>
          <w:color w:val="000000" w:themeColor="text1"/>
          <w:sz w:val="24"/>
          <w:szCs w:val="24"/>
          <w:lang w:eastAsia="en-NZ"/>
        </w:rPr>
        <w:t xml:space="preserve">Hon. </w:t>
      </w:r>
      <w:proofErr w:type="spellStart"/>
      <w:r w:rsidRPr="000A29BB">
        <w:rPr>
          <w:rFonts w:eastAsia="Times New Roman" w:cstheme="minorHAnsi"/>
          <w:b/>
          <w:bCs/>
          <w:color w:val="000000" w:themeColor="text1"/>
          <w:sz w:val="24"/>
          <w:szCs w:val="24"/>
          <w:lang w:eastAsia="en-NZ"/>
        </w:rPr>
        <w:t>Aupito</w:t>
      </w:r>
      <w:proofErr w:type="spellEnd"/>
      <w:r w:rsidRPr="000A29BB">
        <w:rPr>
          <w:rFonts w:eastAsia="Times New Roman" w:cstheme="minorHAnsi"/>
          <w:b/>
          <w:bCs/>
          <w:color w:val="000000" w:themeColor="text1"/>
          <w:sz w:val="24"/>
          <w:szCs w:val="24"/>
          <w:lang w:eastAsia="en-NZ"/>
        </w:rPr>
        <w:t xml:space="preserve"> William </w:t>
      </w:r>
      <w:proofErr w:type="spellStart"/>
      <w:r w:rsidRPr="000A29BB">
        <w:rPr>
          <w:rFonts w:eastAsia="Times New Roman" w:cstheme="minorHAnsi"/>
          <w:b/>
          <w:bCs/>
          <w:color w:val="000000" w:themeColor="text1"/>
          <w:sz w:val="24"/>
          <w:szCs w:val="24"/>
          <w:lang w:eastAsia="en-NZ"/>
        </w:rPr>
        <w:t>Sio</w:t>
      </w:r>
      <w:proofErr w:type="spellEnd"/>
      <w:r w:rsidRPr="00C66708">
        <w:rPr>
          <w:rFonts w:eastAsia="Times New Roman" w:cstheme="minorHAnsi"/>
          <w:color w:val="000000" w:themeColor="text1"/>
          <w:sz w:val="24"/>
          <w:szCs w:val="24"/>
          <w:lang w:eastAsia="en-NZ"/>
        </w:rPr>
        <w:t xml:space="preserve"> </w:t>
      </w:r>
      <w:r w:rsidR="000A29BB">
        <w:rPr>
          <w:rFonts w:eastAsia="Times New Roman" w:cstheme="minorHAnsi"/>
          <w:color w:val="000000" w:themeColor="text1"/>
          <w:sz w:val="24"/>
          <w:szCs w:val="24"/>
          <w:lang w:eastAsia="en-NZ"/>
        </w:rPr>
        <w:tab/>
      </w:r>
      <w:r w:rsidRPr="00C66708">
        <w:rPr>
          <w:rFonts w:eastAsia="Times New Roman" w:cstheme="minorHAnsi"/>
          <w:color w:val="000000" w:themeColor="text1"/>
          <w:sz w:val="24"/>
          <w:szCs w:val="24"/>
          <w:lang w:eastAsia="en-NZ"/>
        </w:rPr>
        <w:t>Associate Minister for Health, Pacific Peoples</w:t>
      </w:r>
    </w:p>
    <w:p w14:paraId="05E3E8EE" w14:textId="07A0D711" w:rsidR="00C66708" w:rsidRPr="00C66708" w:rsidRDefault="00C66708" w:rsidP="00C66708">
      <w:pPr>
        <w:ind w:firstLine="720"/>
        <w:rPr>
          <w:rFonts w:cstheme="minorHAnsi"/>
          <w:color w:val="000000" w:themeColor="text1"/>
          <w:sz w:val="24"/>
          <w:szCs w:val="24"/>
          <w:lang w:val="en-US"/>
        </w:rPr>
      </w:pPr>
      <w:r w:rsidRPr="000A29BB">
        <w:rPr>
          <w:rFonts w:cstheme="minorHAnsi"/>
          <w:b/>
          <w:bCs/>
          <w:color w:val="000000" w:themeColor="text1"/>
          <w:sz w:val="24"/>
          <w:szCs w:val="24"/>
          <w:lang w:val="en-US"/>
        </w:rPr>
        <w:t xml:space="preserve">Hon. </w:t>
      </w:r>
      <w:r w:rsidR="009E2016" w:rsidRPr="000A29BB">
        <w:rPr>
          <w:rFonts w:eastAsia="Times New Roman" w:cstheme="minorHAnsi"/>
          <w:b/>
          <w:bCs/>
          <w:color w:val="000000" w:themeColor="text1"/>
          <w:sz w:val="24"/>
          <w:szCs w:val="24"/>
          <w:lang w:eastAsia="en-NZ"/>
        </w:rPr>
        <w:t>Carmel Sepuloni</w:t>
      </w:r>
      <w:r w:rsidR="000A29BB">
        <w:rPr>
          <w:rFonts w:eastAsia="Times New Roman" w:cstheme="minorHAnsi"/>
          <w:color w:val="000000" w:themeColor="text1"/>
          <w:sz w:val="24"/>
          <w:szCs w:val="24"/>
          <w:lang w:eastAsia="en-NZ"/>
        </w:rPr>
        <w:tab/>
      </w:r>
      <w:r w:rsidR="000A29BB">
        <w:rPr>
          <w:rFonts w:eastAsia="Times New Roman" w:cstheme="minorHAnsi"/>
          <w:color w:val="000000" w:themeColor="text1"/>
          <w:sz w:val="24"/>
          <w:szCs w:val="24"/>
          <w:lang w:eastAsia="en-NZ"/>
        </w:rPr>
        <w:tab/>
      </w:r>
      <w:r w:rsidR="009E2016" w:rsidRPr="00C66708">
        <w:rPr>
          <w:rFonts w:eastAsia="Times New Roman" w:cstheme="minorHAnsi"/>
          <w:color w:val="000000" w:themeColor="text1"/>
          <w:sz w:val="24"/>
          <w:szCs w:val="24"/>
          <w:lang w:eastAsia="en-NZ"/>
        </w:rPr>
        <w:t>Minister for Disability Issues</w:t>
      </w:r>
    </w:p>
    <w:p w14:paraId="525CB728" w14:textId="4904C699" w:rsidR="009E2016" w:rsidRPr="00C66708" w:rsidRDefault="000A29BB" w:rsidP="00C66708">
      <w:pPr>
        <w:ind w:firstLine="720"/>
        <w:rPr>
          <w:rFonts w:cstheme="minorHAnsi"/>
          <w:color w:val="000000" w:themeColor="text1"/>
          <w:sz w:val="24"/>
          <w:szCs w:val="24"/>
          <w:lang w:val="en-US"/>
        </w:rPr>
      </w:pPr>
      <w:r w:rsidRPr="000A29BB">
        <w:rPr>
          <w:rFonts w:cstheme="minorHAnsi"/>
          <w:b/>
          <w:bCs/>
          <w:color w:val="000000" w:themeColor="text1"/>
          <w:sz w:val="24"/>
          <w:szCs w:val="24"/>
          <w:lang w:val="en-US"/>
        </w:rPr>
        <w:t xml:space="preserve">Rt </w:t>
      </w:r>
      <w:r w:rsidR="00C66708" w:rsidRPr="000A29BB">
        <w:rPr>
          <w:rFonts w:cstheme="minorHAnsi"/>
          <w:b/>
          <w:bCs/>
          <w:color w:val="000000" w:themeColor="text1"/>
          <w:sz w:val="24"/>
          <w:szCs w:val="24"/>
          <w:lang w:val="en-US"/>
        </w:rPr>
        <w:t xml:space="preserve">Hon. </w:t>
      </w:r>
      <w:r w:rsidR="009E2016" w:rsidRPr="000A29BB">
        <w:rPr>
          <w:rFonts w:cstheme="minorHAnsi"/>
          <w:b/>
          <w:bCs/>
          <w:color w:val="000000" w:themeColor="text1"/>
          <w:sz w:val="24"/>
          <w:szCs w:val="24"/>
          <w:lang w:val="en-US"/>
        </w:rPr>
        <w:t>Jacinda Ardern</w:t>
      </w:r>
      <w:r w:rsidR="009E2016" w:rsidRPr="00C66708">
        <w:rPr>
          <w:rFonts w:cstheme="minorHAnsi"/>
          <w:color w:val="000000" w:themeColor="text1"/>
          <w:sz w:val="24"/>
          <w:szCs w:val="24"/>
          <w:lang w:val="en-US"/>
        </w:rPr>
        <w:t xml:space="preserve"> </w:t>
      </w:r>
      <w:r>
        <w:rPr>
          <w:rFonts w:cstheme="minorHAnsi"/>
          <w:color w:val="000000" w:themeColor="text1"/>
          <w:sz w:val="24"/>
          <w:szCs w:val="24"/>
          <w:lang w:val="en-US"/>
        </w:rPr>
        <w:tab/>
      </w:r>
      <w:r w:rsidR="009E2016" w:rsidRPr="00C66708">
        <w:rPr>
          <w:rFonts w:cstheme="minorHAnsi"/>
          <w:color w:val="000000" w:themeColor="text1"/>
          <w:sz w:val="24"/>
          <w:szCs w:val="24"/>
          <w:lang w:val="en-US"/>
        </w:rPr>
        <w:t>Minister for Child Poverty Reduction</w:t>
      </w:r>
    </w:p>
    <w:p w14:paraId="45A56E6A" w14:textId="77777777" w:rsidR="009E2016" w:rsidRPr="00C66708" w:rsidRDefault="009E2016" w:rsidP="009E2016">
      <w:pPr>
        <w:pStyle w:val="ListParagraph"/>
        <w:spacing w:after="0"/>
        <w:ind w:left="1440"/>
        <w:rPr>
          <w:rFonts w:eastAsia="Times New Roman" w:cstheme="minorHAnsi"/>
          <w:color w:val="000000" w:themeColor="text1"/>
          <w:lang w:eastAsia="en-NZ"/>
        </w:rPr>
      </w:pPr>
    </w:p>
    <w:p w14:paraId="518F33F0" w14:textId="77777777" w:rsidR="00E72FA3" w:rsidRPr="00C66708" w:rsidRDefault="00E72FA3" w:rsidP="00E72FA3">
      <w:pPr>
        <w:spacing w:after="0"/>
        <w:rPr>
          <w:rFonts w:cstheme="minorHAnsi"/>
          <w:lang w:val="en-US"/>
        </w:rPr>
      </w:pPr>
    </w:p>
    <w:p w14:paraId="7DC86C67" w14:textId="77777777" w:rsidR="00E72FA3" w:rsidRDefault="00E72FA3" w:rsidP="00E72FA3">
      <w:pPr>
        <w:spacing w:after="0"/>
        <w:rPr>
          <w:lang w:val="en-US"/>
        </w:rPr>
      </w:pPr>
    </w:p>
    <w:p w14:paraId="4D4D6DF6" w14:textId="77777777" w:rsidR="00E72FA3" w:rsidRPr="00EF30D2" w:rsidRDefault="00E72FA3" w:rsidP="00E72FA3">
      <w:pPr>
        <w:rPr>
          <w:b/>
          <w:bCs/>
          <w:lang w:val="en-US"/>
        </w:rPr>
      </w:pPr>
      <w:r w:rsidRPr="00EF30D2">
        <w:rPr>
          <w:b/>
          <w:bCs/>
          <w:lang w:val="en-US"/>
        </w:rPr>
        <w:t xml:space="preserve">The vision of Child Poverty Action Group is </w:t>
      </w:r>
    </w:p>
    <w:p w14:paraId="01BF2FEA" w14:textId="1C7641BF" w:rsidR="00E72FA3" w:rsidRDefault="00E72FA3" w:rsidP="00E72FA3">
      <w:pPr>
        <w:rPr>
          <w:color w:val="538135" w:themeColor="accent6" w:themeShade="BF"/>
          <w:lang w:val="en-US"/>
        </w:rPr>
      </w:pPr>
      <w:r w:rsidRPr="00250BF4">
        <w:rPr>
          <w:color w:val="538135" w:themeColor="accent6" w:themeShade="BF"/>
          <w:sz w:val="36"/>
          <w:szCs w:val="36"/>
          <w:lang w:val="en-US"/>
        </w:rPr>
        <w:t>An Aotearoa where all children flourish free from poverty</w:t>
      </w:r>
      <w:r>
        <w:rPr>
          <w:color w:val="538135" w:themeColor="accent6" w:themeShade="BF"/>
          <w:sz w:val="36"/>
          <w:szCs w:val="36"/>
          <w:lang w:val="en-US"/>
        </w:rPr>
        <w:t>.</w:t>
      </w:r>
      <w:r w:rsidRPr="00250BF4">
        <w:rPr>
          <w:color w:val="538135" w:themeColor="accent6" w:themeShade="BF"/>
          <w:lang w:val="en-US"/>
        </w:rPr>
        <w:br/>
      </w:r>
    </w:p>
    <w:p w14:paraId="1E9DC414" w14:textId="474FD840" w:rsidR="00E72FA3" w:rsidRPr="00EF30D2" w:rsidRDefault="00E72FA3" w:rsidP="00E72FA3">
      <w:pPr>
        <w:rPr>
          <w:b/>
          <w:bCs/>
          <w:sz w:val="28"/>
          <w:szCs w:val="28"/>
          <w:lang w:val="en-US"/>
        </w:rPr>
      </w:pPr>
      <w:r w:rsidRPr="00EF30D2">
        <w:rPr>
          <w:b/>
          <w:bCs/>
          <w:sz w:val="28"/>
          <w:szCs w:val="28"/>
          <w:lang w:val="en-US"/>
        </w:rPr>
        <w:t>About Child Poverty Action Group</w:t>
      </w:r>
    </w:p>
    <w:p w14:paraId="08203E8F" w14:textId="77777777" w:rsidR="00E72FA3" w:rsidRPr="00250BF4" w:rsidRDefault="00E72FA3" w:rsidP="00E72FA3">
      <w:pPr>
        <w:spacing w:after="60"/>
        <w:rPr>
          <w:sz w:val="24"/>
          <w:szCs w:val="24"/>
          <w:lang w:val="en-US"/>
        </w:rPr>
      </w:pPr>
      <w:r w:rsidRPr="00250BF4">
        <w:rPr>
          <w:sz w:val="24"/>
          <w:szCs w:val="24"/>
          <w:lang w:val="en-US"/>
        </w:rPr>
        <w:t xml:space="preserve">Child Poverty Action Group (CPAG) is an independent, registered charity founded in 1994 which works to eliminate child poverty in New Zealand through research, education and advocacy. </w:t>
      </w:r>
      <w:r>
        <w:rPr>
          <w:sz w:val="24"/>
          <w:szCs w:val="24"/>
          <w:lang w:val="en-US"/>
        </w:rPr>
        <w:t xml:space="preserve"> </w:t>
      </w:r>
    </w:p>
    <w:p w14:paraId="14AE4279" w14:textId="77777777" w:rsidR="00EF30D2" w:rsidRPr="00250BF4" w:rsidRDefault="00EF30D2" w:rsidP="00EF30D2">
      <w:pPr>
        <w:spacing w:after="60"/>
        <w:rPr>
          <w:sz w:val="24"/>
          <w:szCs w:val="24"/>
          <w:lang w:val="en-US"/>
        </w:rPr>
      </w:pPr>
      <w:r w:rsidRPr="00250BF4">
        <w:rPr>
          <w:sz w:val="24"/>
          <w:szCs w:val="24"/>
          <w:lang w:val="en-US"/>
        </w:rPr>
        <w:t xml:space="preserve">We envisage an Aotearoa where our society shows respect, generosity and care for </w:t>
      </w:r>
      <w:r w:rsidRPr="00250BF4">
        <w:rPr>
          <w:i/>
          <w:iCs/>
          <w:sz w:val="24"/>
          <w:szCs w:val="24"/>
          <w:lang w:val="en-US"/>
        </w:rPr>
        <w:t>all</w:t>
      </w:r>
      <w:r w:rsidRPr="00250BF4">
        <w:rPr>
          <w:sz w:val="24"/>
          <w:szCs w:val="24"/>
          <w:lang w:val="en-US"/>
        </w:rPr>
        <w:t xml:space="preserve"> children.</w:t>
      </w:r>
    </w:p>
    <w:p w14:paraId="580CA4CD" w14:textId="77777777" w:rsidR="00E72FA3" w:rsidRPr="00250BF4" w:rsidRDefault="00E72FA3" w:rsidP="00E72FA3">
      <w:pPr>
        <w:spacing w:after="60"/>
        <w:rPr>
          <w:sz w:val="24"/>
          <w:szCs w:val="24"/>
          <w:lang w:val="en-US"/>
        </w:rPr>
      </w:pPr>
      <w:r w:rsidRPr="00250BF4">
        <w:rPr>
          <w:sz w:val="24"/>
          <w:szCs w:val="24"/>
          <w:lang w:val="en-US"/>
        </w:rPr>
        <w:t xml:space="preserve">We focus on eliminating poverty for </w:t>
      </w:r>
      <w:r w:rsidRPr="00250BF4">
        <w:rPr>
          <w:i/>
          <w:iCs/>
          <w:sz w:val="24"/>
          <w:szCs w:val="24"/>
          <w:lang w:val="en-US"/>
        </w:rPr>
        <w:t>children</w:t>
      </w:r>
      <w:r w:rsidRPr="00250BF4">
        <w:rPr>
          <w:sz w:val="24"/>
          <w:szCs w:val="24"/>
          <w:lang w:val="en-US"/>
        </w:rPr>
        <w:t xml:space="preserve"> because:</w:t>
      </w:r>
    </w:p>
    <w:p w14:paraId="781B36CB" w14:textId="03EA347F" w:rsidR="00E72FA3" w:rsidRPr="00250BF4" w:rsidRDefault="00E72FA3" w:rsidP="00E72FA3">
      <w:pPr>
        <w:pStyle w:val="ListParagraph"/>
        <w:numPr>
          <w:ilvl w:val="0"/>
          <w:numId w:val="8"/>
        </w:numPr>
        <w:rPr>
          <w:sz w:val="24"/>
          <w:szCs w:val="24"/>
          <w:lang w:val="en-US"/>
        </w:rPr>
      </w:pPr>
      <w:r w:rsidRPr="00250BF4">
        <w:rPr>
          <w:b/>
          <w:bCs/>
          <w:sz w:val="24"/>
          <w:szCs w:val="24"/>
          <w:lang w:val="en-US"/>
        </w:rPr>
        <w:t>Overall effects of poverty are worse for children</w:t>
      </w:r>
      <w:r w:rsidRPr="00250BF4">
        <w:rPr>
          <w:sz w:val="24"/>
          <w:szCs w:val="24"/>
          <w:lang w:val="en-US"/>
        </w:rPr>
        <w:t xml:space="preserve">: Child development is adversely affected by poverty, </w:t>
      </w:r>
      <w:r>
        <w:rPr>
          <w:sz w:val="24"/>
          <w:szCs w:val="24"/>
          <w:lang w:val="en-US"/>
        </w:rPr>
        <w:t xml:space="preserve">&amp; </w:t>
      </w:r>
      <w:r w:rsidRPr="00250BF4">
        <w:rPr>
          <w:sz w:val="24"/>
          <w:szCs w:val="24"/>
          <w:lang w:val="en-US"/>
        </w:rPr>
        <w:t>can lead to detrimental effects for an entire life.</w:t>
      </w:r>
      <w:r>
        <w:rPr>
          <w:sz w:val="24"/>
          <w:szCs w:val="24"/>
          <w:lang w:val="en-US"/>
        </w:rPr>
        <w:t xml:space="preserve"> (</w:t>
      </w:r>
      <w:hyperlink w:anchor="_Appendix_1:_The" w:history="1">
        <w:r w:rsidRPr="00B3689B">
          <w:rPr>
            <w:rStyle w:val="Hyperlink"/>
            <w:sz w:val="24"/>
            <w:szCs w:val="24"/>
            <w:lang w:val="en-US"/>
          </w:rPr>
          <w:t>Appendix 1</w:t>
        </w:r>
      </w:hyperlink>
      <w:r>
        <w:rPr>
          <w:sz w:val="24"/>
          <w:szCs w:val="24"/>
          <w:lang w:val="en-US"/>
        </w:rPr>
        <w:t>)</w:t>
      </w:r>
    </w:p>
    <w:p w14:paraId="66675FE6" w14:textId="1B5F7B2A" w:rsidR="00E72FA3" w:rsidRDefault="00E72FA3" w:rsidP="00E72FA3">
      <w:pPr>
        <w:pStyle w:val="ListParagraph"/>
        <w:numPr>
          <w:ilvl w:val="0"/>
          <w:numId w:val="8"/>
        </w:numPr>
        <w:rPr>
          <w:sz w:val="24"/>
          <w:szCs w:val="24"/>
          <w:lang w:val="en-US"/>
        </w:rPr>
      </w:pPr>
      <w:r w:rsidRPr="00250BF4">
        <w:rPr>
          <w:b/>
          <w:bCs/>
          <w:sz w:val="24"/>
          <w:szCs w:val="24"/>
          <w:lang w:val="en-US"/>
        </w:rPr>
        <w:t xml:space="preserve">Children are more likely to experience poverty: </w:t>
      </w:r>
      <w:r w:rsidRPr="00250BF4">
        <w:rPr>
          <w:sz w:val="24"/>
          <w:szCs w:val="24"/>
          <w:lang w:val="en-US"/>
        </w:rPr>
        <w:t>Children are over-represented among those in deprived households</w:t>
      </w:r>
      <w:r>
        <w:rPr>
          <w:sz w:val="24"/>
          <w:szCs w:val="24"/>
          <w:lang w:val="en-US"/>
        </w:rPr>
        <w:t xml:space="preserve"> (</w:t>
      </w:r>
      <w:hyperlink w:anchor="_Appendix_2:_Children" w:history="1">
        <w:r w:rsidRPr="00B3689B">
          <w:rPr>
            <w:rStyle w:val="Hyperlink"/>
            <w:sz w:val="24"/>
            <w:szCs w:val="24"/>
            <w:lang w:val="en-US"/>
          </w:rPr>
          <w:t>Appendix 2</w:t>
        </w:r>
      </w:hyperlink>
      <w:r>
        <w:rPr>
          <w:sz w:val="24"/>
          <w:szCs w:val="24"/>
          <w:lang w:val="en-US"/>
        </w:rPr>
        <w:t>)</w:t>
      </w:r>
    </w:p>
    <w:p w14:paraId="2E805F7E" w14:textId="369DFFB4" w:rsidR="00E72FA3" w:rsidRPr="00E72FA3" w:rsidRDefault="00E72FA3" w:rsidP="00E72FA3">
      <w:pPr>
        <w:pStyle w:val="ListParagraph"/>
        <w:numPr>
          <w:ilvl w:val="0"/>
          <w:numId w:val="8"/>
        </w:numPr>
        <w:rPr>
          <w:sz w:val="24"/>
          <w:szCs w:val="24"/>
          <w:lang w:val="en-US"/>
        </w:rPr>
      </w:pPr>
      <w:r w:rsidRPr="00E72FA3">
        <w:rPr>
          <w:b/>
          <w:bCs/>
          <w:sz w:val="24"/>
          <w:szCs w:val="24"/>
          <w:lang w:val="en-US"/>
        </w:rPr>
        <w:t xml:space="preserve">Children don’t get a say: </w:t>
      </w:r>
      <w:r w:rsidRPr="00E72FA3">
        <w:rPr>
          <w:sz w:val="24"/>
          <w:szCs w:val="24"/>
          <w:lang w:val="en-US"/>
        </w:rPr>
        <w:t>Decisions affecting children are made without their input; democracy involves only adults.</w:t>
      </w:r>
      <w:r w:rsidRPr="00E72FA3">
        <w:rPr>
          <w:color w:val="538135" w:themeColor="accent6" w:themeShade="BF"/>
          <w:sz w:val="24"/>
          <w:szCs w:val="24"/>
          <w:lang w:val="en-US"/>
        </w:rPr>
        <w:br w:type="page"/>
      </w:r>
    </w:p>
    <w:p w14:paraId="0DDC388C" w14:textId="18A48B44" w:rsidR="00E72FA3" w:rsidRPr="001F5A9C" w:rsidRDefault="00E72FA3" w:rsidP="00E72FA3">
      <w:pPr>
        <w:rPr>
          <w:rFonts w:asciiTheme="majorHAnsi" w:hAnsiTheme="majorHAnsi" w:cstheme="majorHAnsi"/>
          <w:color w:val="538135" w:themeColor="accent6" w:themeShade="BF"/>
          <w:sz w:val="32"/>
          <w:szCs w:val="32"/>
          <w:lang w:val="en-US"/>
        </w:rPr>
      </w:pPr>
      <w:proofErr w:type="spellStart"/>
      <w:r w:rsidRPr="001F5A9C">
        <w:rPr>
          <w:rFonts w:asciiTheme="majorHAnsi" w:hAnsiTheme="majorHAnsi" w:cstheme="majorHAnsi"/>
          <w:color w:val="538135" w:themeColor="accent6" w:themeShade="BF"/>
          <w:sz w:val="32"/>
          <w:szCs w:val="32"/>
          <w:lang w:val="en-US"/>
        </w:rPr>
        <w:lastRenderedPageBreak/>
        <w:t>Tēnā</w:t>
      </w:r>
      <w:proofErr w:type="spellEnd"/>
      <w:r w:rsidRPr="001F5A9C">
        <w:rPr>
          <w:rFonts w:asciiTheme="majorHAnsi" w:hAnsiTheme="majorHAnsi" w:cstheme="majorHAnsi"/>
          <w:color w:val="538135" w:themeColor="accent6" w:themeShade="BF"/>
          <w:sz w:val="32"/>
          <w:szCs w:val="32"/>
          <w:lang w:val="en-US"/>
        </w:rPr>
        <w:t xml:space="preserve"> k</w:t>
      </w:r>
      <w:r w:rsidR="00012E7B" w:rsidRPr="001F5A9C">
        <w:rPr>
          <w:rFonts w:asciiTheme="majorHAnsi" w:hAnsiTheme="majorHAnsi" w:cstheme="majorHAnsi"/>
          <w:color w:val="538135" w:themeColor="accent6" w:themeShade="BF"/>
          <w:sz w:val="32"/>
          <w:szCs w:val="32"/>
          <w:lang w:val="en-US"/>
        </w:rPr>
        <w:t>outou</w:t>
      </w:r>
      <w:r w:rsidRPr="001F5A9C">
        <w:rPr>
          <w:rFonts w:asciiTheme="majorHAnsi" w:hAnsiTheme="majorHAnsi" w:cstheme="majorHAnsi"/>
          <w:color w:val="538135" w:themeColor="accent6" w:themeShade="BF"/>
          <w:sz w:val="32"/>
          <w:szCs w:val="32"/>
          <w:lang w:val="en-US"/>
        </w:rPr>
        <w:t xml:space="preserve"> Minister</w:t>
      </w:r>
      <w:r w:rsidR="009E2016" w:rsidRPr="001F5A9C">
        <w:rPr>
          <w:rFonts w:asciiTheme="majorHAnsi" w:hAnsiTheme="majorHAnsi" w:cstheme="majorHAnsi"/>
          <w:color w:val="538135" w:themeColor="accent6" w:themeShade="BF"/>
          <w:sz w:val="32"/>
          <w:szCs w:val="32"/>
          <w:lang w:val="en-US"/>
        </w:rPr>
        <w:t>s</w:t>
      </w:r>
      <w:r w:rsidRPr="001F5A9C">
        <w:rPr>
          <w:rFonts w:asciiTheme="majorHAnsi" w:hAnsiTheme="majorHAnsi" w:cstheme="majorHAnsi"/>
          <w:color w:val="538135" w:themeColor="accent6" w:themeShade="BF"/>
          <w:sz w:val="32"/>
          <w:szCs w:val="32"/>
          <w:lang w:val="en-US"/>
        </w:rPr>
        <w:t>,</w:t>
      </w:r>
    </w:p>
    <w:p w14:paraId="5472092E" w14:textId="6AF7A5D9" w:rsidR="00E72FA3" w:rsidRPr="00250BF4" w:rsidRDefault="00E72FA3" w:rsidP="003439EA">
      <w:pPr>
        <w:spacing w:after="120"/>
        <w:rPr>
          <w:sz w:val="24"/>
          <w:szCs w:val="24"/>
          <w:lang w:val="en-US"/>
        </w:rPr>
      </w:pPr>
      <w:r w:rsidRPr="00250BF4">
        <w:rPr>
          <w:sz w:val="24"/>
          <w:szCs w:val="24"/>
          <w:lang w:val="en-US"/>
        </w:rPr>
        <w:t>Congratulations on your appointment</w:t>
      </w:r>
      <w:r w:rsidR="009E2016">
        <w:rPr>
          <w:sz w:val="24"/>
          <w:szCs w:val="24"/>
          <w:lang w:val="en-US"/>
        </w:rPr>
        <w:t>s</w:t>
      </w:r>
      <w:r w:rsidRPr="00250BF4">
        <w:rPr>
          <w:sz w:val="24"/>
          <w:szCs w:val="24"/>
          <w:lang w:val="en-US"/>
        </w:rPr>
        <w:t xml:space="preserve"> </w:t>
      </w:r>
      <w:r>
        <w:rPr>
          <w:sz w:val="24"/>
          <w:szCs w:val="24"/>
          <w:lang w:val="en-US"/>
        </w:rPr>
        <w:t xml:space="preserve">to the </w:t>
      </w:r>
      <w:r w:rsidRPr="00250BF4">
        <w:rPr>
          <w:sz w:val="24"/>
          <w:szCs w:val="24"/>
          <w:lang w:val="en-US"/>
        </w:rPr>
        <w:t xml:space="preserve">important </w:t>
      </w:r>
      <w:r>
        <w:rPr>
          <w:sz w:val="24"/>
          <w:szCs w:val="24"/>
          <w:lang w:val="en-US"/>
        </w:rPr>
        <w:t xml:space="preserve">ministerial </w:t>
      </w:r>
      <w:r w:rsidRPr="00250BF4">
        <w:rPr>
          <w:sz w:val="24"/>
          <w:szCs w:val="24"/>
          <w:lang w:val="en-US"/>
        </w:rPr>
        <w:t>por</w:t>
      </w:r>
      <w:r>
        <w:rPr>
          <w:sz w:val="24"/>
          <w:szCs w:val="24"/>
          <w:lang w:val="en-US"/>
        </w:rPr>
        <w:t>t</w:t>
      </w:r>
      <w:r w:rsidRPr="00250BF4">
        <w:rPr>
          <w:sz w:val="24"/>
          <w:szCs w:val="24"/>
          <w:lang w:val="en-US"/>
        </w:rPr>
        <w:t>folios</w:t>
      </w:r>
      <w:r>
        <w:rPr>
          <w:sz w:val="24"/>
          <w:szCs w:val="24"/>
          <w:lang w:val="en-US"/>
        </w:rPr>
        <w:t xml:space="preserve"> of </w:t>
      </w:r>
      <w:r w:rsidR="009E2016">
        <w:rPr>
          <w:sz w:val="24"/>
          <w:szCs w:val="24"/>
          <w:lang w:val="en-US"/>
        </w:rPr>
        <w:t xml:space="preserve">Health, </w:t>
      </w:r>
      <w:proofErr w:type="spellStart"/>
      <w:r w:rsidR="009E2016">
        <w:rPr>
          <w:sz w:val="24"/>
          <w:szCs w:val="24"/>
          <w:lang w:val="en-US"/>
        </w:rPr>
        <w:t>Whānau</w:t>
      </w:r>
      <w:proofErr w:type="spellEnd"/>
      <w:r w:rsidR="009E2016">
        <w:rPr>
          <w:sz w:val="24"/>
          <w:szCs w:val="24"/>
          <w:lang w:val="en-US"/>
        </w:rPr>
        <w:t xml:space="preserve"> Ora</w:t>
      </w:r>
      <w:r w:rsidR="00C66708">
        <w:rPr>
          <w:sz w:val="24"/>
          <w:szCs w:val="24"/>
          <w:lang w:val="en-US"/>
        </w:rPr>
        <w:t>, Disabilities and Child Poverty Reduction</w:t>
      </w:r>
      <w:r w:rsidRPr="00250BF4">
        <w:rPr>
          <w:sz w:val="24"/>
          <w:szCs w:val="24"/>
          <w:lang w:val="en-US"/>
        </w:rPr>
        <w:t>.</w:t>
      </w:r>
    </w:p>
    <w:p w14:paraId="35D71E00" w14:textId="412662F0" w:rsidR="00E72FA3" w:rsidRPr="00250BF4" w:rsidRDefault="00E72FA3" w:rsidP="003439EA">
      <w:pPr>
        <w:spacing w:after="120"/>
        <w:rPr>
          <w:sz w:val="24"/>
          <w:szCs w:val="24"/>
          <w:lang w:val="en-US"/>
        </w:rPr>
      </w:pPr>
      <w:r>
        <w:rPr>
          <w:sz w:val="24"/>
          <w:szCs w:val="24"/>
          <w:lang w:val="en-US"/>
        </w:rPr>
        <w:t xml:space="preserve">Through these </w:t>
      </w:r>
      <w:r w:rsidRPr="00250BF4">
        <w:rPr>
          <w:sz w:val="24"/>
          <w:szCs w:val="24"/>
          <w:lang w:val="en-US"/>
        </w:rPr>
        <w:t>responsibilities, you have key leadership role</w:t>
      </w:r>
      <w:r w:rsidR="003C7825">
        <w:rPr>
          <w:sz w:val="24"/>
          <w:szCs w:val="24"/>
          <w:lang w:val="en-US"/>
        </w:rPr>
        <w:t>s</w:t>
      </w:r>
      <w:r w:rsidRPr="00250BF4">
        <w:rPr>
          <w:sz w:val="24"/>
          <w:szCs w:val="24"/>
          <w:lang w:val="en-US"/>
        </w:rPr>
        <w:t xml:space="preserve"> to play in </w:t>
      </w:r>
      <w:r w:rsidR="003C7825" w:rsidRPr="00250BF4">
        <w:rPr>
          <w:sz w:val="24"/>
          <w:szCs w:val="24"/>
          <w:lang w:val="en-US"/>
        </w:rPr>
        <w:t>ensuring Aotearoa New Zealand is a good place to be a child</w:t>
      </w:r>
      <w:r w:rsidR="003C7825">
        <w:rPr>
          <w:sz w:val="24"/>
          <w:szCs w:val="24"/>
          <w:lang w:val="en-US"/>
        </w:rPr>
        <w:t xml:space="preserve">; and in </w:t>
      </w:r>
      <w:r w:rsidRPr="00250BF4">
        <w:rPr>
          <w:sz w:val="24"/>
          <w:szCs w:val="24"/>
          <w:lang w:val="en-US"/>
        </w:rPr>
        <w:t xml:space="preserve">freeing children from </w:t>
      </w:r>
      <w:r w:rsidR="009E2016">
        <w:rPr>
          <w:sz w:val="24"/>
          <w:szCs w:val="24"/>
          <w:lang w:val="en-US"/>
        </w:rPr>
        <w:t xml:space="preserve">the effects of </w:t>
      </w:r>
      <w:r w:rsidR="003C7825">
        <w:rPr>
          <w:sz w:val="24"/>
          <w:szCs w:val="24"/>
          <w:lang w:val="en-US"/>
        </w:rPr>
        <w:t xml:space="preserve">the interaction between </w:t>
      </w:r>
      <w:r w:rsidRPr="00250BF4">
        <w:rPr>
          <w:sz w:val="24"/>
          <w:szCs w:val="24"/>
          <w:lang w:val="en-US"/>
        </w:rPr>
        <w:t>poverty</w:t>
      </w:r>
      <w:r w:rsidR="003C7825">
        <w:rPr>
          <w:sz w:val="24"/>
          <w:szCs w:val="24"/>
          <w:lang w:val="en-US"/>
        </w:rPr>
        <w:t xml:space="preserve"> and </w:t>
      </w:r>
      <w:r w:rsidR="009E2016">
        <w:rPr>
          <w:sz w:val="24"/>
          <w:szCs w:val="24"/>
          <w:lang w:val="en-US"/>
        </w:rPr>
        <w:t>ill health</w:t>
      </w:r>
      <w:r w:rsidR="00EE6C93">
        <w:rPr>
          <w:sz w:val="24"/>
          <w:szCs w:val="24"/>
          <w:lang w:val="en-US"/>
        </w:rPr>
        <w:t>, both of which can exacerbate the other</w:t>
      </w:r>
      <w:r w:rsidRPr="00250BF4">
        <w:rPr>
          <w:sz w:val="24"/>
          <w:szCs w:val="24"/>
          <w:lang w:val="en-US"/>
        </w:rPr>
        <w:t xml:space="preserve">. </w:t>
      </w:r>
    </w:p>
    <w:p w14:paraId="18A6BC3F" w14:textId="24575A62" w:rsidR="00E72FA3" w:rsidRDefault="00E72FA3" w:rsidP="003439EA">
      <w:pPr>
        <w:spacing w:after="120"/>
        <w:rPr>
          <w:sz w:val="24"/>
          <w:szCs w:val="24"/>
          <w:lang w:val="en-US"/>
        </w:rPr>
      </w:pPr>
      <w:r w:rsidRPr="00250BF4">
        <w:rPr>
          <w:sz w:val="24"/>
          <w:szCs w:val="24"/>
          <w:lang w:val="en-US"/>
        </w:rPr>
        <w:t xml:space="preserve">In this briefing, we offer </w:t>
      </w:r>
      <w:r w:rsidR="00A856E0">
        <w:rPr>
          <w:sz w:val="24"/>
          <w:szCs w:val="24"/>
          <w:lang w:val="en-US"/>
        </w:rPr>
        <w:t>recommendations</w:t>
      </w:r>
      <w:r w:rsidR="00D25B8F">
        <w:rPr>
          <w:sz w:val="24"/>
          <w:szCs w:val="24"/>
          <w:lang w:val="en-US"/>
        </w:rPr>
        <w:t xml:space="preserve">, many of which are based on </w:t>
      </w:r>
      <w:r w:rsidR="003C7825">
        <w:rPr>
          <w:sz w:val="24"/>
          <w:szCs w:val="24"/>
          <w:lang w:val="en-US"/>
        </w:rPr>
        <w:t>our response to the recent Health and Disability System Review</w:t>
      </w:r>
      <w:r w:rsidR="00D25B8F">
        <w:rPr>
          <w:sz w:val="24"/>
          <w:szCs w:val="24"/>
          <w:lang w:val="en-US"/>
        </w:rPr>
        <w:t xml:space="preserve"> (H&amp;DSR)</w:t>
      </w:r>
      <w:r w:rsidR="00A856E0">
        <w:rPr>
          <w:sz w:val="24"/>
          <w:szCs w:val="24"/>
          <w:lang w:val="en-US"/>
        </w:rPr>
        <w:t xml:space="preserve"> (full response in </w:t>
      </w:r>
      <w:hyperlink w:anchor="_Appendix_4:_CPAG" w:history="1">
        <w:r w:rsidR="00A856E0" w:rsidRPr="00313759">
          <w:rPr>
            <w:rStyle w:val="Hyperlink"/>
            <w:sz w:val="24"/>
            <w:szCs w:val="24"/>
            <w:lang w:val="en-US"/>
          </w:rPr>
          <w:t>Appendix 4</w:t>
        </w:r>
      </w:hyperlink>
      <w:r w:rsidR="00A856E0">
        <w:rPr>
          <w:sz w:val="24"/>
          <w:szCs w:val="24"/>
          <w:lang w:val="en-US"/>
        </w:rPr>
        <w:t>)</w:t>
      </w:r>
      <w:r w:rsidR="003C7825">
        <w:rPr>
          <w:sz w:val="24"/>
          <w:szCs w:val="24"/>
          <w:lang w:val="en-US"/>
        </w:rPr>
        <w:t xml:space="preserve">, and </w:t>
      </w:r>
      <w:r w:rsidR="00D25B8F">
        <w:rPr>
          <w:sz w:val="24"/>
          <w:szCs w:val="24"/>
          <w:lang w:val="en-US"/>
        </w:rPr>
        <w:t xml:space="preserve">we also offer </w:t>
      </w:r>
      <w:r w:rsidR="003C7825">
        <w:rPr>
          <w:sz w:val="24"/>
          <w:szCs w:val="24"/>
          <w:lang w:val="en-US"/>
        </w:rPr>
        <w:t xml:space="preserve">information on child poverty to inform </w:t>
      </w:r>
      <w:r w:rsidR="00D25B8F">
        <w:rPr>
          <w:sz w:val="24"/>
          <w:szCs w:val="24"/>
          <w:lang w:val="en-US"/>
        </w:rPr>
        <w:t xml:space="preserve">health </w:t>
      </w:r>
      <w:r w:rsidR="003C7825">
        <w:rPr>
          <w:sz w:val="24"/>
          <w:szCs w:val="24"/>
          <w:lang w:val="en-US"/>
        </w:rPr>
        <w:t>policy</w:t>
      </w:r>
      <w:r w:rsidR="00456512">
        <w:rPr>
          <w:sz w:val="24"/>
          <w:szCs w:val="24"/>
          <w:lang w:val="en-US"/>
        </w:rPr>
        <w:t xml:space="preserve"> (Appendices 1-3)</w:t>
      </w:r>
      <w:r w:rsidR="003C7825">
        <w:rPr>
          <w:sz w:val="24"/>
          <w:szCs w:val="24"/>
          <w:lang w:val="en-US"/>
        </w:rPr>
        <w:t>.</w:t>
      </w:r>
      <w:r w:rsidRPr="00250BF4">
        <w:rPr>
          <w:sz w:val="24"/>
          <w:szCs w:val="24"/>
          <w:lang w:val="en-US"/>
        </w:rPr>
        <w:t xml:space="preserve"> </w:t>
      </w:r>
    </w:p>
    <w:p w14:paraId="4F9072FC" w14:textId="1B149872" w:rsidR="00E72FA3" w:rsidRDefault="00E72FA3" w:rsidP="003439EA">
      <w:pPr>
        <w:spacing w:before="120" w:after="120"/>
        <w:rPr>
          <w:sz w:val="24"/>
          <w:szCs w:val="24"/>
          <w:lang w:val="en-US"/>
        </w:rPr>
      </w:pPr>
      <w:r>
        <w:rPr>
          <w:sz w:val="24"/>
          <w:szCs w:val="24"/>
          <w:lang w:val="en-US"/>
        </w:rPr>
        <w:t xml:space="preserve">We hope you find </w:t>
      </w:r>
      <w:r w:rsidR="003C7825">
        <w:rPr>
          <w:sz w:val="24"/>
          <w:szCs w:val="24"/>
          <w:lang w:val="en-US"/>
        </w:rPr>
        <w:t xml:space="preserve">this </w:t>
      </w:r>
      <w:r>
        <w:rPr>
          <w:sz w:val="24"/>
          <w:szCs w:val="24"/>
          <w:lang w:val="en-US"/>
        </w:rPr>
        <w:t>useful, and would be very happy to meet with you and/or your staff to discuss any of the points in further detail.</w:t>
      </w:r>
    </w:p>
    <w:p w14:paraId="73980CEE" w14:textId="77777777" w:rsidR="00E72FA3" w:rsidRDefault="00E72FA3" w:rsidP="00E72FA3">
      <w:pPr>
        <w:spacing w:before="120" w:after="0"/>
        <w:rPr>
          <w:sz w:val="24"/>
          <w:szCs w:val="24"/>
          <w:lang w:val="en-US"/>
        </w:rPr>
      </w:pPr>
      <w:proofErr w:type="spellStart"/>
      <w:r>
        <w:rPr>
          <w:sz w:val="24"/>
          <w:szCs w:val="24"/>
          <w:lang w:val="en-US"/>
        </w:rPr>
        <w:t>Nā</w:t>
      </w:r>
      <w:proofErr w:type="spellEnd"/>
      <w:r>
        <w:rPr>
          <w:sz w:val="24"/>
          <w:szCs w:val="24"/>
          <w:lang w:val="en-US"/>
        </w:rPr>
        <w:t xml:space="preserve"> </w:t>
      </w:r>
      <w:proofErr w:type="spellStart"/>
      <w:r>
        <w:rPr>
          <w:sz w:val="24"/>
          <w:szCs w:val="24"/>
          <w:lang w:val="en-US"/>
        </w:rPr>
        <w:t>mātou</w:t>
      </w:r>
      <w:proofErr w:type="spellEnd"/>
      <w:r>
        <w:rPr>
          <w:sz w:val="24"/>
          <w:szCs w:val="24"/>
          <w:lang w:val="en-US"/>
        </w:rPr>
        <w:t xml:space="preserve"> noa, </w:t>
      </w:r>
      <w:proofErr w:type="spellStart"/>
      <w:r>
        <w:rPr>
          <w:sz w:val="24"/>
          <w:szCs w:val="24"/>
          <w:lang w:val="en-US"/>
        </w:rPr>
        <w:t>nā</w:t>
      </w:r>
      <w:proofErr w:type="spellEnd"/>
    </w:p>
    <w:p w14:paraId="27DE0C84" w14:textId="7657425D" w:rsidR="00E72FA3" w:rsidRPr="003439EA" w:rsidRDefault="00E72FA3" w:rsidP="003439EA">
      <w:pPr>
        <w:spacing w:before="120" w:after="0"/>
        <w:rPr>
          <w:color w:val="538135" w:themeColor="accent6" w:themeShade="BF"/>
          <w:sz w:val="28"/>
          <w:szCs w:val="28"/>
          <w:lang w:val="en-US"/>
        </w:rPr>
      </w:pPr>
      <w:r w:rsidRPr="005808B1">
        <w:rPr>
          <w:color w:val="538135" w:themeColor="accent6" w:themeShade="BF"/>
          <w:sz w:val="28"/>
          <w:szCs w:val="28"/>
          <w:lang w:val="en-US"/>
        </w:rPr>
        <w:t>Child Poverty Action Group</w:t>
      </w:r>
      <w:r w:rsidR="00271AF2">
        <w:rPr>
          <w:color w:val="538135" w:themeColor="accent6" w:themeShade="BF"/>
          <w:sz w:val="28"/>
          <w:szCs w:val="28"/>
          <w:lang w:val="en-US"/>
        </w:rPr>
        <w:br/>
      </w:r>
      <w:hyperlink r:id="rId10" w:history="1">
        <w:r w:rsidR="003439EA" w:rsidRPr="008A5AF7">
          <w:rPr>
            <w:rStyle w:val="Hyperlink"/>
            <w:sz w:val="24"/>
            <w:szCs w:val="24"/>
            <w:lang w:val="en-US"/>
          </w:rPr>
          <w:t>www.cpag.org.nz</w:t>
        </w:r>
      </w:hyperlink>
    </w:p>
    <w:p w14:paraId="319B905C" w14:textId="42C5F7AC" w:rsidR="00EF30D2" w:rsidRDefault="00EF30D2" w:rsidP="00EF30D2">
      <w:pPr>
        <w:pStyle w:val="Heading1"/>
        <w:rPr>
          <w:b/>
          <w:bCs/>
          <w:color w:val="538135" w:themeColor="accent6" w:themeShade="BF"/>
          <w:lang w:val="en-US"/>
        </w:rPr>
      </w:pPr>
      <w:r>
        <w:rPr>
          <w:b/>
          <w:bCs/>
          <w:color w:val="538135" w:themeColor="accent6" w:themeShade="BF"/>
          <w:lang w:val="en-US"/>
        </w:rPr>
        <w:t>Current context</w:t>
      </w:r>
      <w:r w:rsidR="00271AF2">
        <w:rPr>
          <w:b/>
          <w:bCs/>
          <w:color w:val="538135" w:themeColor="accent6" w:themeShade="BF"/>
          <w:lang w:val="en-US"/>
        </w:rPr>
        <w:t xml:space="preserve"> – </w:t>
      </w:r>
      <w:r w:rsidR="005A564D">
        <w:rPr>
          <w:b/>
          <w:bCs/>
          <w:color w:val="538135" w:themeColor="accent6" w:themeShade="BF"/>
          <w:lang w:val="en-US"/>
        </w:rPr>
        <w:t>January</w:t>
      </w:r>
      <w:r w:rsidR="00271AF2">
        <w:rPr>
          <w:b/>
          <w:bCs/>
          <w:color w:val="538135" w:themeColor="accent6" w:themeShade="BF"/>
          <w:lang w:val="en-US"/>
        </w:rPr>
        <w:t xml:space="preserve"> 202</w:t>
      </w:r>
      <w:r w:rsidR="00645038">
        <w:rPr>
          <w:b/>
          <w:bCs/>
          <w:color w:val="538135" w:themeColor="accent6" w:themeShade="BF"/>
          <w:lang w:val="en-US"/>
        </w:rPr>
        <w:t>1</w:t>
      </w:r>
    </w:p>
    <w:p w14:paraId="34687A58" w14:textId="5377DF21" w:rsidR="00D25B8F" w:rsidRPr="00D25B8F" w:rsidRDefault="00EF30D2" w:rsidP="003439EA">
      <w:pPr>
        <w:pStyle w:val="ListParagraph"/>
        <w:numPr>
          <w:ilvl w:val="0"/>
          <w:numId w:val="32"/>
        </w:numPr>
        <w:spacing w:after="120"/>
        <w:ind w:left="714" w:hanging="357"/>
        <w:contextualSpacing w:val="0"/>
        <w:rPr>
          <w:sz w:val="24"/>
          <w:szCs w:val="24"/>
        </w:rPr>
      </w:pPr>
      <w:r w:rsidRPr="00D25B8F">
        <w:rPr>
          <w:sz w:val="24"/>
          <w:szCs w:val="24"/>
          <w:lang w:val="en-US"/>
        </w:rPr>
        <w:t xml:space="preserve">Since </w:t>
      </w:r>
      <w:r w:rsidR="00456512">
        <w:rPr>
          <w:sz w:val="24"/>
          <w:szCs w:val="24"/>
          <w:lang w:val="en-US"/>
        </w:rPr>
        <w:t xml:space="preserve">the onset of the </w:t>
      </w:r>
      <w:r w:rsidRPr="00D25B8F">
        <w:rPr>
          <w:sz w:val="24"/>
          <w:szCs w:val="24"/>
          <w:lang w:val="en-US"/>
        </w:rPr>
        <w:t>COVID-19</w:t>
      </w:r>
      <w:r w:rsidR="00456512">
        <w:rPr>
          <w:sz w:val="24"/>
          <w:szCs w:val="24"/>
          <w:lang w:val="en-US"/>
        </w:rPr>
        <w:t xml:space="preserve"> pandemic</w:t>
      </w:r>
      <w:r w:rsidRPr="00D25B8F">
        <w:rPr>
          <w:sz w:val="24"/>
          <w:szCs w:val="24"/>
          <w:lang w:val="en-US"/>
        </w:rPr>
        <w:t>, child poverty</w:t>
      </w:r>
      <w:r w:rsidR="00324D9D">
        <w:rPr>
          <w:sz w:val="24"/>
          <w:szCs w:val="24"/>
          <w:lang w:val="en-US"/>
        </w:rPr>
        <w:t xml:space="preserve"> </w:t>
      </w:r>
      <w:r w:rsidR="00AD0375">
        <w:rPr>
          <w:sz w:val="24"/>
          <w:szCs w:val="24"/>
          <w:lang w:val="en-US"/>
        </w:rPr>
        <w:t xml:space="preserve">rates </w:t>
      </w:r>
      <w:r w:rsidR="00324D9D">
        <w:rPr>
          <w:sz w:val="24"/>
          <w:szCs w:val="24"/>
          <w:lang w:val="en-US"/>
        </w:rPr>
        <w:t xml:space="preserve">are </w:t>
      </w:r>
      <w:r w:rsidR="00AD0375">
        <w:rPr>
          <w:sz w:val="24"/>
          <w:szCs w:val="24"/>
          <w:lang w:val="en-US"/>
        </w:rPr>
        <w:t xml:space="preserve">likely </w:t>
      </w:r>
      <w:r w:rsidRPr="009B4330">
        <w:rPr>
          <w:rFonts w:cstheme="minorHAnsi"/>
          <w:sz w:val="24"/>
          <w:szCs w:val="24"/>
          <w:lang w:val="en-US"/>
        </w:rPr>
        <w:t>increas</w:t>
      </w:r>
      <w:r w:rsidR="000A29BB">
        <w:rPr>
          <w:rFonts w:cstheme="minorHAnsi"/>
          <w:sz w:val="24"/>
          <w:szCs w:val="24"/>
          <w:lang w:val="en-US"/>
        </w:rPr>
        <w:t>ing</w:t>
      </w:r>
      <w:r w:rsidRPr="009B4330">
        <w:rPr>
          <w:rFonts w:cstheme="minorHAnsi"/>
          <w:sz w:val="24"/>
          <w:szCs w:val="24"/>
          <w:lang w:val="en-US"/>
        </w:rPr>
        <w:t xml:space="preserve"> </w:t>
      </w:r>
      <w:r w:rsidR="00324D9D" w:rsidRPr="009B4330">
        <w:rPr>
          <w:rFonts w:cstheme="minorHAnsi"/>
          <w:sz w:val="24"/>
          <w:szCs w:val="24"/>
          <w:lang w:val="en-US"/>
        </w:rPr>
        <w:t xml:space="preserve">with </w:t>
      </w:r>
      <w:r w:rsidR="00324D9D" w:rsidRPr="006B6233">
        <w:rPr>
          <w:rFonts w:cstheme="minorHAnsi"/>
          <w:sz w:val="24"/>
          <w:szCs w:val="24"/>
        </w:rPr>
        <w:t xml:space="preserve">material hardship rates expected to rise sharply </w:t>
      </w:r>
      <w:r w:rsidR="00B514E0">
        <w:rPr>
          <w:rFonts w:cstheme="minorHAnsi"/>
          <w:sz w:val="24"/>
          <w:szCs w:val="24"/>
        </w:rPr>
        <w:t>(Treasury, 2020</w:t>
      </w:r>
      <w:r w:rsidR="003952FB">
        <w:rPr>
          <w:rFonts w:cstheme="minorHAnsi"/>
          <w:sz w:val="24"/>
          <w:szCs w:val="24"/>
        </w:rPr>
        <w:t>, p21</w:t>
      </w:r>
      <w:r w:rsidR="00F01239">
        <w:rPr>
          <w:rFonts w:cstheme="minorHAnsi"/>
          <w:sz w:val="24"/>
          <w:szCs w:val="24"/>
        </w:rPr>
        <w:t xml:space="preserve">; </w:t>
      </w:r>
      <w:r w:rsidR="00D21BC7">
        <w:rPr>
          <w:rFonts w:cstheme="minorHAnsi"/>
          <w:sz w:val="24"/>
          <w:szCs w:val="24"/>
        </w:rPr>
        <w:t>Ward</w:t>
      </w:r>
      <w:r w:rsidR="00F01239">
        <w:rPr>
          <w:rFonts w:cstheme="minorHAnsi"/>
          <w:sz w:val="24"/>
          <w:szCs w:val="24"/>
        </w:rPr>
        <w:t>, 2020, p.7</w:t>
      </w:r>
      <w:r w:rsidR="00B514E0">
        <w:rPr>
          <w:rFonts w:cstheme="minorHAnsi"/>
          <w:sz w:val="24"/>
          <w:szCs w:val="24"/>
        </w:rPr>
        <w:t>)</w:t>
      </w:r>
      <w:r w:rsidR="003952FB">
        <w:rPr>
          <w:rFonts w:cstheme="minorHAnsi"/>
          <w:sz w:val="24"/>
          <w:szCs w:val="24"/>
        </w:rPr>
        <w:t xml:space="preserve">. </w:t>
      </w:r>
      <w:r w:rsidR="00AD0375">
        <w:rPr>
          <w:rFonts w:cstheme="minorHAnsi"/>
          <w:sz w:val="24"/>
          <w:szCs w:val="24"/>
        </w:rPr>
        <w:t>M</w:t>
      </w:r>
      <w:r w:rsidRPr="00D25B8F">
        <w:rPr>
          <w:sz w:val="24"/>
          <w:szCs w:val="24"/>
          <w:lang w:val="en-US"/>
        </w:rPr>
        <w:t xml:space="preserve">any </w:t>
      </w:r>
      <w:r w:rsidR="00484E2D">
        <w:rPr>
          <w:sz w:val="24"/>
          <w:szCs w:val="24"/>
          <w:lang w:val="en-US"/>
        </w:rPr>
        <w:t xml:space="preserve">children and young people </w:t>
      </w:r>
      <w:r w:rsidRPr="00D25B8F">
        <w:rPr>
          <w:sz w:val="24"/>
          <w:szCs w:val="24"/>
          <w:lang w:val="en-US"/>
        </w:rPr>
        <w:t>who were already in poverty are in increasingly dire situations (for example youth homelessness</w:t>
      </w:r>
      <w:r w:rsidR="00313759">
        <w:rPr>
          <w:sz w:val="24"/>
          <w:szCs w:val="24"/>
          <w:lang w:val="en-US"/>
        </w:rPr>
        <w:t xml:space="preserve"> – s</w:t>
      </w:r>
      <w:proofErr w:type="spellStart"/>
      <w:r w:rsidR="003439EA">
        <w:rPr>
          <w:sz w:val="24"/>
          <w:szCs w:val="24"/>
        </w:rPr>
        <w:t>ee</w:t>
      </w:r>
      <w:proofErr w:type="spellEnd"/>
      <w:r w:rsidR="003439EA">
        <w:rPr>
          <w:sz w:val="24"/>
          <w:szCs w:val="24"/>
        </w:rPr>
        <w:t xml:space="preserve"> </w:t>
      </w:r>
      <w:hyperlink w:anchor="_Appendix_3:_Since" w:history="1">
        <w:r w:rsidR="00D25B8F" w:rsidRPr="00D25B8F">
          <w:rPr>
            <w:rStyle w:val="Hyperlink"/>
            <w:sz w:val="24"/>
            <w:szCs w:val="24"/>
          </w:rPr>
          <w:t>Appendix 3</w:t>
        </w:r>
      </w:hyperlink>
      <w:r w:rsidR="00313759">
        <w:rPr>
          <w:rStyle w:val="Hyperlink"/>
          <w:sz w:val="24"/>
          <w:szCs w:val="24"/>
        </w:rPr>
        <w:t>)</w:t>
      </w:r>
      <w:r w:rsidR="00D25B8F" w:rsidRPr="00D25B8F">
        <w:rPr>
          <w:rStyle w:val="Hyperlink"/>
          <w:sz w:val="24"/>
          <w:szCs w:val="24"/>
        </w:rPr>
        <w:t>.</w:t>
      </w:r>
      <w:r w:rsidR="00012E7B">
        <w:rPr>
          <w:rStyle w:val="Hyperlink"/>
          <w:sz w:val="24"/>
          <w:szCs w:val="24"/>
        </w:rPr>
        <w:t xml:space="preserve"> </w:t>
      </w:r>
      <w:r w:rsidR="00012E7B" w:rsidRPr="00EF30D2">
        <w:rPr>
          <w:sz w:val="24"/>
          <w:szCs w:val="24"/>
          <w:lang w:val="en-US"/>
        </w:rPr>
        <w:t>Income support is still inadequate, despite 2018-2020 increases</w:t>
      </w:r>
      <w:r w:rsidR="00012E7B">
        <w:rPr>
          <w:sz w:val="24"/>
          <w:szCs w:val="24"/>
          <w:lang w:val="en-US"/>
        </w:rPr>
        <w:t xml:space="preserve"> (</w:t>
      </w:r>
      <w:r w:rsidR="00012E7B">
        <w:rPr>
          <w:sz w:val="24"/>
          <w:szCs w:val="24"/>
        </w:rPr>
        <w:t>CPAG, 2020)</w:t>
      </w:r>
      <w:r w:rsidR="00012E7B">
        <w:rPr>
          <w:sz w:val="24"/>
          <w:szCs w:val="24"/>
          <w:lang w:val="en-US"/>
        </w:rPr>
        <w:t>.</w:t>
      </w:r>
    </w:p>
    <w:p w14:paraId="60A6E589" w14:textId="50718DB7" w:rsidR="00D25B8F" w:rsidRDefault="00741927" w:rsidP="003439EA">
      <w:pPr>
        <w:pStyle w:val="ListParagraph"/>
        <w:numPr>
          <w:ilvl w:val="0"/>
          <w:numId w:val="27"/>
        </w:numPr>
        <w:spacing w:after="120"/>
        <w:ind w:left="714" w:hanging="357"/>
        <w:contextualSpacing w:val="0"/>
        <w:rPr>
          <w:sz w:val="24"/>
          <w:szCs w:val="24"/>
          <w:lang w:val="en-US"/>
        </w:rPr>
      </w:pPr>
      <w:r>
        <w:rPr>
          <w:sz w:val="24"/>
          <w:szCs w:val="24"/>
          <w:lang w:val="en-US"/>
        </w:rPr>
        <w:t>G</w:t>
      </w:r>
      <w:r w:rsidR="00D25B8F">
        <w:rPr>
          <w:sz w:val="24"/>
          <w:szCs w:val="24"/>
          <w:lang w:val="en-US"/>
        </w:rPr>
        <w:t xml:space="preserve">iven income is a </w:t>
      </w:r>
      <w:r w:rsidR="00456512">
        <w:rPr>
          <w:sz w:val="24"/>
          <w:szCs w:val="24"/>
          <w:lang w:val="en-US"/>
        </w:rPr>
        <w:t xml:space="preserve">significant </w:t>
      </w:r>
      <w:r w:rsidR="00D25B8F">
        <w:rPr>
          <w:sz w:val="24"/>
          <w:szCs w:val="24"/>
          <w:lang w:val="en-US"/>
        </w:rPr>
        <w:t xml:space="preserve">determinant of health, inadequate income support </w:t>
      </w:r>
      <w:r>
        <w:rPr>
          <w:sz w:val="24"/>
          <w:szCs w:val="24"/>
          <w:lang w:val="en-US"/>
        </w:rPr>
        <w:t xml:space="preserve">is leading to worse health outcomes and </w:t>
      </w:r>
      <w:r w:rsidR="00D25B8F">
        <w:rPr>
          <w:sz w:val="24"/>
          <w:szCs w:val="24"/>
          <w:lang w:val="en-US"/>
        </w:rPr>
        <w:t xml:space="preserve">will </w:t>
      </w:r>
      <w:r>
        <w:rPr>
          <w:sz w:val="24"/>
          <w:szCs w:val="24"/>
          <w:lang w:val="en-US"/>
        </w:rPr>
        <w:t xml:space="preserve">also </w:t>
      </w:r>
      <w:r w:rsidR="00D25B8F">
        <w:rPr>
          <w:sz w:val="24"/>
          <w:szCs w:val="24"/>
          <w:lang w:val="en-US"/>
        </w:rPr>
        <w:t>be incurring expenses for the health and disability system.</w:t>
      </w:r>
      <w:r>
        <w:rPr>
          <w:sz w:val="24"/>
          <w:szCs w:val="24"/>
          <w:lang w:val="en-US"/>
        </w:rPr>
        <w:t xml:space="preserve"> </w:t>
      </w:r>
      <w:r w:rsidR="00313759">
        <w:rPr>
          <w:sz w:val="24"/>
          <w:szCs w:val="24"/>
          <w:lang w:val="en-US"/>
        </w:rPr>
        <w:t xml:space="preserve">For example, </w:t>
      </w:r>
      <w:proofErr w:type="spellStart"/>
      <w:r w:rsidR="00012E7B">
        <w:rPr>
          <w:sz w:val="24"/>
          <w:szCs w:val="24"/>
          <w:lang w:val="en-US"/>
        </w:rPr>
        <w:t>h</w:t>
      </w:r>
      <w:r w:rsidR="00012E7B">
        <w:rPr>
          <w:rFonts w:ascii="Calibri" w:hAnsi="Calibri" w:cs="Calibri"/>
          <w:color w:val="000000" w:themeColor="text1"/>
          <w:sz w:val="24"/>
          <w:szCs w:val="24"/>
          <w:lang w:val="en-US"/>
        </w:rPr>
        <w:t>ospitalisation</w:t>
      </w:r>
      <w:proofErr w:type="spellEnd"/>
      <w:r w:rsidR="00012E7B">
        <w:rPr>
          <w:rFonts w:ascii="Calibri" w:hAnsi="Calibri" w:cs="Calibri"/>
          <w:color w:val="000000" w:themeColor="text1"/>
          <w:sz w:val="24"/>
          <w:szCs w:val="24"/>
          <w:lang w:val="en-US"/>
        </w:rPr>
        <w:t xml:space="preserve"> </w:t>
      </w:r>
      <w:r w:rsidR="00012E7B" w:rsidRPr="007E3904">
        <w:rPr>
          <w:rFonts w:ascii="Calibri" w:hAnsi="Calibri" w:cs="Calibri"/>
          <w:color w:val="000000" w:themeColor="text1"/>
          <w:sz w:val="24"/>
          <w:szCs w:val="24"/>
          <w:lang w:val="en-US"/>
        </w:rPr>
        <w:t xml:space="preserve">rates for tooth decay, respiratory conditions and serious skin infections are all particularly high for </w:t>
      </w:r>
      <w:r w:rsidR="00012E7B" w:rsidRPr="007E3904">
        <w:rPr>
          <w:rFonts w:ascii="Calibri" w:eastAsia="Times New Roman" w:hAnsi="Calibri" w:cs="Calibri"/>
          <w:color w:val="000000" w:themeColor="text1"/>
          <w:sz w:val="24"/>
          <w:szCs w:val="24"/>
          <w:lang w:eastAsia="en-NZ"/>
        </w:rPr>
        <w:t xml:space="preserve">children living in areas of high deprivation, </w:t>
      </w:r>
      <w:r w:rsidR="00012E7B" w:rsidRPr="00012E7B">
        <w:rPr>
          <w:rFonts w:ascii="Calibri" w:eastAsia="Times New Roman" w:hAnsi="Calibri" w:cs="Calibri"/>
          <w:color w:val="000000" w:themeColor="text1"/>
          <w:sz w:val="24"/>
          <w:szCs w:val="24"/>
          <w:lang w:eastAsia="en-NZ"/>
        </w:rPr>
        <w:t>with unconscious bias, discrimination, racism, inter</w:t>
      </w:r>
      <w:r w:rsidR="00AD0375">
        <w:rPr>
          <w:rFonts w:ascii="Calibri" w:eastAsia="Times New Roman" w:hAnsi="Calibri" w:cs="Calibri"/>
          <w:color w:val="000000" w:themeColor="text1"/>
          <w:sz w:val="24"/>
          <w:szCs w:val="24"/>
          <w:lang w:eastAsia="en-NZ"/>
        </w:rPr>
        <w:t>-</w:t>
      </w:r>
      <w:r w:rsidR="00012E7B" w:rsidRPr="00012E7B">
        <w:rPr>
          <w:rFonts w:ascii="Calibri" w:eastAsia="Times New Roman" w:hAnsi="Calibri" w:cs="Calibri"/>
          <w:color w:val="000000" w:themeColor="text1"/>
          <w:sz w:val="24"/>
          <w:szCs w:val="24"/>
          <w:lang w:eastAsia="en-NZ"/>
        </w:rPr>
        <w:t>generational traum</w:t>
      </w:r>
      <w:r w:rsidR="00012E7B">
        <w:rPr>
          <w:rFonts w:ascii="Calibri" w:eastAsia="Times New Roman" w:hAnsi="Calibri" w:cs="Calibri"/>
          <w:color w:val="000000" w:themeColor="text1"/>
          <w:sz w:val="24"/>
          <w:szCs w:val="24"/>
          <w:lang w:eastAsia="en-NZ"/>
        </w:rPr>
        <w:t>a</w:t>
      </w:r>
      <w:r w:rsidR="00012E7B" w:rsidRPr="007E3904">
        <w:rPr>
          <w:rFonts w:ascii="Calibri" w:eastAsia="Times New Roman" w:hAnsi="Calibri" w:cs="Calibri"/>
          <w:color w:val="000000" w:themeColor="text1"/>
          <w:sz w:val="24"/>
          <w:szCs w:val="24"/>
          <w:lang w:eastAsia="en-NZ"/>
        </w:rPr>
        <w:t xml:space="preserve"> and ongoing effects of colonisation</w:t>
      </w:r>
      <w:r w:rsidR="00012E7B">
        <w:rPr>
          <w:rFonts w:ascii="Calibri" w:eastAsia="Times New Roman" w:hAnsi="Calibri" w:cs="Calibri"/>
          <w:color w:val="000000" w:themeColor="text1"/>
          <w:sz w:val="24"/>
          <w:szCs w:val="24"/>
          <w:lang w:eastAsia="en-NZ"/>
        </w:rPr>
        <w:t xml:space="preserve"> (Waitangi Tribunal, 2019</w:t>
      </w:r>
      <w:r w:rsidR="00F01239">
        <w:rPr>
          <w:rFonts w:ascii="Calibri" w:eastAsia="Times New Roman" w:hAnsi="Calibri" w:cs="Calibri"/>
          <w:color w:val="000000" w:themeColor="text1"/>
          <w:sz w:val="24"/>
          <w:szCs w:val="24"/>
          <w:lang w:eastAsia="en-NZ"/>
        </w:rPr>
        <w:t>; RACP, 2020</w:t>
      </w:r>
      <w:r w:rsidR="00012E7B">
        <w:rPr>
          <w:rFonts w:ascii="Calibri" w:eastAsia="Times New Roman" w:hAnsi="Calibri" w:cs="Calibri"/>
          <w:color w:val="000000" w:themeColor="text1"/>
          <w:sz w:val="24"/>
          <w:szCs w:val="24"/>
          <w:lang w:eastAsia="en-NZ"/>
        </w:rPr>
        <w:t>) contributing to especially high rates</w:t>
      </w:r>
      <w:r w:rsidR="00012E7B" w:rsidRPr="007E3904">
        <w:rPr>
          <w:rFonts w:ascii="Calibri" w:eastAsia="Times New Roman" w:hAnsi="Calibri" w:cs="Calibri"/>
          <w:color w:val="000000" w:themeColor="text1"/>
          <w:sz w:val="24"/>
          <w:szCs w:val="24"/>
          <w:lang w:eastAsia="en-NZ"/>
        </w:rPr>
        <w:t xml:space="preserve"> for Māori and Pacific children </w:t>
      </w:r>
      <w:r w:rsidR="00012E7B">
        <w:rPr>
          <w:rFonts w:ascii="Calibri" w:eastAsia="Times New Roman" w:hAnsi="Calibri" w:cs="Calibri"/>
          <w:color w:val="000000" w:themeColor="text1"/>
          <w:sz w:val="24"/>
          <w:szCs w:val="24"/>
          <w:lang w:eastAsia="en-NZ"/>
        </w:rPr>
        <w:t>(Cure Kids, 2020)</w:t>
      </w:r>
      <w:r w:rsidR="00012E7B" w:rsidRPr="007E3904">
        <w:rPr>
          <w:rFonts w:ascii="Calibri" w:eastAsia="Times New Roman" w:hAnsi="Calibri" w:cs="Calibri"/>
          <w:color w:val="000000" w:themeColor="text1"/>
          <w:sz w:val="24"/>
          <w:szCs w:val="24"/>
          <w:lang w:eastAsia="en-NZ"/>
        </w:rPr>
        <w:t>.</w:t>
      </w:r>
    </w:p>
    <w:p w14:paraId="27D8290B" w14:textId="49A29E34" w:rsidR="00582E32" w:rsidRPr="00053893" w:rsidRDefault="00D25B8F" w:rsidP="00053893">
      <w:pPr>
        <w:pStyle w:val="ListParagraph"/>
        <w:numPr>
          <w:ilvl w:val="0"/>
          <w:numId w:val="27"/>
        </w:numPr>
        <w:spacing w:after="120"/>
        <w:contextualSpacing w:val="0"/>
        <w:rPr>
          <w:sz w:val="24"/>
          <w:szCs w:val="24"/>
          <w:lang w:val="en-US"/>
        </w:rPr>
      </w:pPr>
      <w:r w:rsidRPr="00053893">
        <w:rPr>
          <w:sz w:val="24"/>
          <w:szCs w:val="24"/>
          <w:lang w:val="en-US"/>
        </w:rPr>
        <w:t xml:space="preserve">Reports indicate that </w:t>
      </w:r>
      <w:r w:rsidR="002444C8" w:rsidRPr="00053893">
        <w:rPr>
          <w:sz w:val="24"/>
          <w:szCs w:val="24"/>
          <w:lang w:val="en-US"/>
        </w:rPr>
        <w:t xml:space="preserve">some </w:t>
      </w:r>
      <w:r w:rsidRPr="00053893">
        <w:rPr>
          <w:sz w:val="24"/>
          <w:szCs w:val="24"/>
          <w:lang w:val="en-US"/>
        </w:rPr>
        <w:t>health services have become less accessible</w:t>
      </w:r>
      <w:r w:rsidR="00AD0375">
        <w:rPr>
          <w:sz w:val="24"/>
          <w:szCs w:val="24"/>
          <w:lang w:val="en-US"/>
        </w:rPr>
        <w:t>,</w:t>
      </w:r>
      <w:r w:rsidRPr="00053893">
        <w:rPr>
          <w:sz w:val="24"/>
          <w:szCs w:val="24"/>
          <w:lang w:val="en-US"/>
        </w:rPr>
        <w:t xml:space="preserve"> </w:t>
      </w:r>
      <w:r w:rsidR="00AD0375" w:rsidRPr="00053893">
        <w:rPr>
          <w:sz w:val="24"/>
          <w:szCs w:val="24"/>
          <w:lang w:val="en-US"/>
        </w:rPr>
        <w:t>particularly for low-income children</w:t>
      </w:r>
      <w:r w:rsidR="00AD0375">
        <w:rPr>
          <w:sz w:val="24"/>
          <w:szCs w:val="24"/>
          <w:lang w:val="en-US"/>
        </w:rPr>
        <w:t>,</w:t>
      </w:r>
      <w:r w:rsidR="00AD0375" w:rsidRPr="00053893">
        <w:rPr>
          <w:sz w:val="24"/>
          <w:szCs w:val="24"/>
          <w:lang w:val="en-US"/>
        </w:rPr>
        <w:t xml:space="preserve"> </w:t>
      </w:r>
      <w:r w:rsidRPr="00053893">
        <w:rPr>
          <w:sz w:val="24"/>
          <w:szCs w:val="24"/>
          <w:lang w:val="en-US"/>
        </w:rPr>
        <w:t xml:space="preserve">in the </w:t>
      </w:r>
      <w:r w:rsidR="002444C8" w:rsidRPr="00053893">
        <w:rPr>
          <w:sz w:val="24"/>
          <w:szCs w:val="24"/>
          <w:lang w:val="en-US"/>
        </w:rPr>
        <w:t>last few years</w:t>
      </w:r>
      <w:r w:rsidRPr="00053893">
        <w:rPr>
          <w:sz w:val="24"/>
          <w:szCs w:val="24"/>
          <w:lang w:val="en-US"/>
        </w:rPr>
        <w:t xml:space="preserve">. For example, </w:t>
      </w:r>
      <w:r w:rsidR="002444C8" w:rsidRPr="00053893">
        <w:rPr>
          <w:sz w:val="24"/>
          <w:szCs w:val="24"/>
          <w:lang w:val="en-US"/>
        </w:rPr>
        <w:t>60 percent of Auckland children are reported as overdue for their regular</w:t>
      </w:r>
      <w:r w:rsidR="00337821" w:rsidRPr="00053893">
        <w:rPr>
          <w:sz w:val="24"/>
          <w:szCs w:val="24"/>
          <w:lang w:val="en-US"/>
        </w:rPr>
        <w:t xml:space="preserve"> dental</w:t>
      </w:r>
      <w:r w:rsidR="002444C8" w:rsidRPr="00053893">
        <w:rPr>
          <w:sz w:val="24"/>
          <w:szCs w:val="24"/>
          <w:lang w:val="en-US"/>
        </w:rPr>
        <w:t xml:space="preserve"> appointments, and about 17,000 had not been seen at all in two years (</w:t>
      </w:r>
      <w:r w:rsidR="00053893">
        <w:rPr>
          <w:sz w:val="24"/>
          <w:szCs w:val="24"/>
          <w:lang w:val="en-US"/>
        </w:rPr>
        <w:t>Quinn, 2020a)</w:t>
      </w:r>
      <w:r w:rsidR="002444C8" w:rsidRPr="00053893">
        <w:rPr>
          <w:sz w:val="24"/>
          <w:szCs w:val="24"/>
          <w:lang w:val="en-US"/>
        </w:rPr>
        <w:t>.</w:t>
      </w:r>
      <w:r w:rsidRPr="00053893">
        <w:rPr>
          <w:sz w:val="24"/>
          <w:szCs w:val="24"/>
          <w:lang w:val="en-US"/>
        </w:rPr>
        <w:t xml:space="preserve"> </w:t>
      </w:r>
      <w:proofErr w:type="spellStart"/>
      <w:r w:rsidR="00AD0375">
        <w:rPr>
          <w:sz w:val="24"/>
          <w:szCs w:val="24"/>
          <w:lang w:val="en-US"/>
        </w:rPr>
        <w:t>I</w:t>
      </w:r>
      <w:r w:rsidR="00582E32" w:rsidRPr="00053893">
        <w:rPr>
          <w:sz w:val="24"/>
          <w:szCs w:val="24"/>
          <w:lang w:val="en-US"/>
        </w:rPr>
        <w:t>mmunisation</w:t>
      </w:r>
      <w:proofErr w:type="spellEnd"/>
      <w:r w:rsidR="00582E32" w:rsidRPr="00053893">
        <w:rPr>
          <w:sz w:val="24"/>
          <w:szCs w:val="24"/>
          <w:lang w:val="en-US"/>
        </w:rPr>
        <w:t xml:space="preserve"> rates, particularly </w:t>
      </w:r>
      <w:r w:rsidR="00053893">
        <w:rPr>
          <w:sz w:val="24"/>
          <w:szCs w:val="24"/>
          <w:lang w:val="en-US"/>
        </w:rPr>
        <w:t xml:space="preserve">rates of </w:t>
      </w:r>
      <w:r w:rsidR="00582E32" w:rsidRPr="00053893">
        <w:rPr>
          <w:sz w:val="24"/>
          <w:szCs w:val="24"/>
          <w:lang w:val="en-US"/>
        </w:rPr>
        <w:t>timeliness of receiving vaccines for infants</w:t>
      </w:r>
      <w:r w:rsidR="00053893">
        <w:rPr>
          <w:sz w:val="24"/>
          <w:szCs w:val="24"/>
          <w:lang w:val="en-US"/>
        </w:rPr>
        <w:t>,</w:t>
      </w:r>
      <w:r w:rsidR="00582E32" w:rsidRPr="00053893">
        <w:rPr>
          <w:sz w:val="24"/>
          <w:szCs w:val="24"/>
          <w:lang w:val="en-US"/>
        </w:rPr>
        <w:t xml:space="preserve"> </w:t>
      </w:r>
      <w:r w:rsidR="00053893">
        <w:rPr>
          <w:sz w:val="24"/>
          <w:szCs w:val="24"/>
          <w:lang w:val="en-US"/>
        </w:rPr>
        <w:t xml:space="preserve">have </w:t>
      </w:r>
      <w:r w:rsidR="00582E32" w:rsidRPr="00053893">
        <w:rPr>
          <w:sz w:val="24"/>
          <w:szCs w:val="24"/>
          <w:lang w:val="en-US"/>
        </w:rPr>
        <w:t xml:space="preserve">decreased since 2017; this trend is seen particularly for infants from low income families and </w:t>
      </w:r>
      <w:proofErr w:type="spellStart"/>
      <w:r w:rsidR="00582E32" w:rsidRPr="00053893">
        <w:rPr>
          <w:sz w:val="24"/>
          <w:szCs w:val="24"/>
          <w:lang w:val="en-US"/>
        </w:rPr>
        <w:t>tamariki</w:t>
      </w:r>
      <w:proofErr w:type="spellEnd"/>
      <w:r w:rsidR="00582E32" w:rsidRPr="00053893">
        <w:rPr>
          <w:sz w:val="24"/>
          <w:szCs w:val="24"/>
          <w:lang w:val="en-US"/>
        </w:rPr>
        <w:t xml:space="preserve"> M</w:t>
      </w:r>
      <w:r w:rsidR="00582E32" w:rsidRPr="00053893">
        <w:rPr>
          <w:rFonts w:cstheme="minorHAnsi"/>
          <w:sz w:val="24"/>
          <w:szCs w:val="24"/>
          <w:lang w:val="en-US"/>
        </w:rPr>
        <w:t>ā</w:t>
      </w:r>
      <w:r w:rsidR="00582E32" w:rsidRPr="00053893">
        <w:rPr>
          <w:sz w:val="24"/>
          <w:szCs w:val="24"/>
          <w:lang w:val="en-US"/>
        </w:rPr>
        <w:t xml:space="preserve">ori. </w:t>
      </w:r>
      <w:r w:rsidR="00AD0375">
        <w:rPr>
          <w:sz w:val="24"/>
          <w:szCs w:val="24"/>
          <w:lang w:val="en-US"/>
        </w:rPr>
        <w:t>The 2020 lockdowns exacerbated t</w:t>
      </w:r>
      <w:r w:rsidR="00582E32" w:rsidRPr="00053893">
        <w:rPr>
          <w:sz w:val="24"/>
          <w:szCs w:val="24"/>
          <w:lang w:val="en-US"/>
        </w:rPr>
        <w:t>his decline and rates still have not full</w:t>
      </w:r>
      <w:r w:rsidR="00BC15C7" w:rsidRPr="00053893">
        <w:rPr>
          <w:sz w:val="24"/>
          <w:szCs w:val="24"/>
          <w:lang w:val="en-US"/>
        </w:rPr>
        <w:t>y</w:t>
      </w:r>
      <w:r w:rsidR="00582E32" w:rsidRPr="00053893">
        <w:rPr>
          <w:sz w:val="24"/>
          <w:szCs w:val="24"/>
          <w:lang w:val="en-US"/>
        </w:rPr>
        <w:t xml:space="preserve"> recovered (</w:t>
      </w:r>
      <w:r w:rsidR="00EB663A" w:rsidRPr="00053893">
        <w:rPr>
          <w:sz w:val="24"/>
          <w:szCs w:val="24"/>
          <w:lang w:val="en-US"/>
        </w:rPr>
        <w:t>Ministry of Health</w:t>
      </w:r>
      <w:r w:rsidR="00582E32" w:rsidRPr="00053893">
        <w:rPr>
          <w:sz w:val="24"/>
          <w:szCs w:val="24"/>
          <w:lang w:val="en-US"/>
        </w:rPr>
        <w:t>, 2020). On</w:t>
      </w:r>
      <w:r w:rsidR="00EB663A" w:rsidRPr="00053893">
        <w:rPr>
          <w:sz w:val="24"/>
          <w:szCs w:val="24"/>
          <w:lang w:val="en-US"/>
        </w:rPr>
        <w:t>c</w:t>
      </w:r>
      <w:r w:rsidR="00582E32" w:rsidRPr="00053893">
        <w:rPr>
          <w:sz w:val="24"/>
          <w:szCs w:val="24"/>
          <w:lang w:val="en-US"/>
        </w:rPr>
        <w:t xml:space="preserve">e NZ borders are open, further measles outbreaks remain a real concern if childhood </w:t>
      </w:r>
      <w:proofErr w:type="spellStart"/>
      <w:r w:rsidR="00582E32" w:rsidRPr="00053893">
        <w:rPr>
          <w:sz w:val="24"/>
          <w:szCs w:val="24"/>
          <w:lang w:val="en-US"/>
        </w:rPr>
        <w:t>immunisation</w:t>
      </w:r>
      <w:proofErr w:type="spellEnd"/>
      <w:r w:rsidR="00582E32" w:rsidRPr="00053893">
        <w:rPr>
          <w:sz w:val="24"/>
          <w:szCs w:val="24"/>
          <w:lang w:val="en-US"/>
        </w:rPr>
        <w:t xml:space="preserve"> rates continue to decline. </w:t>
      </w:r>
    </w:p>
    <w:p w14:paraId="7333B699" w14:textId="4EB48020" w:rsidR="00E72FA3" w:rsidRPr="00AD0375" w:rsidRDefault="003439EA" w:rsidP="00AD0375">
      <w:pPr>
        <w:pStyle w:val="ListParagraph"/>
        <w:numPr>
          <w:ilvl w:val="0"/>
          <w:numId w:val="27"/>
        </w:numPr>
        <w:contextualSpacing w:val="0"/>
        <w:rPr>
          <w:rFonts w:asciiTheme="majorHAnsi" w:eastAsiaTheme="majorEastAsia" w:hAnsiTheme="majorHAnsi" w:cstheme="majorBidi"/>
          <w:color w:val="000000" w:themeColor="text1"/>
          <w:sz w:val="32"/>
          <w:szCs w:val="32"/>
          <w:lang w:val="en-US"/>
        </w:rPr>
      </w:pPr>
      <w:r w:rsidRPr="007E3904">
        <w:rPr>
          <w:rFonts w:ascii="Calibri" w:hAnsi="Calibri"/>
          <w:color w:val="000000" w:themeColor="text1"/>
          <w:sz w:val="24"/>
          <w:szCs w:val="24"/>
        </w:rPr>
        <w:t>A</w:t>
      </w:r>
      <w:proofErr w:type="spellStart"/>
      <w:r w:rsidRPr="007E3904">
        <w:rPr>
          <w:rFonts w:ascii="Calibri" w:hAnsi="Calibri"/>
          <w:color w:val="000000" w:themeColor="text1"/>
          <w:sz w:val="24"/>
          <w:szCs w:val="24"/>
          <w:lang w:val="en-US"/>
        </w:rPr>
        <w:t>lmost</w:t>
      </w:r>
      <w:proofErr w:type="spellEnd"/>
      <w:r w:rsidRPr="007E3904">
        <w:rPr>
          <w:rFonts w:ascii="Calibri" w:hAnsi="Calibri"/>
          <w:color w:val="000000" w:themeColor="text1"/>
          <w:sz w:val="24"/>
          <w:szCs w:val="24"/>
          <w:lang w:val="en-US"/>
        </w:rPr>
        <w:t xml:space="preserve"> 12 percent of </w:t>
      </w:r>
      <w:r w:rsidR="00AD0375">
        <w:rPr>
          <w:rFonts w:ascii="Calibri" w:hAnsi="Calibri"/>
          <w:color w:val="000000" w:themeColor="text1"/>
          <w:sz w:val="24"/>
          <w:szCs w:val="24"/>
          <w:lang w:val="en-US"/>
        </w:rPr>
        <w:t xml:space="preserve">those </w:t>
      </w:r>
      <w:r w:rsidRPr="007E3904">
        <w:rPr>
          <w:rFonts w:ascii="Calibri" w:hAnsi="Calibri"/>
          <w:color w:val="000000" w:themeColor="text1"/>
          <w:sz w:val="24"/>
          <w:szCs w:val="24"/>
          <w:lang w:val="en-US"/>
        </w:rPr>
        <w:t xml:space="preserve">under 20 are directly affected by </w:t>
      </w:r>
      <w:r w:rsidRPr="00AD0375">
        <w:rPr>
          <w:rFonts w:ascii="Calibri" w:hAnsi="Calibri"/>
          <w:color w:val="000000" w:themeColor="text1"/>
          <w:sz w:val="24"/>
          <w:szCs w:val="24"/>
          <w:lang w:val="en-US"/>
        </w:rPr>
        <w:t xml:space="preserve">disability; and they are more likely to live in materially-deprived households (H&amp;DSR, 2020). </w:t>
      </w:r>
    </w:p>
    <w:p w14:paraId="323A7F1C" w14:textId="6B8AC8B7" w:rsidR="00D25B8F" w:rsidRPr="007815DC" w:rsidRDefault="00DD02EC" w:rsidP="007815DC">
      <w:pPr>
        <w:pStyle w:val="Heading1"/>
        <w:rPr>
          <w:color w:val="538135" w:themeColor="accent6" w:themeShade="BF"/>
          <w:lang w:val="en-US"/>
        </w:rPr>
      </w:pPr>
      <w:r w:rsidRPr="00FC11FF">
        <w:rPr>
          <w:color w:val="538135" w:themeColor="accent6" w:themeShade="BF"/>
          <w:lang w:val="en-US"/>
        </w:rPr>
        <w:lastRenderedPageBreak/>
        <w:t xml:space="preserve">CPAG </w:t>
      </w:r>
      <w:r w:rsidR="00031634" w:rsidRPr="00FC11FF">
        <w:rPr>
          <w:color w:val="538135" w:themeColor="accent6" w:themeShade="BF"/>
          <w:lang w:val="en-US"/>
        </w:rPr>
        <w:t xml:space="preserve">Policy </w:t>
      </w:r>
      <w:r w:rsidRPr="00FC11FF">
        <w:rPr>
          <w:color w:val="538135" w:themeColor="accent6" w:themeShade="BF"/>
          <w:lang w:val="en-US"/>
        </w:rPr>
        <w:t>R</w:t>
      </w:r>
      <w:r w:rsidR="00031634" w:rsidRPr="00FC11FF">
        <w:rPr>
          <w:color w:val="538135" w:themeColor="accent6" w:themeShade="BF"/>
          <w:lang w:val="en-US"/>
        </w:rPr>
        <w:t>ecommendations</w:t>
      </w:r>
      <w:r w:rsidR="00271AF2">
        <w:rPr>
          <w:color w:val="538135" w:themeColor="accent6" w:themeShade="BF"/>
          <w:lang w:val="en-US"/>
        </w:rPr>
        <w:t xml:space="preserve"> </w:t>
      </w:r>
      <w:r w:rsidR="00A856E0">
        <w:rPr>
          <w:color w:val="538135" w:themeColor="accent6" w:themeShade="BF"/>
          <w:lang w:val="en-US"/>
        </w:rPr>
        <w:t xml:space="preserve">&amp; Endorsements </w:t>
      </w:r>
    </w:p>
    <w:p w14:paraId="6C2C531C" w14:textId="0A308AB8" w:rsidR="00A856E0" w:rsidRPr="003439EA" w:rsidRDefault="00D25B8F" w:rsidP="003439EA">
      <w:pPr>
        <w:pStyle w:val="Heading2"/>
        <w:rPr>
          <w:lang w:val="en-US"/>
        </w:rPr>
      </w:pPr>
      <w:r w:rsidRPr="003439EA">
        <w:rPr>
          <w:lang w:val="en-US"/>
        </w:rPr>
        <w:t>Endorsements of current services</w:t>
      </w:r>
    </w:p>
    <w:p w14:paraId="11777738" w14:textId="77777777" w:rsidR="00D25B8F" w:rsidRPr="007E3904" w:rsidRDefault="00D25B8F" w:rsidP="00D25B8F">
      <w:pPr>
        <w:spacing w:after="120"/>
        <w:rPr>
          <w:rFonts w:ascii="Calibri" w:eastAsia="Times New Roman" w:hAnsi="Calibri"/>
          <w:color w:val="000000"/>
          <w:sz w:val="24"/>
          <w:szCs w:val="24"/>
          <w:lang w:eastAsia="en-GB"/>
        </w:rPr>
      </w:pPr>
      <w:r w:rsidRPr="007E3904">
        <w:rPr>
          <w:rFonts w:ascii="Calibri" w:eastAsia="Times New Roman" w:hAnsi="Calibri"/>
          <w:color w:val="000000"/>
          <w:sz w:val="24"/>
          <w:szCs w:val="24"/>
          <w:lang w:eastAsia="en-GB"/>
        </w:rPr>
        <w:t xml:space="preserve">We recognise the current system has many positive aspects for children in low-income households, such as: </w:t>
      </w:r>
    </w:p>
    <w:p w14:paraId="01EBC6B1" w14:textId="4C5B1234" w:rsidR="00D25B8F" w:rsidRPr="007E3904" w:rsidRDefault="00D25B8F" w:rsidP="00D25B8F">
      <w:pPr>
        <w:pStyle w:val="ListParagraph"/>
        <w:numPr>
          <w:ilvl w:val="0"/>
          <w:numId w:val="31"/>
        </w:numPr>
        <w:spacing w:after="120"/>
        <w:rPr>
          <w:rFonts w:ascii="Calibri" w:eastAsia="Times New Roman" w:hAnsi="Calibri"/>
          <w:color w:val="000000"/>
          <w:sz w:val="24"/>
          <w:szCs w:val="24"/>
          <w:lang w:eastAsia="en-GB"/>
        </w:rPr>
      </w:pPr>
      <w:r w:rsidRPr="007E3904">
        <w:rPr>
          <w:rFonts w:ascii="Calibri" w:eastAsia="Times New Roman" w:hAnsi="Calibri"/>
          <w:color w:val="000000"/>
          <w:sz w:val="24"/>
          <w:szCs w:val="24"/>
          <w:lang w:eastAsia="en-GB"/>
        </w:rPr>
        <w:t xml:space="preserve">the zero fees </w:t>
      </w:r>
      <w:r w:rsidR="00AD0375">
        <w:rPr>
          <w:rFonts w:ascii="Calibri" w:eastAsia="Times New Roman" w:hAnsi="Calibri"/>
          <w:color w:val="000000"/>
          <w:sz w:val="24"/>
          <w:szCs w:val="24"/>
          <w:lang w:eastAsia="en-GB"/>
        </w:rPr>
        <w:t xml:space="preserve">consultations </w:t>
      </w:r>
      <w:r w:rsidR="00582E32">
        <w:rPr>
          <w:rFonts w:ascii="Calibri" w:eastAsia="Times New Roman" w:hAnsi="Calibri"/>
          <w:color w:val="000000"/>
          <w:sz w:val="24"/>
          <w:szCs w:val="24"/>
          <w:lang w:eastAsia="en-GB"/>
        </w:rPr>
        <w:t>and free p</w:t>
      </w:r>
      <w:r w:rsidR="00953EBA">
        <w:rPr>
          <w:rFonts w:ascii="Calibri" w:eastAsia="Times New Roman" w:hAnsi="Calibri"/>
          <w:color w:val="000000"/>
          <w:sz w:val="24"/>
          <w:szCs w:val="24"/>
          <w:lang w:eastAsia="en-GB"/>
        </w:rPr>
        <w:t>r</w:t>
      </w:r>
      <w:r w:rsidR="00582E32">
        <w:rPr>
          <w:rFonts w:ascii="Calibri" w:eastAsia="Times New Roman" w:hAnsi="Calibri"/>
          <w:color w:val="000000"/>
          <w:sz w:val="24"/>
          <w:szCs w:val="24"/>
          <w:lang w:eastAsia="en-GB"/>
        </w:rPr>
        <w:t xml:space="preserve">escriptions </w:t>
      </w:r>
      <w:r w:rsidRPr="007E3904">
        <w:rPr>
          <w:rFonts w:ascii="Calibri" w:eastAsia="Times New Roman" w:hAnsi="Calibri"/>
          <w:color w:val="000000"/>
          <w:sz w:val="24"/>
          <w:szCs w:val="24"/>
          <w:lang w:eastAsia="en-GB"/>
        </w:rPr>
        <w:t xml:space="preserve">for </w:t>
      </w:r>
      <w:r w:rsidR="00AD0375">
        <w:rPr>
          <w:rFonts w:ascii="Calibri" w:eastAsia="Times New Roman" w:hAnsi="Calibri"/>
          <w:color w:val="000000"/>
          <w:sz w:val="24"/>
          <w:szCs w:val="24"/>
          <w:lang w:eastAsia="en-GB"/>
        </w:rPr>
        <w:t xml:space="preserve">those aged </w:t>
      </w:r>
      <w:r w:rsidRPr="007E3904">
        <w:rPr>
          <w:rFonts w:ascii="Calibri" w:eastAsia="Times New Roman" w:hAnsi="Calibri"/>
          <w:color w:val="000000"/>
          <w:sz w:val="24"/>
          <w:szCs w:val="24"/>
          <w:lang w:eastAsia="en-GB"/>
        </w:rPr>
        <w:t>under 14 year</w:t>
      </w:r>
      <w:r w:rsidR="00AD0375">
        <w:rPr>
          <w:rFonts w:ascii="Calibri" w:eastAsia="Times New Roman" w:hAnsi="Calibri"/>
          <w:color w:val="000000"/>
          <w:sz w:val="24"/>
          <w:szCs w:val="24"/>
          <w:lang w:eastAsia="en-GB"/>
        </w:rPr>
        <w:t>s</w:t>
      </w:r>
      <w:r w:rsidRPr="007E3904">
        <w:rPr>
          <w:rFonts w:ascii="Calibri" w:eastAsia="Times New Roman" w:hAnsi="Calibri"/>
          <w:color w:val="000000"/>
          <w:sz w:val="24"/>
          <w:szCs w:val="24"/>
          <w:lang w:eastAsia="en-GB"/>
        </w:rPr>
        <w:t xml:space="preserve"> </w:t>
      </w:r>
    </w:p>
    <w:p w14:paraId="0988A8FB" w14:textId="1D2D3C0F" w:rsidR="00D25B8F" w:rsidRPr="007E3904" w:rsidRDefault="00D25B8F" w:rsidP="00D25B8F">
      <w:pPr>
        <w:pStyle w:val="ListParagraph"/>
        <w:numPr>
          <w:ilvl w:val="0"/>
          <w:numId w:val="31"/>
        </w:numPr>
        <w:spacing w:after="120"/>
        <w:rPr>
          <w:rFonts w:ascii="Calibri" w:eastAsia="Times New Roman" w:hAnsi="Calibri"/>
          <w:color w:val="000000"/>
          <w:sz w:val="24"/>
          <w:szCs w:val="24"/>
          <w:lang w:eastAsia="en-GB"/>
        </w:rPr>
      </w:pPr>
      <w:r w:rsidRPr="007E3904">
        <w:rPr>
          <w:rFonts w:ascii="Calibri" w:eastAsia="Times New Roman" w:hAnsi="Calibri"/>
          <w:color w:val="000000"/>
          <w:sz w:val="24"/>
          <w:szCs w:val="24"/>
          <w:lang w:eastAsia="en-GB"/>
        </w:rPr>
        <w:t xml:space="preserve">the </w:t>
      </w:r>
      <w:r w:rsidR="00582E32">
        <w:rPr>
          <w:rFonts w:ascii="Calibri" w:eastAsia="Times New Roman" w:hAnsi="Calibri"/>
          <w:color w:val="000000"/>
          <w:sz w:val="24"/>
          <w:szCs w:val="24"/>
          <w:lang w:eastAsia="en-GB"/>
        </w:rPr>
        <w:t xml:space="preserve">recent focus on improving and </w:t>
      </w:r>
      <w:r w:rsidRPr="007E3904">
        <w:rPr>
          <w:rFonts w:ascii="Calibri" w:eastAsia="Times New Roman" w:hAnsi="Calibri"/>
          <w:color w:val="000000"/>
          <w:sz w:val="24"/>
          <w:szCs w:val="24"/>
          <w:lang w:eastAsia="en-GB"/>
        </w:rPr>
        <w:t>integrat</w:t>
      </w:r>
      <w:r w:rsidR="00582E32">
        <w:rPr>
          <w:rFonts w:ascii="Calibri" w:eastAsia="Times New Roman" w:hAnsi="Calibri"/>
          <w:color w:val="000000"/>
          <w:sz w:val="24"/>
          <w:szCs w:val="24"/>
          <w:lang w:eastAsia="en-GB"/>
        </w:rPr>
        <w:t>ing</w:t>
      </w:r>
      <w:r w:rsidRPr="007E3904">
        <w:rPr>
          <w:rFonts w:ascii="Calibri" w:eastAsia="Times New Roman" w:hAnsi="Calibri"/>
          <w:color w:val="000000"/>
          <w:sz w:val="24"/>
          <w:szCs w:val="24"/>
          <w:lang w:eastAsia="en-GB"/>
        </w:rPr>
        <w:t xml:space="preserve"> well child</w:t>
      </w:r>
      <w:r w:rsidR="00582E32">
        <w:rPr>
          <w:rFonts w:ascii="Calibri" w:eastAsia="Times New Roman" w:hAnsi="Calibri"/>
          <w:color w:val="000000"/>
          <w:sz w:val="24"/>
          <w:szCs w:val="24"/>
          <w:lang w:eastAsia="en-GB"/>
        </w:rPr>
        <w:t>/</w:t>
      </w:r>
      <w:proofErr w:type="spellStart"/>
      <w:r w:rsidR="00582E32">
        <w:rPr>
          <w:rFonts w:ascii="Calibri" w:eastAsia="Times New Roman" w:hAnsi="Calibri"/>
          <w:color w:val="000000"/>
          <w:sz w:val="24"/>
          <w:szCs w:val="24"/>
          <w:lang w:eastAsia="en-GB"/>
        </w:rPr>
        <w:t>tamariki</w:t>
      </w:r>
      <w:proofErr w:type="spellEnd"/>
      <w:r w:rsidR="00582E32">
        <w:rPr>
          <w:rFonts w:ascii="Calibri" w:eastAsia="Times New Roman" w:hAnsi="Calibri"/>
          <w:color w:val="000000"/>
          <w:sz w:val="24"/>
          <w:szCs w:val="24"/>
          <w:lang w:eastAsia="en-GB"/>
        </w:rPr>
        <w:t xml:space="preserve"> </w:t>
      </w:r>
      <w:proofErr w:type="spellStart"/>
      <w:r w:rsidR="00582E32">
        <w:rPr>
          <w:rFonts w:ascii="Calibri" w:eastAsia="Times New Roman" w:hAnsi="Calibri"/>
          <w:color w:val="000000"/>
          <w:sz w:val="24"/>
          <w:szCs w:val="24"/>
          <w:lang w:eastAsia="en-GB"/>
        </w:rPr>
        <w:t>ora</w:t>
      </w:r>
      <w:proofErr w:type="spellEnd"/>
      <w:r w:rsidR="00582E32">
        <w:rPr>
          <w:rFonts w:ascii="Calibri" w:eastAsia="Times New Roman" w:hAnsi="Calibri"/>
          <w:color w:val="000000"/>
          <w:sz w:val="24"/>
          <w:szCs w:val="24"/>
          <w:lang w:eastAsia="en-GB"/>
        </w:rPr>
        <w:t xml:space="preserve"> </w:t>
      </w:r>
      <w:r w:rsidRPr="007E3904">
        <w:rPr>
          <w:rFonts w:ascii="Calibri" w:eastAsia="Times New Roman" w:hAnsi="Calibri"/>
          <w:color w:val="000000"/>
          <w:sz w:val="24"/>
          <w:szCs w:val="24"/>
          <w:lang w:eastAsia="en-GB"/>
        </w:rPr>
        <w:t xml:space="preserve">and immunisation services </w:t>
      </w:r>
    </w:p>
    <w:p w14:paraId="03467523" w14:textId="5C4F16EF" w:rsidR="00D25B8F" w:rsidRPr="007815DC" w:rsidRDefault="00D25B8F" w:rsidP="00953EBA">
      <w:pPr>
        <w:pStyle w:val="ListParagraph"/>
        <w:numPr>
          <w:ilvl w:val="0"/>
          <w:numId w:val="31"/>
        </w:numPr>
        <w:spacing w:after="120"/>
        <w:rPr>
          <w:rFonts w:ascii="Calibri" w:hAnsi="Calibri"/>
          <w:b/>
          <w:bCs/>
          <w:sz w:val="24"/>
          <w:szCs w:val="24"/>
          <w:lang w:val="en-US"/>
        </w:rPr>
      </w:pPr>
      <w:r w:rsidRPr="007815DC">
        <w:rPr>
          <w:rFonts w:ascii="Calibri" w:eastAsia="Times New Roman" w:hAnsi="Calibri"/>
          <w:color w:val="000000"/>
          <w:sz w:val="24"/>
          <w:szCs w:val="24"/>
          <w:lang w:eastAsia="en-GB"/>
        </w:rPr>
        <w:t xml:space="preserve">the recent </w:t>
      </w:r>
      <w:r w:rsidR="00582E32">
        <w:rPr>
          <w:rFonts w:ascii="Calibri" w:eastAsia="Times New Roman" w:hAnsi="Calibri"/>
          <w:color w:val="000000"/>
          <w:sz w:val="24"/>
          <w:szCs w:val="24"/>
          <w:lang w:eastAsia="en-GB"/>
        </w:rPr>
        <w:t xml:space="preserve">increased funding and </w:t>
      </w:r>
      <w:r w:rsidRPr="007815DC">
        <w:rPr>
          <w:rFonts w:ascii="Calibri" w:eastAsia="Times New Roman" w:hAnsi="Calibri"/>
          <w:color w:val="000000"/>
          <w:sz w:val="24"/>
          <w:szCs w:val="24"/>
          <w:lang w:eastAsia="en-GB"/>
        </w:rPr>
        <w:t xml:space="preserve">attention to mental health in the health sector. </w:t>
      </w:r>
    </w:p>
    <w:p w14:paraId="783B8C0F" w14:textId="3B544502" w:rsidR="008A77F2" w:rsidRDefault="00DD593C" w:rsidP="003439EA">
      <w:pPr>
        <w:pStyle w:val="Heading2"/>
        <w:spacing w:after="120"/>
        <w:rPr>
          <w:lang w:val="en-US"/>
        </w:rPr>
      </w:pPr>
      <w:r>
        <w:rPr>
          <w:lang w:val="en-US"/>
        </w:rPr>
        <w:t xml:space="preserve">Support for </w:t>
      </w:r>
      <w:r w:rsidR="008A77F2">
        <w:rPr>
          <w:lang w:val="en-US"/>
        </w:rPr>
        <w:t xml:space="preserve">WAI 2575 </w:t>
      </w:r>
      <w:r w:rsidR="00293982">
        <w:rPr>
          <w:lang w:val="en-US"/>
        </w:rPr>
        <w:t xml:space="preserve">Stage 1 report </w:t>
      </w:r>
      <w:r w:rsidR="008A77F2">
        <w:rPr>
          <w:lang w:val="en-US"/>
        </w:rPr>
        <w:t>recommendations</w:t>
      </w:r>
    </w:p>
    <w:p w14:paraId="53E84947" w14:textId="3326E73F" w:rsidR="008A77F2" w:rsidRPr="00293982" w:rsidRDefault="008A77F2" w:rsidP="00293982">
      <w:pPr>
        <w:pStyle w:val="ListParagraph"/>
        <w:numPr>
          <w:ilvl w:val="0"/>
          <w:numId w:val="39"/>
        </w:numPr>
        <w:rPr>
          <w:sz w:val="24"/>
          <w:szCs w:val="24"/>
          <w:lang w:val="en-US"/>
        </w:rPr>
      </w:pPr>
      <w:r w:rsidRPr="00293982">
        <w:rPr>
          <w:sz w:val="24"/>
          <w:szCs w:val="24"/>
          <w:lang w:val="en-US"/>
        </w:rPr>
        <w:t xml:space="preserve">We </w:t>
      </w:r>
      <w:r w:rsidR="002F0729">
        <w:rPr>
          <w:sz w:val="24"/>
          <w:szCs w:val="24"/>
          <w:lang w:val="en-US"/>
        </w:rPr>
        <w:t>welcome</w:t>
      </w:r>
      <w:r w:rsidRPr="00293982">
        <w:rPr>
          <w:sz w:val="24"/>
          <w:szCs w:val="24"/>
          <w:lang w:val="en-US"/>
        </w:rPr>
        <w:t xml:space="preserve"> </w:t>
      </w:r>
      <w:r w:rsidR="00DD593C">
        <w:rPr>
          <w:sz w:val="24"/>
          <w:szCs w:val="24"/>
          <w:lang w:val="en-US"/>
        </w:rPr>
        <w:t xml:space="preserve">and support </w:t>
      </w:r>
      <w:r w:rsidRPr="00293982">
        <w:rPr>
          <w:sz w:val="24"/>
          <w:szCs w:val="24"/>
          <w:lang w:val="en-US"/>
        </w:rPr>
        <w:t xml:space="preserve">the Waitangi Tribunal (2019) </w:t>
      </w:r>
      <w:r w:rsidR="00293982" w:rsidRPr="00293982">
        <w:rPr>
          <w:sz w:val="24"/>
          <w:szCs w:val="24"/>
          <w:lang w:val="en-US"/>
        </w:rPr>
        <w:t>Stage 1 report for WAI 2575</w:t>
      </w:r>
      <w:r w:rsidRPr="00293982">
        <w:rPr>
          <w:sz w:val="24"/>
          <w:szCs w:val="24"/>
          <w:lang w:val="en-US"/>
        </w:rPr>
        <w:t xml:space="preserve">, including </w:t>
      </w:r>
      <w:r w:rsidR="00976004" w:rsidRPr="00293982">
        <w:rPr>
          <w:sz w:val="24"/>
          <w:szCs w:val="24"/>
          <w:lang w:val="en-US"/>
        </w:rPr>
        <w:t xml:space="preserve">the recommendation that </w:t>
      </w:r>
      <w:r w:rsidRPr="00293982">
        <w:rPr>
          <w:sz w:val="24"/>
          <w:szCs w:val="24"/>
          <w:lang w:val="en-US"/>
        </w:rPr>
        <w:t>“</w:t>
      </w:r>
      <w:r w:rsidR="00976004" w:rsidRPr="00ED46FB">
        <w:rPr>
          <w:i/>
          <w:iCs/>
          <w:sz w:val="24"/>
          <w:szCs w:val="24"/>
        </w:rPr>
        <w:t>the Crown commit itself and the health sector to achieving equitable health outcomes for Māori</w:t>
      </w:r>
      <w:r w:rsidR="00976004" w:rsidRPr="00293982">
        <w:rPr>
          <w:sz w:val="24"/>
          <w:szCs w:val="24"/>
        </w:rPr>
        <w:t>.” Systemic racism, discrimination and the ongoing effects of colonisation currently exacerbate poverty and poor health outcomes for Māori, including Māori children.</w:t>
      </w:r>
    </w:p>
    <w:p w14:paraId="52552B31" w14:textId="0A624D48" w:rsidR="00D25B8F" w:rsidRPr="007E3904" w:rsidRDefault="00D25B8F" w:rsidP="003439EA">
      <w:pPr>
        <w:pStyle w:val="Heading2"/>
        <w:spacing w:after="120"/>
        <w:rPr>
          <w:lang w:val="en-US"/>
        </w:rPr>
      </w:pPr>
      <w:r w:rsidRPr="007E3904">
        <w:rPr>
          <w:lang w:val="en-US"/>
        </w:rPr>
        <w:t xml:space="preserve">Endorsements of H&amp;DSR recommendations </w:t>
      </w:r>
    </w:p>
    <w:p w14:paraId="453CB4CD" w14:textId="001808E3" w:rsidR="00FA7FD5" w:rsidRPr="006C268D" w:rsidRDefault="006C268D" w:rsidP="00267537">
      <w:pPr>
        <w:pStyle w:val="ListParagraph"/>
        <w:numPr>
          <w:ilvl w:val="0"/>
          <w:numId w:val="39"/>
        </w:numPr>
        <w:autoSpaceDE w:val="0"/>
        <w:autoSpaceDN w:val="0"/>
        <w:adjustRightInd w:val="0"/>
        <w:spacing w:after="120"/>
        <w:contextualSpacing w:val="0"/>
        <w:rPr>
          <w:rFonts w:ascii="Calibri" w:eastAsia="Times New Roman" w:hAnsi="Calibri"/>
          <w:color w:val="000000" w:themeColor="text1"/>
          <w:sz w:val="24"/>
          <w:szCs w:val="24"/>
          <w:u w:val="single"/>
        </w:rPr>
      </w:pPr>
      <w:r>
        <w:rPr>
          <w:rStyle w:val="Hyperlink"/>
          <w:rFonts w:ascii="Calibri" w:hAnsi="Calibri"/>
          <w:color w:val="000000" w:themeColor="text1"/>
          <w:sz w:val="24"/>
          <w:szCs w:val="24"/>
          <w:u w:val="none"/>
        </w:rPr>
        <w:t>We</w:t>
      </w:r>
      <w:r w:rsidR="00FA7FD5" w:rsidRPr="00FA7FD5">
        <w:rPr>
          <w:rStyle w:val="Hyperlink"/>
          <w:rFonts w:ascii="Calibri" w:hAnsi="Calibri"/>
          <w:color w:val="000000" w:themeColor="text1"/>
          <w:sz w:val="24"/>
          <w:szCs w:val="24"/>
          <w:u w:val="none"/>
        </w:rPr>
        <w:t xml:space="preserve"> endorse the development of a</w:t>
      </w:r>
      <w:r w:rsidR="00FA7FD5" w:rsidRPr="00FA7FD5">
        <w:rPr>
          <w:rFonts w:ascii="Calibri" w:hAnsi="Calibri"/>
          <w:color w:val="000000" w:themeColor="text1"/>
          <w:sz w:val="24"/>
          <w:szCs w:val="24"/>
        </w:rPr>
        <w:t xml:space="preserve"> “</w:t>
      </w:r>
      <w:r w:rsidR="00FA7FD5" w:rsidRPr="00CB5325">
        <w:rPr>
          <w:rFonts w:ascii="Calibri" w:hAnsi="Calibri"/>
          <w:i/>
          <w:iCs/>
          <w:color w:val="000000" w:themeColor="text1"/>
          <w:sz w:val="24"/>
          <w:szCs w:val="24"/>
        </w:rPr>
        <w:t xml:space="preserve">comprehensive indigenous commissioning framework…. which uses every enabler and lever, at every level, to ensure the system successfully delivers improved health and wellbeing outcomes for </w:t>
      </w:r>
      <w:proofErr w:type="spellStart"/>
      <w:r w:rsidR="00FA7FD5" w:rsidRPr="00CB5325">
        <w:rPr>
          <w:rFonts w:ascii="Calibri" w:hAnsi="Calibri"/>
          <w:i/>
          <w:iCs/>
          <w:color w:val="000000" w:themeColor="text1"/>
          <w:sz w:val="24"/>
          <w:szCs w:val="24"/>
        </w:rPr>
        <w:t>whānau</w:t>
      </w:r>
      <w:proofErr w:type="spellEnd"/>
      <w:r w:rsidR="00FA7FD5" w:rsidRPr="00CB5325">
        <w:rPr>
          <w:rFonts w:ascii="Calibri" w:hAnsi="Calibri"/>
          <w:i/>
          <w:iCs/>
          <w:color w:val="000000" w:themeColor="text1"/>
          <w:sz w:val="24"/>
          <w:szCs w:val="24"/>
        </w:rPr>
        <w:t xml:space="preserve">. The commissioning framework should be </w:t>
      </w:r>
      <w:proofErr w:type="spellStart"/>
      <w:r w:rsidR="00FA7FD5" w:rsidRPr="00CB5325">
        <w:rPr>
          <w:rFonts w:ascii="Calibri" w:hAnsi="Calibri"/>
          <w:i/>
          <w:iCs/>
          <w:color w:val="000000" w:themeColor="text1"/>
          <w:sz w:val="24"/>
          <w:szCs w:val="24"/>
        </w:rPr>
        <w:t>Tiriti</w:t>
      </w:r>
      <w:proofErr w:type="spellEnd"/>
      <w:r w:rsidR="00FA7FD5" w:rsidRPr="00CB5325">
        <w:rPr>
          <w:rFonts w:ascii="Calibri" w:hAnsi="Calibri"/>
          <w:i/>
          <w:iCs/>
          <w:color w:val="000000" w:themeColor="text1"/>
          <w:sz w:val="24"/>
          <w:szCs w:val="24"/>
        </w:rPr>
        <w:t xml:space="preserve"> compliant and designed by, and with,  Māori as an active expression of rangatiratanga and mana </w:t>
      </w:r>
      <w:proofErr w:type="spellStart"/>
      <w:r w:rsidR="00FA7FD5" w:rsidRPr="00CB5325">
        <w:rPr>
          <w:rFonts w:ascii="Calibri" w:hAnsi="Calibri"/>
          <w:i/>
          <w:iCs/>
          <w:color w:val="000000" w:themeColor="text1"/>
          <w:sz w:val="24"/>
          <w:szCs w:val="24"/>
        </w:rPr>
        <w:t>motuhake</w:t>
      </w:r>
      <w:proofErr w:type="spellEnd"/>
      <w:r w:rsidR="00FA7FD5" w:rsidRPr="00CB5325">
        <w:rPr>
          <w:rFonts w:ascii="Calibri" w:hAnsi="Calibri"/>
          <w:i/>
          <w:iCs/>
          <w:color w:val="000000" w:themeColor="text1"/>
          <w:sz w:val="24"/>
          <w:szCs w:val="24"/>
        </w:rPr>
        <w:t>, in a way that is not possible within mainstream organisations, such as HNZ and DHBs, with broader population responsibilities. The time is right for action around a broader indigenous commissioning framework in Aotearoa/New Zealand, that could be world leading in addressing inequity at system and service levels</w:t>
      </w:r>
      <w:r w:rsidR="00FA7FD5" w:rsidRPr="00FA7FD5">
        <w:rPr>
          <w:rFonts w:ascii="Calibri" w:hAnsi="Calibri"/>
          <w:color w:val="000000" w:themeColor="text1"/>
          <w:sz w:val="24"/>
          <w:szCs w:val="24"/>
        </w:rPr>
        <w:t>”</w:t>
      </w:r>
      <w:r w:rsidR="00FA7FD5">
        <w:rPr>
          <w:rFonts w:ascii="Calibri" w:hAnsi="Calibri"/>
          <w:color w:val="000000" w:themeColor="text1"/>
          <w:sz w:val="24"/>
          <w:szCs w:val="24"/>
        </w:rPr>
        <w:t xml:space="preserve"> (H&amp;DSR, 2020)</w:t>
      </w:r>
      <w:r w:rsidR="00FA7FD5" w:rsidRPr="00FA7FD5">
        <w:rPr>
          <w:rFonts w:ascii="Calibri" w:hAnsi="Calibri"/>
          <w:color w:val="000000" w:themeColor="text1"/>
          <w:sz w:val="24"/>
          <w:szCs w:val="24"/>
        </w:rPr>
        <w:t xml:space="preserve">. We note that this view is also held by others including the National Hauora Coalition, </w:t>
      </w:r>
      <w:proofErr w:type="spellStart"/>
      <w:r w:rsidR="00FA7FD5" w:rsidRPr="00FA7FD5">
        <w:rPr>
          <w:rFonts w:ascii="Calibri" w:hAnsi="Calibri"/>
          <w:color w:val="000000" w:themeColor="text1"/>
          <w:sz w:val="24"/>
          <w:szCs w:val="24"/>
        </w:rPr>
        <w:t>Te</w:t>
      </w:r>
      <w:proofErr w:type="spellEnd"/>
      <w:r w:rsidR="00FA7FD5" w:rsidRPr="00FA7FD5">
        <w:rPr>
          <w:rFonts w:ascii="Calibri" w:hAnsi="Calibri"/>
          <w:color w:val="000000" w:themeColor="text1"/>
          <w:sz w:val="24"/>
          <w:szCs w:val="24"/>
        </w:rPr>
        <w:t xml:space="preserve"> </w:t>
      </w:r>
      <w:proofErr w:type="spellStart"/>
      <w:r w:rsidR="00FA7FD5" w:rsidRPr="00FA7FD5">
        <w:rPr>
          <w:rFonts w:ascii="Calibri" w:hAnsi="Calibri"/>
          <w:color w:val="000000" w:themeColor="text1"/>
          <w:sz w:val="24"/>
          <w:szCs w:val="24"/>
        </w:rPr>
        <w:t>Kupenga</w:t>
      </w:r>
      <w:proofErr w:type="spellEnd"/>
      <w:r w:rsidR="00FA7FD5" w:rsidRPr="00FA7FD5">
        <w:rPr>
          <w:rFonts w:ascii="Calibri" w:hAnsi="Calibri"/>
          <w:color w:val="000000" w:themeColor="text1"/>
          <w:sz w:val="24"/>
          <w:szCs w:val="24"/>
        </w:rPr>
        <w:t xml:space="preserve"> Hauora Māori at the University of Auckland</w:t>
      </w:r>
      <w:r w:rsidR="00FA7FD5">
        <w:rPr>
          <w:rFonts w:ascii="Calibri" w:hAnsi="Calibri"/>
          <w:color w:val="000000" w:themeColor="text1"/>
          <w:sz w:val="24"/>
          <w:szCs w:val="24"/>
        </w:rPr>
        <w:t xml:space="preserve">, </w:t>
      </w:r>
      <w:r w:rsidR="00FA7FD5" w:rsidRPr="00FA7FD5">
        <w:rPr>
          <w:rFonts w:ascii="Calibri" w:hAnsi="Calibri"/>
          <w:color w:val="000000" w:themeColor="text1"/>
          <w:sz w:val="24"/>
          <w:szCs w:val="24"/>
        </w:rPr>
        <w:t>Public Health Association</w:t>
      </w:r>
      <w:r w:rsidR="00FA7FD5">
        <w:rPr>
          <w:rFonts w:ascii="Calibri" w:hAnsi="Calibri"/>
          <w:color w:val="000000" w:themeColor="text1"/>
          <w:sz w:val="24"/>
          <w:szCs w:val="24"/>
        </w:rPr>
        <w:t xml:space="preserve"> and</w:t>
      </w:r>
      <w:r w:rsidR="00FA7FD5" w:rsidRPr="00FA7FD5">
        <w:rPr>
          <w:rFonts w:ascii="Calibri" w:hAnsi="Calibri"/>
          <w:color w:val="000000" w:themeColor="text1"/>
          <w:sz w:val="24"/>
          <w:szCs w:val="24"/>
        </w:rPr>
        <w:t xml:space="preserve"> Royal Australasian College of Physicians.</w:t>
      </w:r>
    </w:p>
    <w:p w14:paraId="4FFBEDFF" w14:textId="34CF5FBA" w:rsidR="006C268D" w:rsidRPr="006C268D" w:rsidRDefault="006C268D" w:rsidP="00293982">
      <w:pPr>
        <w:pStyle w:val="ListParagraph"/>
        <w:numPr>
          <w:ilvl w:val="0"/>
          <w:numId w:val="39"/>
        </w:numPr>
        <w:spacing w:after="120"/>
        <w:ind w:left="714" w:hanging="357"/>
        <w:contextualSpacing w:val="0"/>
        <w:rPr>
          <w:rFonts w:ascii="Calibri" w:hAnsi="Calibri"/>
          <w:bCs/>
          <w:color w:val="000000" w:themeColor="text1"/>
          <w:sz w:val="24"/>
          <w:szCs w:val="24"/>
        </w:rPr>
      </w:pPr>
      <w:r w:rsidRPr="006C268D">
        <w:rPr>
          <w:rFonts w:ascii="Calibri" w:hAnsi="Calibri"/>
          <w:sz w:val="24"/>
          <w:szCs w:val="24"/>
        </w:rPr>
        <w:t xml:space="preserve">We support the H&amp;DSR recommendation to ring-fence </w:t>
      </w:r>
      <w:r w:rsidR="00CA3F1A">
        <w:rPr>
          <w:rFonts w:ascii="Calibri" w:hAnsi="Calibri"/>
          <w:sz w:val="24"/>
          <w:szCs w:val="24"/>
        </w:rPr>
        <w:t xml:space="preserve">funding for </w:t>
      </w:r>
      <w:r w:rsidRPr="006C268D">
        <w:rPr>
          <w:rFonts w:ascii="Calibri" w:hAnsi="Calibri"/>
          <w:sz w:val="24"/>
          <w:szCs w:val="24"/>
        </w:rPr>
        <w:t xml:space="preserve">Tier 1 services and emphasise localities, as </w:t>
      </w:r>
      <w:r w:rsidRPr="006C268D">
        <w:rPr>
          <w:rFonts w:ascii="Calibri" w:hAnsi="Calibri"/>
          <w:bCs/>
          <w:color w:val="000000" w:themeColor="text1"/>
          <w:sz w:val="24"/>
          <w:szCs w:val="24"/>
        </w:rPr>
        <w:t>the great majority of child health services take place in primary care and community settings and it is here that one of the most important potential health sector contributions to alleviating the effects of child poverty can be achieved.</w:t>
      </w:r>
    </w:p>
    <w:p w14:paraId="258BE089" w14:textId="77777777" w:rsidR="00D204E1" w:rsidRPr="00D204E1" w:rsidRDefault="00A856E0" w:rsidP="00293982">
      <w:pPr>
        <w:pStyle w:val="ListParagraph"/>
        <w:numPr>
          <w:ilvl w:val="0"/>
          <w:numId w:val="39"/>
        </w:numPr>
        <w:spacing w:line="240" w:lineRule="auto"/>
        <w:contextualSpacing w:val="0"/>
        <w:textAlignment w:val="baseline"/>
        <w:rPr>
          <w:rFonts w:ascii="Calibri" w:eastAsia="Times New Roman" w:hAnsi="Calibri" w:cs="Calibri"/>
          <w:bCs/>
          <w:color w:val="1D2129"/>
          <w:sz w:val="24"/>
          <w:szCs w:val="24"/>
          <w:lang w:eastAsia="en-NZ"/>
        </w:rPr>
      </w:pPr>
      <w:r w:rsidRPr="007E3904">
        <w:rPr>
          <w:rFonts w:ascii="Calibri" w:hAnsi="Calibri"/>
          <w:sz w:val="24"/>
          <w:szCs w:val="24"/>
        </w:rPr>
        <w:t xml:space="preserve">We endorse </w:t>
      </w:r>
      <w:r w:rsidR="00FA7FD5">
        <w:rPr>
          <w:rFonts w:ascii="Calibri" w:hAnsi="Calibri"/>
          <w:sz w:val="24"/>
          <w:szCs w:val="24"/>
        </w:rPr>
        <w:t xml:space="preserve">the </w:t>
      </w:r>
      <w:r w:rsidR="00FA7FD5">
        <w:rPr>
          <w:rFonts w:ascii="Calibri" w:hAnsi="Calibri"/>
          <w:color w:val="000000" w:themeColor="text1"/>
          <w:sz w:val="24"/>
          <w:szCs w:val="24"/>
        </w:rPr>
        <w:t xml:space="preserve">H&amp;DSR </w:t>
      </w:r>
      <w:r w:rsidRPr="007E3904">
        <w:rPr>
          <w:rFonts w:ascii="Calibri" w:hAnsi="Calibri"/>
          <w:sz w:val="24"/>
          <w:szCs w:val="24"/>
        </w:rPr>
        <w:t xml:space="preserve">recommendation for a guaranteed annual adjustment to Vote: Health to ensure continuation of existing services. </w:t>
      </w:r>
    </w:p>
    <w:p w14:paraId="53C191F6" w14:textId="65AB4027" w:rsidR="00116610" w:rsidRPr="00D204E1" w:rsidRDefault="00D204E1" w:rsidP="00293982">
      <w:pPr>
        <w:pStyle w:val="ListParagraph"/>
        <w:numPr>
          <w:ilvl w:val="0"/>
          <w:numId w:val="39"/>
        </w:numPr>
        <w:spacing w:line="240" w:lineRule="auto"/>
        <w:contextualSpacing w:val="0"/>
        <w:textAlignment w:val="baseline"/>
        <w:rPr>
          <w:rFonts w:ascii="Calibri" w:eastAsia="Times New Roman" w:hAnsi="Calibri" w:cs="Calibri"/>
          <w:bCs/>
          <w:color w:val="1D2129"/>
          <w:sz w:val="24"/>
          <w:szCs w:val="24"/>
          <w:lang w:eastAsia="en-NZ"/>
        </w:rPr>
      </w:pPr>
      <w:r w:rsidRPr="00D204E1">
        <w:rPr>
          <w:rFonts w:ascii="Calibri" w:hAnsi="Calibri"/>
          <w:color w:val="000000" w:themeColor="text1"/>
          <w:sz w:val="24"/>
          <w:szCs w:val="24"/>
        </w:rPr>
        <w:t>We endorse the H&amp;</w:t>
      </w:r>
      <w:r w:rsidR="0049247B">
        <w:rPr>
          <w:rFonts w:ascii="Calibri" w:hAnsi="Calibri"/>
          <w:color w:val="000000" w:themeColor="text1"/>
          <w:sz w:val="24"/>
          <w:szCs w:val="24"/>
        </w:rPr>
        <w:t>DS</w:t>
      </w:r>
      <w:r w:rsidRPr="00D204E1">
        <w:rPr>
          <w:rFonts w:ascii="Calibri" w:hAnsi="Calibri"/>
          <w:color w:val="000000" w:themeColor="text1"/>
          <w:sz w:val="24"/>
          <w:szCs w:val="24"/>
        </w:rPr>
        <w:t>R proposal of “</w:t>
      </w:r>
      <w:r w:rsidRPr="00CB5325">
        <w:rPr>
          <w:rFonts w:ascii="Calibri" w:hAnsi="Calibri"/>
          <w:i/>
          <w:iCs/>
          <w:color w:val="000000" w:themeColor="text1"/>
          <w:sz w:val="24"/>
          <w:szCs w:val="24"/>
        </w:rPr>
        <w:t>increased ethnicity and socioeconomic deprivation weighting within the population-based funding formula</w:t>
      </w:r>
      <w:r w:rsidRPr="00D204E1">
        <w:rPr>
          <w:rFonts w:ascii="Calibri" w:hAnsi="Calibri"/>
          <w:color w:val="000000" w:themeColor="text1"/>
          <w:sz w:val="24"/>
          <w:szCs w:val="24"/>
        </w:rPr>
        <w:t>”.</w:t>
      </w:r>
    </w:p>
    <w:p w14:paraId="60A326A1" w14:textId="77777777" w:rsidR="00293982" w:rsidRDefault="00293982">
      <w:pPr>
        <w:rPr>
          <w:rFonts w:asciiTheme="majorHAnsi" w:eastAsia="Times New Roman" w:hAnsiTheme="majorHAnsi" w:cstheme="majorBidi"/>
          <w:color w:val="C45911" w:themeColor="accent2" w:themeShade="BF"/>
          <w:sz w:val="26"/>
          <w:szCs w:val="26"/>
          <w:lang w:eastAsia="en-NZ"/>
        </w:rPr>
      </w:pPr>
      <w:r>
        <w:rPr>
          <w:rFonts w:eastAsia="Times New Roman"/>
          <w:lang w:eastAsia="en-NZ"/>
        </w:rPr>
        <w:br w:type="page"/>
      </w:r>
    </w:p>
    <w:p w14:paraId="5C640CAB" w14:textId="651E90BA" w:rsidR="00116610" w:rsidRPr="003439EA" w:rsidRDefault="003439EA" w:rsidP="003439EA">
      <w:pPr>
        <w:pStyle w:val="Heading2"/>
        <w:rPr>
          <w:rFonts w:eastAsia="Times New Roman"/>
          <w:lang w:eastAsia="en-NZ"/>
        </w:rPr>
      </w:pPr>
      <w:r>
        <w:rPr>
          <w:rFonts w:eastAsia="Times New Roman"/>
          <w:lang w:eastAsia="en-NZ"/>
        </w:rPr>
        <w:lastRenderedPageBreak/>
        <w:t xml:space="preserve">Additional CPAG </w:t>
      </w:r>
      <w:r w:rsidRPr="003439EA">
        <w:rPr>
          <w:rFonts w:eastAsia="Times New Roman"/>
          <w:lang w:eastAsia="en-NZ"/>
        </w:rPr>
        <w:t>Recommendations</w:t>
      </w:r>
      <w:r w:rsidR="00D204E1">
        <w:rPr>
          <w:rFonts w:eastAsia="Times New Roman"/>
          <w:lang w:eastAsia="en-NZ"/>
        </w:rPr>
        <w:t xml:space="preserve"> – Sector Structure and Funding</w:t>
      </w:r>
    </w:p>
    <w:p w14:paraId="2C5FF947" w14:textId="63F185B6" w:rsidR="006C268D" w:rsidRDefault="00FA7FD5" w:rsidP="00293982">
      <w:pPr>
        <w:pStyle w:val="ListParagraph"/>
        <w:numPr>
          <w:ilvl w:val="0"/>
          <w:numId w:val="39"/>
        </w:numPr>
        <w:spacing w:after="120"/>
        <w:contextualSpacing w:val="0"/>
        <w:rPr>
          <w:rFonts w:ascii="Calibri" w:eastAsia="Times New Roman" w:hAnsi="Calibri"/>
          <w:color w:val="000000"/>
          <w:sz w:val="24"/>
          <w:szCs w:val="24"/>
          <w:lang w:eastAsia="en-GB"/>
        </w:rPr>
      </w:pPr>
      <w:r>
        <w:rPr>
          <w:rFonts w:ascii="Calibri" w:eastAsia="Times New Roman" w:hAnsi="Calibri"/>
          <w:color w:val="000000"/>
          <w:sz w:val="24"/>
          <w:szCs w:val="24"/>
          <w:lang w:eastAsia="en-GB"/>
        </w:rPr>
        <w:t xml:space="preserve">That </w:t>
      </w:r>
      <w:r w:rsidR="00116610" w:rsidRPr="003439EA">
        <w:rPr>
          <w:rFonts w:ascii="Calibri" w:eastAsia="Times New Roman" w:hAnsi="Calibri"/>
          <w:color w:val="000000"/>
          <w:sz w:val="24"/>
          <w:szCs w:val="24"/>
          <w:lang w:eastAsia="en-GB"/>
        </w:rPr>
        <w:t>the government carefully identif</w:t>
      </w:r>
      <w:r>
        <w:rPr>
          <w:rFonts w:ascii="Calibri" w:eastAsia="Times New Roman" w:hAnsi="Calibri"/>
          <w:color w:val="000000"/>
          <w:sz w:val="24"/>
          <w:szCs w:val="24"/>
          <w:lang w:eastAsia="en-GB"/>
        </w:rPr>
        <w:t>y</w:t>
      </w:r>
      <w:r w:rsidR="00116610" w:rsidRPr="003439EA">
        <w:rPr>
          <w:rFonts w:ascii="Calibri" w:eastAsia="Times New Roman" w:hAnsi="Calibri"/>
          <w:color w:val="000000"/>
          <w:sz w:val="24"/>
          <w:szCs w:val="24"/>
          <w:lang w:eastAsia="en-GB"/>
        </w:rPr>
        <w:t xml:space="preserve"> the ongoing effects of the COVID-19 pandemic on </w:t>
      </w:r>
      <w:r w:rsidR="003439EA" w:rsidRPr="003439EA">
        <w:rPr>
          <w:rFonts w:ascii="Calibri" w:eastAsia="Times New Roman" w:hAnsi="Calibri"/>
          <w:color w:val="000000"/>
          <w:sz w:val="24"/>
          <w:szCs w:val="24"/>
          <w:lang w:eastAsia="en-GB"/>
        </w:rPr>
        <w:t xml:space="preserve">the </w:t>
      </w:r>
      <w:r w:rsidR="00116610" w:rsidRPr="003439EA">
        <w:rPr>
          <w:rFonts w:ascii="Calibri" w:eastAsia="Times New Roman" w:hAnsi="Calibri"/>
          <w:color w:val="000000"/>
          <w:sz w:val="24"/>
          <w:szCs w:val="24"/>
          <w:lang w:eastAsia="en-GB"/>
        </w:rPr>
        <w:t xml:space="preserve">health sector </w:t>
      </w:r>
      <w:r w:rsidR="003439EA" w:rsidRPr="003439EA">
        <w:rPr>
          <w:rFonts w:ascii="Calibri" w:eastAsia="Times New Roman" w:hAnsi="Calibri"/>
          <w:color w:val="000000"/>
          <w:sz w:val="24"/>
          <w:szCs w:val="24"/>
          <w:lang w:eastAsia="en-GB"/>
        </w:rPr>
        <w:t xml:space="preserve">and how </w:t>
      </w:r>
      <w:r w:rsidR="00CB5325">
        <w:rPr>
          <w:rFonts w:ascii="Calibri" w:eastAsia="Times New Roman" w:hAnsi="Calibri"/>
          <w:color w:val="000000"/>
          <w:sz w:val="24"/>
          <w:szCs w:val="24"/>
          <w:lang w:eastAsia="en-GB"/>
        </w:rPr>
        <w:t xml:space="preserve">the sector </w:t>
      </w:r>
      <w:r w:rsidR="00116610" w:rsidRPr="003439EA">
        <w:rPr>
          <w:rFonts w:ascii="Calibri" w:eastAsia="Times New Roman" w:hAnsi="Calibri"/>
          <w:color w:val="000000"/>
          <w:sz w:val="24"/>
          <w:szCs w:val="24"/>
          <w:lang w:eastAsia="en-GB"/>
        </w:rPr>
        <w:t>works</w:t>
      </w:r>
      <w:r w:rsidR="00786EA5">
        <w:rPr>
          <w:rFonts w:ascii="Calibri" w:eastAsia="Times New Roman" w:hAnsi="Calibri"/>
          <w:color w:val="000000"/>
          <w:sz w:val="24"/>
          <w:szCs w:val="24"/>
          <w:lang w:eastAsia="en-GB"/>
        </w:rPr>
        <w:t xml:space="preserve">, particularly in relation to how </w:t>
      </w:r>
      <w:r w:rsidR="00CB5325">
        <w:rPr>
          <w:rFonts w:ascii="Calibri" w:eastAsia="Times New Roman" w:hAnsi="Calibri"/>
          <w:color w:val="000000"/>
          <w:sz w:val="24"/>
          <w:szCs w:val="24"/>
          <w:lang w:eastAsia="en-GB"/>
        </w:rPr>
        <w:t xml:space="preserve">the pandemic </w:t>
      </w:r>
      <w:r w:rsidR="00786EA5">
        <w:rPr>
          <w:rFonts w:ascii="Calibri" w:eastAsia="Times New Roman" w:hAnsi="Calibri"/>
          <w:color w:val="000000"/>
          <w:sz w:val="24"/>
          <w:szCs w:val="24"/>
          <w:lang w:eastAsia="en-GB"/>
        </w:rPr>
        <w:t xml:space="preserve">exacerbates inequities </w:t>
      </w:r>
      <w:r w:rsidR="00161D72">
        <w:rPr>
          <w:rFonts w:ascii="Calibri" w:eastAsia="Times New Roman" w:hAnsi="Calibri"/>
          <w:color w:val="000000"/>
          <w:sz w:val="24"/>
          <w:szCs w:val="24"/>
          <w:lang w:eastAsia="en-GB"/>
        </w:rPr>
        <w:t xml:space="preserve">in multiple ways </w:t>
      </w:r>
      <w:r w:rsidR="00786EA5">
        <w:rPr>
          <w:rFonts w:ascii="Calibri" w:eastAsia="Times New Roman" w:hAnsi="Calibri"/>
          <w:color w:val="000000"/>
          <w:sz w:val="24"/>
          <w:szCs w:val="24"/>
          <w:lang w:eastAsia="en-GB"/>
        </w:rPr>
        <w:t>for low income families</w:t>
      </w:r>
      <w:r w:rsidR="00CB5325">
        <w:rPr>
          <w:rFonts w:ascii="Calibri" w:eastAsia="Times New Roman" w:hAnsi="Calibri"/>
          <w:color w:val="000000"/>
          <w:sz w:val="24"/>
          <w:szCs w:val="24"/>
          <w:lang w:eastAsia="en-GB"/>
        </w:rPr>
        <w:t>;</w:t>
      </w:r>
      <w:r w:rsidR="00116610" w:rsidRPr="003439EA">
        <w:rPr>
          <w:rFonts w:ascii="Calibri" w:eastAsia="Times New Roman" w:hAnsi="Calibri"/>
          <w:color w:val="000000"/>
          <w:sz w:val="24"/>
          <w:szCs w:val="24"/>
          <w:lang w:eastAsia="en-GB"/>
        </w:rPr>
        <w:t xml:space="preserve"> and </w:t>
      </w:r>
      <w:r w:rsidR="00CB5325">
        <w:rPr>
          <w:rFonts w:ascii="Calibri" w:eastAsia="Times New Roman" w:hAnsi="Calibri"/>
          <w:color w:val="000000"/>
          <w:sz w:val="24"/>
          <w:szCs w:val="24"/>
          <w:lang w:eastAsia="en-GB"/>
        </w:rPr>
        <w:t xml:space="preserve">that the government </w:t>
      </w:r>
      <w:r w:rsidR="00116610" w:rsidRPr="003439EA">
        <w:rPr>
          <w:rFonts w:ascii="Calibri" w:eastAsia="Times New Roman" w:hAnsi="Calibri"/>
          <w:color w:val="000000"/>
          <w:sz w:val="24"/>
          <w:szCs w:val="24"/>
          <w:lang w:eastAsia="en-GB"/>
        </w:rPr>
        <w:t>takes this into account when determining how to implement the H&amp;DSR recommendations</w:t>
      </w:r>
      <w:r w:rsidR="00CB5325">
        <w:rPr>
          <w:rFonts w:ascii="Calibri" w:eastAsia="Times New Roman" w:hAnsi="Calibri"/>
          <w:color w:val="000000"/>
          <w:sz w:val="24"/>
          <w:szCs w:val="24"/>
          <w:lang w:eastAsia="en-GB"/>
        </w:rPr>
        <w:t>.</w:t>
      </w:r>
    </w:p>
    <w:p w14:paraId="461FD75B" w14:textId="100F4A1B" w:rsidR="006C268D" w:rsidRPr="00CB5325" w:rsidRDefault="006C268D" w:rsidP="00293982">
      <w:pPr>
        <w:pStyle w:val="ListParagraph"/>
        <w:numPr>
          <w:ilvl w:val="0"/>
          <w:numId w:val="39"/>
        </w:numPr>
        <w:spacing w:after="120"/>
        <w:contextualSpacing w:val="0"/>
        <w:rPr>
          <w:rFonts w:ascii="Calibri" w:eastAsia="Times New Roman" w:hAnsi="Calibri"/>
          <w:color w:val="000000"/>
          <w:sz w:val="24"/>
          <w:szCs w:val="24"/>
          <w:lang w:eastAsia="en-GB"/>
        </w:rPr>
      </w:pPr>
      <w:r w:rsidRPr="006C268D">
        <w:rPr>
          <w:rFonts w:ascii="Calibri" w:hAnsi="Calibri"/>
          <w:iCs/>
          <w:color w:val="000000" w:themeColor="text1"/>
          <w:sz w:val="24"/>
          <w:szCs w:val="24"/>
        </w:rPr>
        <w:t>That the government ringfence funding for primary and population health services</w:t>
      </w:r>
      <w:r w:rsidR="00CB5325">
        <w:rPr>
          <w:rFonts w:ascii="Calibri" w:hAnsi="Calibri"/>
          <w:iCs/>
          <w:color w:val="000000" w:themeColor="text1"/>
          <w:sz w:val="24"/>
          <w:szCs w:val="24"/>
        </w:rPr>
        <w:t xml:space="preserve"> </w:t>
      </w:r>
      <w:r w:rsidRPr="006C268D">
        <w:rPr>
          <w:rFonts w:ascii="Calibri" w:hAnsi="Calibri"/>
          <w:iCs/>
          <w:color w:val="000000" w:themeColor="text1"/>
          <w:sz w:val="24"/>
          <w:szCs w:val="24"/>
        </w:rPr>
        <w:t xml:space="preserve">so that hospital deficits are not paid for through primary and population health services spending. </w:t>
      </w:r>
      <w:r w:rsidRPr="006C268D">
        <w:rPr>
          <w:rFonts w:ascii="Calibri" w:hAnsi="Calibri"/>
          <w:sz w:val="24"/>
          <w:szCs w:val="24"/>
        </w:rPr>
        <w:t xml:space="preserve">We recommend </w:t>
      </w:r>
      <w:r w:rsidR="00CB5325">
        <w:rPr>
          <w:rFonts w:ascii="Calibri" w:hAnsi="Calibri"/>
          <w:sz w:val="24"/>
          <w:szCs w:val="24"/>
        </w:rPr>
        <w:t xml:space="preserve">the </w:t>
      </w:r>
      <w:r w:rsidRPr="006C268D">
        <w:rPr>
          <w:rFonts w:ascii="Calibri" w:hAnsi="Calibri"/>
          <w:sz w:val="24"/>
          <w:szCs w:val="24"/>
        </w:rPr>
        <w:t>government give</w:t>
      </w:r>
      <w:r>
        <w:rPr>
          <w:rFonts w:ascii="Calibri" w:hAnsi="Calibri"/>
          <w:sz w:val="24"/>
          <w:szCs w:val="24"/>
        </w:rPr>
        <w:t>s</w:t>
      </w:r>
      <w:r w:rsidRPr="006C268D">
        <w:rPr>
          <w:rFonts w:ascii="Calibri" w:hAnsi="Calibri"/>
          <w:sz w:val="24"/>
          <w:szCs w:val="24"/>
        </w:rPr>
        <w:t xml:space="preserve"> serious thought as to </w:t>
      </w:r>
      <w:r w:rsidRPr="006C268D">
        <w:rPr>
          <w:rFonts w:ascii="Calibri" w:eastAsia="Times New Roman" w:hAnsi="Calibri"/>
          <w:sz w:val="24"/>
          <w:szCs w:val="24"/>
          <w:lang w:eastAsia="en-GB"/>
        </w:rPr>
        <w:t xml:space="preserve">how ring fencing Tier 1 services can be achieved practically and how ‘funding creep’ from secondary care would be prevented. </w:t>
      </w:r>
    </w:p>
    <w:p w14:paraId="15E3928C" w14:textId="2DDD107D" w:rsidR="00CB5325" w:rsidRPr="00CB5325" w:rsidRDefault="008E7C31" w:rsidP="00293982">
      <w:pPr>
        <w:pStyle w:val="ListParagraph"/>
        <w:numPr>
          <w:ilvl w:val="0"/>
          <w:numId w:val="39"/>
        </w:numPr>
        <w:spacing w:after="120"/>
        <w:contextualSpacing w:val="0"/>
        <w:rPr>
          <w:rFonts w:ascii="Calibri" w:eastAsia="Times New Roman" w:hAnsi="Calibri"/>
          <w:color w:val="000000"/>
          <w:sz w:val="24"/>
          <w:szCs w:val="24"/>
          <w:lang w:eastAsia="en-GB"/>
        </w:rPr>
      </w:pPr>
      <w:proofErr w:type="spellStart"/>
      <w:r w:rsidRPr="00CB5325">
        <w:rPr>
          <w:rFonts w:ascii="Calibri" w:hAnsi="Calibri" w:cs="Calibri"/>
          <w:sz w:val="24"/>
          <w:szCs w:val="24"/>
          <w:lang w:val="mi-NZ"/>
        </w:rPr>
        <w:t>That</w:t>
      </w:r>
      <w:proofErr w:type="spellEnd"/>
      <w:r w:rsidRPr="00CB5325">
        <w:rPr>
          <w:rFonts w:ascii="Calibri" w:hAnsi="Calibri" w:cs="Calibri"/>
          <w:sz w:val="24"/>
          <w:szCs w:val="24"/>
          <w:lang w:val="mi-NZ"/>
        </w:rPr>
        <w:t xml:space="preserve"> </w:t>
      </w:r>
      <w:proofErr w:type="spellStart"/>
      <w:r w:rsidRPr="00CB5325">
        <w:rPr>
          <w:rFonts w:ascii="Calibri" w:hAnsi="Calibri" w:cs="Calibri"/>
          <w:sz w:val="24"/>
          <w:szCs w:val="24"/>
          <w:lang w:val="mi-NZ"/>
        </w:rPr>
        <w:t>the</w:t>
      </w:r>
      <w:proofErr w:type="spellEnd"/>
      <w:r w:rsidRPr="00CB5325">
        <w:rPr>
          <w:rFonts w:ascii="Calibri" w:hAnsi="Calibri" w:cs="Calibri"/>
          <w:sz w:val="24"/>
          <w:szCs w:val="24"/>
          <w:lang w:val="mi-NZ"/>
        </w:rPr>
        <w:t xml:space="preserve"> </w:t>
      </w:r>
      <w:proofErr w:type="spellStart"/>
      <w:r w:rsidRPr="00CB5325">
        <w:rPr>
          <w:rFonts w:ascii="Calibri" w:hAnsi="Calibri" w:cs="Calibri"/>
          <w:sz w:val="24"/>
          <w:szCs w:val="24"/>
          <w:lang w:val="mi-NZ"/>
        </w:rPr>
        <w:t>government</w:t>
      </w:r>
      <w:proofErr w:type="spellEnd"/>
      <w:r w:rsidRPr="00CB5325">
        <w:rPr>
          <w:rFonts w:ascii="Calibri" w:hAnsi="Calibri" w:cs="Calibri"/>
          <w:sz w:val="24"/>
          <w:szCs w:val="24"/>
          <w:lang w:val="mi-NZ"/>
        </w:rPr>
        <w:t xml:space="preserve"> </w:t>
      </w:r>
      <w:proofErr w:type="spellStart"/>
      <w:r w:rsidRPr="00CB5325">
        <w:rPr>
          <w:rFonts w:ascii="Calibri" w:hAnsi="Calibri" w:cs="Calibri"/>
          <w:sz w:val="24"/>
          <w:szCs w:val="24"/>
          <w:lang w:val="mi-NZ"/>
        </w:rPr>
        <w:t>significantly</w:t>
      </w:r>
      <w:proofErr w:type="spellEnd"/>
      <w:r w:rsidRPr="00CB5325">
        <w:rPr>
          <w:rFonts w:ascii="Calibri" w:hAnsi="Calibri" w:cs="Calibri"/>
          <w:sz w:val="24"/>
          <w:szCs w:val="24"/>
          <w:lang w:val="mi-NZ"/>
        </w:rPr>
        <w:t xml:space="preserve"> </w:t>
      </w:r>
      <w:proofErr w:type="spellStart"/>
      <w:r w:rsidRPr="00CB5325">
        <w:rPr>
          <w:rFonts w:ascii="Calibri" w:hAnsi="Calibri" w:cs="Calibri"/>
          <w:sz w:val="24"/>
          <w:szCs w:val="24"/>
          <w:lang w:val="mi-NZ"/>
        </w:rPr>
        <w:t>increase</w:t>
      </w:r>
      <w:proofErr w:type="spellEnd"/>
      <w:r w:rsidR="00CA3F1A" w:rsidRPr="00CB5325">
        <w:rPr>
          <w:rFonts w:ascii="Calibri" w:hAnsi="Calibri" w:cs="Calibri"/>
          <w:sz w:val="24"/>
          <w:szCs w:val="24"/>
          <w:lang w:val="mi-NZ"/>
        </w:rPr>
        <w:t xml:space="preserve"> </w:t>
      </w:r>
      <w:proofErr w:type="spellStart"/>
      <w:r w:rsidR="00CA3F1A" w:rsidRPr="00CB5325">
        <w:rPr>
          <w:rFonts w:ascii="Calibri" w:hAnsi="Calibri" w:cs="Calibri"/>
          <w:sz w:val="24"/>
          <w:szCs w:val="24"/>
          <w:lang w:val="mi-NZ"/>
        </w:rPr>
        <w:t>funding</w:t>
      </w:r>
      <w:proofErr w:type="spellEnd"/>
      <w:r w:rsidR="00786EA5" w:rsidRPr="00CB5325">
        <w:rPr>
          <w:rFonts w:ascii="Calibri" w:hAnsi="Calibri" w:cs="Calibri"/>
          <w:sz w:val="24"/>
          <w:szCs w:val="24"/>
          <w:lang w:val="mi-NZ"/>
        </w:rPr>
        <w:t xml:space="preserve"> </w:t>
      </w:r>
      <w:r w:rsidR="00CA3F1A" w:rsidRPr="00CB5325">
        <w:rPr>
          <w:rFonts w:ascii="Calibri" w:hAnsi="Calibri" w:cs="Calibri"/>
          <w:sz w:val="24"/>
          <w:szCs w:val="24"/>
          <w:lang w:val="mi-NZ"/>
        </w:rPr>
        <w:t xml:space="preserve">for </w:t>
      </w:r>
      <w:proofErr w:type="spellStart"/>
      <w:r w:rsidR="00CA3F1A" w:rsidRPr="00CB5325">
        <w:rPr>
          <w:rFonts w:ascii="Calibri" w:hAnsi="Calibri" w:cs="Calibri"/>
          <w:sz w:val="24"/>
          <w:szCs w:val="24"/>
          <w:lang w:val="mi-NZ"/>
        </w:rPr>
        <w:t>Tier</w:t>
      </w:r>
      <w:proofErr w:type="spellEnd"/>
      <w:r w:rsidR="00CA3F1A" w:rsidRPr="00CB5325">
        <w:rPr>
          <w:rFonts w:ascii="Calibri" w:hAnsi="Calibri" w:cs="Calibri"/>
          <w:sz w:val="24"/>
          <w:szCs w:val="24"/>
          <w:lang w:val="mi-NZ"/>
        </w:rPr>
        <w:t xml:space="preserve"> 1 </w:t>
      </w:r>
      <w:proofErr w:type="spellStart"/>
      <w:r w:rsidR="00CA3F1A" w:rsidRPr="00CB5325">
        <w:rPr>
          <w:rFonts w:ascii="Calibri" w:hAnsi="Calibri" w:cs="Calibri"/>
          <w:sz w:val="24"/>
          <w:szCs w:val="24"/>
          <w:lang w:val="mi-NZ"/>
        </w:rPr>
        <w:t>services</w:t>
      </w:r>
      <w:proofErr w:type="spellEnd"/>
      <w:r w:rsidR="00BF6BE6" w:rsidRPr="00CB5325">
        <w:rPr>
          <w:rFonts w:ascii="Calibri" w:hAnsi="Calibri" w:cs="Calibri"/>
          <w:sz w:val="24"/>
          <w:szCs w:val="24"/>
          <w:lang w:val="mi-NZ"/>
        </w:rPr>
        <w:t xml:space="preserve"> (</w:t>
      </w:r>
      <w:proofErr w:type="spellStart"/>
      <w:r w:rsidR="00BF6BE6" w:rsidRPr="00CB5325">
        <w:rPr>
          <w:rFonts w:ascii="Calibri" w:hAnsi="Calibri" w:cs="Calibri"/>
          <w:sz w:val="24"/>
          <w:szCs w:val="24"/>
          <w:lang w:val="mi-NZ"/>
        </w:rPr>
        <w:t>primary</w:t>
      </w:r>
      <w:proofErr w:type="spellEnd"/>
      <w:r w:rsidR="00BF6BE6" w:rsidRPr="00CB5325">
        <w:rPr>
          <w:rFonts w:ascii="Calibri" w:hAnsi="Calibri" w:cs="Calibri"/>
          <w:sz w:val="24"/>
          <w:szCs w:val="24"/>
          <w:lang w:val="mi-NZ"/>
        </w:rPr>
        <w:t xml:space="preserve"> </w:t>
      </w:r>
      <w:proofErr w:type="spellStart"/>
      <w:r w:rsidR="00BF6BE6" w:rsidRPr="00CB5325">
        <w:rPr>
          <w:rFonts w:ascii="Calibri" w:hAnsi="Calibri" w:cs="Calibri"/>
          <w:sz w:val="24"/>
          <w:szCs w:val="24"/>
          <w:lang w:val="mi-NZ"/>
        </w:rPr>
        <w:t>care</w:t>
      </w:r>
      <w:proofErr w:type="spellEnd"/>
      <w:r w:rsidR="00BF6BE6" w:rsidRPr="00CB5325">
        <w:rPr>
          <w:rFonts w:ascii="Calibri" w:hAnsi="Calibri" w:cs="Calibri"/>
          <w:sz w:val="24"/>
          <w:szCs w:val="24"/>
          <w:lang w:val="mi-NZ"/>
        </w:rPr>
        <w:t xml:space="preserve"> and </w:t>
      </w:r>
      <w:proofErr w:type="spellStart"/>
      <w:r w:rsidR="00BF6BE6" w:rsidRPr="00CB5325">
        <w:rPr>
          <w:rFonts w:ascii="Calibri" w:hAnsi="Calibri" w:cs="Calibri"/>
          <w:sz w:val="24"/>
          <w:szCs w:val="24"/>
          <w:lang w:val="mi-NZ"/>
        </w:rPr>
        <w:t>population</w:t>
      </w:r>
      <w:proofErr w:type="spellEnd"/>
      <w:r w:rsidR="00BF6BE6" w:rsidRPr="00CB5325">
        <w:rPr>
          <w:rFonts w:ascii="Calibri" w:hAnsi="Calibri" w:cs="Calibri"/>
          <w:sz w:val="24"/>
          <w:szCs w:val="24"/>
          <w:lang w:val="mi-NZ"/>
        </w:rPr>
        <w:t xml:space="preserve"> </w:t>
      </w:r>
      <w:proofErr w:type="spellStart"/>
      <w:r w:rsidR="00BF6BE6" w:rsidRPr="00CB5325">
        <w:rPr>
          <w:rFonts w:ascii="Calibri" w:hAnsi="Calibri" w:cs="Calibri"/>
          <w:sz w:val="24"/>
          <w:szCs w:val="24"/>
          <w:lang w:val="mi-NZ"/>
        </w:rPr>
        <w:t>health</w:t>
      </w:r>
      <w:proofErr w:type="spellEnd"/>
      <w:r w:rsidR="00BF6BE6" w:rsidRPr="00CB5325">
        <w:rPr>
          <w:rFonts w:ascii="Calibri" w:hAnsi="Calibri" w:cs="Calibri"/>
          <w:sz w:val="24"/>
          <w:szCs w:val="24"/>
          <w:lang w:val="mi-NZ"/>
        </w:rPr>
        <w:t>),</w:t>
      </w:r>
      <w:r w:rsidR="00CA3F1A" w:rsidRPr="00CB5325">
        <w:rPr>
          <w:rFonts w:ascii="Calibri" w:hAnsi="Calibri" w:cs="Calibri"/>
          <w:sz w:val="24"/>
          <w:szCs w:val="24"/>
          <w:lang w:val="mi-NZ"/>
        </w:rPr>
        <w:t xml:space="preserve"> </w:t>
      </w:r>
      <w:r w:rsidR="00786EA5" w:rsidRPr="00CB5325">
        <w:rPr>
          <w:rFonts w:ascii="Calibri" w:hAnsi="Calibri" w:cs="Calibri"/>
          <w:sz w:val="24"/>
          <w:szCs w:val="24"/>
          <w:lang w:val="mi-NZ"/>
        </w:rPr>
        <w:t xml:space="preserve"> </w:t>
      </w:r>
      <w:proofErr w:type="spellStart"/>
      <w:r w:rsidR="00B12977">
        <w:rPr>
          <w:rFonts w:ascii="Calibri" w:hAnsi="Calibri" w:cs="Calibri"/>
          <w:sz w:val="24"/>
          <w:szCs w:val="24"/>
          <w:lang w:val="mi-NZ"/>
        </w:rPr>
        <w:t>using</w:t>
      </w:r>
      <w:proofErr w:type="spellEnd"/>
      <w:r w:rsidR="00B12977">
        <w:rPr>
          <w:rFonts w:ascii="Calibri" w:hAnsi="Calibri" w:cs="Calibri"/>
          <w:sz w:val="24"/>
          <w:szCs w:val="24"/>
          <w:lang w:val="mi-NZ"/>
        </w:rPr>
        <w:t xml:space="preserve"> </w:t>
      </w:r>
      <w:proofErr w:type="spellStart"/>
      <w:r w:rsidR="00786EA5" w:rsidRPr="00CB5325">
        <w:rPr>
          <w:rFonts w:ascii="Calibri" w:hAnsi="Calibri" w:cs="Calibri"/>
          <w:sz w:val="24"/>
          <w:szCs w:val="24"/>
          <w:lang w:val="mi-NZ"/>
        </w:rPr>
        <w:t>an</w:t>
      </w:r>
      <w:proofErr w:type="spellEnd"/>
      <w:r w:rsidR="00786EA5" w:rsidRPr="00CB5325">
        <w:rPr>
          <w:rFonts w:ascii="Calibri" w:hAnsi="Calibri" w:cs="Calibri"/>
          <w:sz w:val="24"/>
          <w:szCs w:val="24"/>
          <w:lang w:val="mi-NZ"/>
        </w:rPr>
        <w:t xml:space="preserve"> </w:t>
      </w:r>
      <w:proofErr w:type="spellStart"/>
      <w:r w:rsidR="00786EA5" w:rsidRPr="00CB5325">
        <w:rPr>
          <w:rFonts w:ascii="Calibri" w:hAnsi="Calibri" w:cs="Calibri"/>
          <w:sz w:val="24"/>
          <w:szCs w:val="24"/>
          <w:lang w:val="mi-NZ"/>
        </w:rPr>
        <w:t>equity</w:t>
      </w:r>
      <w:proofErr w:type="spellEnd"/>
      <w:r w:rsidR="00786EA5" w:rsidRPr="00CB5325">
        <w:rPr>
          <w:rFonts w:ascii="Calibri" w:hAnsi="Calibri" w:cs="Calibri"/>
          <w:sz w:val="24"/>
          <w:szCs w:val="24"/>
          <w:lang w:val="mi-NZ"/>
        </w:rPr>
        <w:t xml:space="preserve"> </w:t>
      </w:r>
      <w:proofErr w:type="spellStart"/>
      <w:r w:rsidR="00786EA5" w:rsidRPr="00CB5325">
        <w:rPr>
          <w:rFonts w:ascii="Calibri" w:hAnsi="Calibri" w:cs="Calibri"/>
          <w:sz w:val="24"/>
          <w:szCs w:val="24"/>
          <w:lang w:val="mi-NZ"/>
        </w:rPr>
        <w:t>lens</w:t>
      </w:r>
      <w:proofErr w:type="spellEnd"/>
      <w:r w:rsidR="00786EA5" w:rsidRPr="00CB5325">
        <w:rPr>
          <w:rFonts w:ascii="Calibri" w:hAnsi="Calibri" w:cs="Calibri"/>
          <w:sz w:val="24"/>
          <w:szCs w:val="24"/>
          <w:lang w:val="mi-NZ"/>
        </w:rPr>
        <w:t xml:space="preserve"> </w:t>
      </w:r>
      <w:proofErr w:type="spellStart"/>
      <w:r w:rsidR="00CA3F1A" w:rsidRPr="00CB5325">
        <w:rPr>
          <w:rFonts w:ascii="Calibri" w:hAnsi="Calibri" w:cs="Calibri"/>
          <w:sz w:val="24"/>
          <w:szCs w:val="24"/>
          <w:lang w:val="mi-NZ"/>
        </w:rPr>
        <w:t>in</w:t>
      </w:r>
      <w:proofErr w:type="spellEnd"/>
      <w:r w:rsidR="00CA3F1A" w:rsidRPr="00CB5325">
        <w:rPr>
          <w:rFonts w:ascii="Calibri" w:hAnsi="Calibri" w:cs="Calibri"/>
          <w:sz w:val="24"/>
          <w:szCs w:val="24"/>
          <w:lang w:val="mi-NZ"/>
        </w:rPr>
        <w:t xml:space="preserve"> </w:t>
      </w:r>
      <w:proofErr w:type="spellStart"/>
      <w:r w:rsidR="00CA3F1A" w:rsidRPr="00CB5325">
        <w:rPr>
          <w:rFonts w:ascii="Calibri" w:hAnsi="Calibri" w:cs="Calibri"/>
          <w:sz w:val="24"/>
          <w:szCs w:val="24"/>
          <w:lang w:val="mi-NZ"/>
        </w:rPr>
        <w:t>order</w:t>
      </w:r>
      <w:proofErr w:type="spellEnd"/>
      <w:r w:rsidR="00CA3F1A" w:rsidRPr="00CB5325">
        <w:rPr>
          <w:rFonts w:ascii="Calibri" w:hAnsi="Calibri" w:cs="Calibri"/>
          <w:sz w:val="24"/>
          <w:szCs w:val="24"/>
          <w:lang w:val="mi-NZ"/>
        </w:rPr>
        <w:t xml:space="preserve"> to </w:t>
      </w:r>
      <w:proofErr w:type="spellStart"/>
      <w:r w:rsidR="00CA3F1A" w:rsidRPr="00CB5325">
        <w:rPr>
          <w:rFonts w:ascii="Calibri" w:hAnsi="Calibri" w:cs="Calibri"/>
          <w:sz w:val="24"/>
          <w:szCs w:val="24"/>
          <w:lang w:val="mi-NZ"/>
        </w:rPr>
        <w:t>address</w:t>
      </w:r>
      <w:proofErr w:type="spellEnd"/>
      <w:r w:rsidR="00CA3F1A" w:rsidRPr="00CB5325">
        <w:rPr>
          <w:rFonts w:ascii="Calibri" w:hAnsi="Calibri" w:cs="Calibri"/>
          <w:sz w:val="24"/>
          <w:szCs w:val="24"/>
          <w:lang w:val="mi-NZ"/>
        </w:rPr>
        <w:t xml:space="preserve"> </w:t>
      </w:r>
      <w:proofErr w:type="spellStart"/>
      <w:r w:rsidR="00CA3F1A" w:rsidRPr="00CB5325">
        <w:rPr>
          <w:rFonts w:ascii="Calibri" w:hAnsi="Calibri" w:cs="Calibri"/>
          <w:sz w:val="24"/>
          <w:szCs w:val="24"/>
          <w:lang w:val="mi-NZ"/>
        </w:rPr>
        <w:t>unmet</w:t>
      </w:r>
      <w:proofErr w:type="spellEnd"/>
      <w:r w:rsidR="00CA3F1A" w:rsidRPr="00CB5325">
        <w:rPr>
          <w:rFonts w:ascii="Calibri" w:hAnsi="Calibri" w:cs="Calibri"/>
          <w:sz w:val="24"/>
          <w:szCs w:val="24"/>
          <w:lang w:val="mi-NZ"/>
        </w:rPr>
        <w:t xml:space="preserve"> </w:t>
      </w:r>
      <w:proofErr w:type="spellStart"/>
      <w:r w:rsidR="00CA3F1A" w:rsidRPr="00CB5325">
        <w:rPr>
          <w:rFonts w:ascii="Calibri" w:hAnsi="Calibri" w:cs="Calibri"/>
          <w:sz w:val="24"/>
          <w:szCs w:val="24"/>
          <w:lang w:val="mi-NZ"/>
        </w:rPr>
        <w:t>need</w:t>
      </w:r>
      <w:proofErr w:type="spellEnd"/>
      <w:r w:rsidR="00CA3F1A" w:rsidRPr="00CB5325">
        <w:rPr>
          <w:rFonts w:ascii="Calibri" w:hAnsi="Calibri" w:cs="Calibri"/>
          <w:sz w:val="24"/>
          <w:szCs w:val="24"/>
          <w:lang w:val="mi-NZ"/>
        </w:rPr>
        <w:t xml:space="preserve"> and </w:t>
      </w:r>
      <w:proofErr w:type="spellStart"/>
      <w:r w:rsidR="00CA3F1A" w:rsidRPr="00CB5325">
        <w:rPr>
          <w:rFonts w:ascii="Calibri" w:hAnsi="Calibri" w:cs="Calibri"/>
          <w:sz w:val="24"/>
          <w:szCs w:val="24"/>
          <w:lang w:val="mi-NZ"/>
        </w:rPr>
        <w:t>existing</w:t>
      </w:r>
      <w:proofErr w:type="spellEnd"/>
      <w:r w:rsidR="00CA3F1A" w:rsidRPr="00CB5325">
        <w:rPr>
          <w:rFonts w:ascii="Calibri" w:hAnsi="Calibri" w:cs="Calibri"/>
          <w:sz w:val="24"/>
          <w:szCs w:val="24"/>
          <w:lang w:val="mi-NZ"/>
        </w:rPr>
        <w:t xml:space="preserve"> </w:t>
      </w:r>
      <w:proofErr w:type="spellStart"/>
      <w:r w:rsidR="00CA3F1A" w:rsidRPr="00CB5325">
        <w:rPr>
          <w:rFonts w:ascii="Calibri" w:hAnsi="Calibri" w:cs="Calibri"/>
          <w:sz w:val="24"/>
          <w:szCs w:val="24"/>
          <w:lang w:val="mi-NZ"/>
        </w:rPr>
        <w:t>inequities</w:t>
      </w:r>
      <w:proofErr w:type="spellEnd"/>
      <w:r w:rsidR="00CA3F1A" w:rsidRPr="00CB5325">
        <w:rPr>
          <w:rFonts w:ascii="Calibri" w:hAnsi="Calibri" w:cs="Calibri"/>
          <w:sz w:val="24"/>
          <w:szCs w:val="24"/>
          <w:lang w:val="mi-NZ"/>
        </w:rPr>
        <w:t xml:space="preserve"> and </w:t>
      </w:r>
      <w:proofErr w:type="spellStart"/>
      <w:r w:rsidR="00CA3F1A" w:rsidRPr="00CB5325">
        <w:rPr>
          <w:rFonts w:ascii="Calibri" w:hAnsi="Calibri" w:cs="Calibri"/>
          <w:sz w:val="24"/>
          <w:szCs w:val="24"/>
          <w:lang w:val="mi-NZ"/>
        </w:rPr>
        <w:t>realise</w:t>
      </w:r>
      <w:proofErr w:type="spellEnd"/>
      <w:r w:rsidR="00CA3F1A" w:rsidRPr="00CB5325">
        <w:rPr>
          <w:rFonts w:ascii="Calibri" w:hAnsi="Calibri" w:cs="Calibri"/>
          <w:sz w:val="24"/>
          <w:szCs w:val="24"/>
          <w:lang w:val="mi-NZ"/>
        </w:rPr>
        <w:t xml:space="preserve"> </w:t>
      </w:r>
      <w:proofErr w:type="spellStart"/>
      <w:r w:rsidR="00CA3F1A" w:rsidRPr="00CB5325">
        <w:rPr>
          <w:rFonts w:ascii="Calibri" w:hAnsi="Calibri" w:cs="Calibri"/>
          <w:sz w:val="24"/>
          <w:szCs w:val="24"/>
          <w:lang w:val="mi-NZ"/>
        </w:rPr>
        <w:t>the</w:t>
      </w:r>
      <w:proofErr w:type="spellEnd"/>
      <w:r w:rsidR="00CA3F1A" w:rsidRPr="00CB5325">
        <w:rPr>
          <w:rFonts w:ascii="Calibri" w:hAnsi="Calibri" w:cs="Calibri"/>
          <w:sz w:val="24"/>
          <w:szCs w:val="24"/>
          <w:lang w:val="mi-NZ"/>
        </w:rPr>
        <w:t xml:space="preserve"> </w:t>
      </w:r>
      <w:proofErr w:type="spellStart"/>
      <w:r w:rsidR="00CA3F1A" w:rsidRPr="00CB5325">
        <w:rPr>
          <w:rFonts w:ascii="Calibri" w:hAnsi="Calibri" w:cs="Calibri"/>
          <w:sz w:val="24"/>
          <w:szCs w:val="24"/>
          <w:lang w:val="mi-NZ"/>
        </w:rPr>
        <w:t>potential</w:t>
      </w:r>
      <w:proofErr w:type="spellEnd"/>
      <w:r w:rsidR="00CA3F1A" w:rsidRPr="00CB5325">
        <w:rPr>
          <w:rFonts w:ascii="Calibri" w:hAnsi="Calibri" w:cs="Calibri"/>
          <w:sz w:val="24"/>
          <w:szCs w:val="24"/>
          <w:lang w:val="mi-NZ"/>
        </w:rPr>
        <w:t xml:space="preserve"> to </w:t>
      </w:r>
      <w:proofErr w:type="spellStart"/>
      <w:r w:rsidR="00CA3F1A" w:rsidRPr="00CB5325">
        <w:rPr>
          <w:rFonts w:ascii="Calibri" w:hAnsi="Calibri" w:cs="Calibri"/>
          <w:sz w:val="24"/>
          <w:szCs w:val="24"/>
          <w:lang w:val="mi-NZ"/>
        </w:rPr>
        <w:t>improve</w:t>
      </w:r>
      <w:proofErr w:type="spellEnd"/>
      <w:r w:rsidR="00CA3F1A" w:rsidRPr="00CB5325">
        <w:rPr>
          <w:rFonts w:ascii="Calibri" w:hAnsi="Calibri" w:cs="Calibri"/>
          <w:sz w:val="24"/>
          <w:szCs w:val="24"/>
          <w:lang w:val="mi-NZ"/>
        </w:rPr>
        <w:t xml:space="preserve"> </w:t>
      </w:r>
      <w:proofErr w:type="spellStart"/>
      <w:r w:rsidR="00CA3F1A" w:rsidRPr="00CB5325">
        <w:rPr>
          <w:rFonts w:ascii="Calibri" w:hAnsi="Calibri" w:cs="Calibri"/>
          <w:sz w:val="24"/>
          <w:szCs w:val="24"/>
          <w:lang w:val="mi-NZ"/>
        </w:rPr>
        <w:t>population</w:t>
      </w:r>
      <w:proofErr w:type="spellEnd"/>
      <w:r w:rsidR="00CA3F1A" w:rsidRPr="00CB5325">
        <w:rPr>
          <w:rFonts w:ascii="Calibri" w:hAnsi="Calibri" w:cs="Calibri"/>
          <w:sz w:val="24"/>
          <w:szCs w:val="24"/>
          <w:lang w:val="mi-NZ"/>
        </w:rPr>
        <w:t xml:space="preserve"> </w:t>
      </w:r>
      <w:proofErr w:type="spellStart"/>
      <w:r w:rsidR="007C303E" w:rsidRPr="00CB5325">
        <w:rPr>
          <w:rFonts w:ascii="Calibri" w:hAnsi="Calibri" w:cs="Calibri"/>
          <w:sz w:val="24"/>
          <w:szCs w:val="24"/>
          <w:lang w:val="mi-NZ"/>
        </w:rPr>
        <w:t>h</w:t>
      </w:r>
      <w:r w:rsidR="009B4330" w:rsidRPr="00CB5325">
        <w:rPr>
          <w:rFonts w:ascii="Calibri" w:hAnsi="Calibri" w:cs="Calibri"/>
          <w:sz w:val="24"/>
          <w:szCs w:val="24"/>
          <w:lang w:val="mi-NZ"/>
        </w:rPr>
        <w:t>ealth</w:t>
      </w:r>
      <w:proofErr w:type="spellEnd"/>
      <w:r w:rsidR="009B4330" w:rsidRPr="00CB5325">
        <w:rPr>
          <w:rFonts w:ascii="Calibri" w:hAnsi="Calibri" w:cs="Calibri"/>
          <w:sz w:val="24"/>
          <w:szCs w:val="24"/>
          <w:lang w:val="mi-NZ"/>
        </w:rPr>
        <w:t xml:space="preserve">. </w:t>
      </w:r>
    </w:p>
    <w:p w14:paraId="6050D15C" w14:textId="6F547398" w:rsidR="006C268D" w:rsidRPr="006C268D" w:rsidRDefault="00FA7FD5" w:rsidP="00293982">
      <w:pPr>
        <w:pStyle w:val="ListParagraph"/>
        <w:numPr>
          <w:ilvl w:val="0"/>
          <w:numId w:val="39"/>
        </w:numPr>
        <w:spacing w:after="120"/>
        <w:contextualSpacing w:val="0"/>
        <w:rPr>
          <w:rFonts w:ascii="Calibri" w:eastAsia="Times New Roman" w:hAnsi="Calibri"/>
          <w:color w:val="000000"/>
          <w:sz w:val="24"/>
          <w:szCs w:val="24"/>
          <w:lang w:eastAsia="en-GB"/>
        </w:rPr>
      </w:pPr>
      <w:r>
        <w:rPr>
          <w:rFonts w:ascii="Calibri" w:hAnsi="Calibri"/>
          <w:color w:val="000000" w:themeColor="text1"/>
          <w:sz w:val="24"/>
          <w:szCs w:val="24"/>
          <w:lang w:val="en-US"/>
        </w:rPr>
        <w:t xml:space="preserve">That </w:t>
      </w:r>
      <w:r w:rsidR="00116610" w:rsidRPr="00FA7FD5">
        <w:rPr>
          <w:rFonts w:ascii="Calibri" w:hAnsi="Calibri"/>
          <w:color w:val="000000" w:themeColor="text1"/>
          <w:sz w:val="24"/>
          <w:szCs w:val="24"/>
          <w:lang w:val="en-US"/>
        </w:rPr>
        <w:t xml:space="preserve">the government take direction from </w:t>
      </w:r>
      <w:r w:rsidR="00116610" w:rsidRPr="00B12977">
        <w:rPr>
          <w:rFonts w:ascii="Calibri" w:hAnsi="Calibri"/>
          <w:iCs/>
          <w:color w:val="000000" w:themeColor="text1"/>
          <w:sz w:val="24"/>
          <w:szCs w:val="24"/>
        </w:rPr>
        <w:t>people with disabilities (including children with disabilities), families and support groups</w:t>
      </w:r>
      <w:r w:rsidR="00116610" w:rsidRPr="00FA7FD5">
        <w:rPr>
          <w:rFonts w:ascii="Calibri" w:hAnsi="Calibri"/>
          <w:i/>
          <w:color w:val="000000" w:themeColor="text1"/>
          <w:sz w:val="24"/>
          <w:szCs w:val="24"/>
        </w:rPr>
        <w:t xml:space="preserve"> </w:t>
      </w:r>
      <w:r w:rsidR="00116610" w:rsidRPr="00FA7FD5">
        <w:rPr>
          <w:rFonts w:ascii="Calibri" w:hAnsi="Calibri"/>
          <w:iCs/>
          <w:color w:val="000000" w:themeColor="text1"/>
          <w:sz w:val="24"/>
          <w:szCs w:val="24"/>
        </w:rPr>
        <w:t xml:space="preserve">about how best to ensure </w:t>
      </w:r>
      <w:r w:rsidR="00116610" w:rsidRPr="00FA7FD5">
        <w:rPr>
          <w:rFonts w:ascii="Calibri" w:hAnsi="Calibri"/>
          <w:color w:val="000000" w:themeColor="text1"/>
          <w:sz w:val="24"/>
          <w:szCs w:val="24"/>
          <w:lang w:val="en-US"/>
        </w:rPr>
        <w:t>disability services achieve the greater consistency, coordination and funding they require.</w:t>
      </w:r>
    </w:p>
    <w:p w14:paraId="3DF13A67" w14:textId="77777777" w:rsidR="00B12977" w:rsidRPr="00B12977" w:rsidRDefault="006C268D" w:rsidP="00B12977">
      <w:pPr>
        <w:pStyle w:val="ListParagraph"/>
        <w:numPr>
          <w:ilvl w:val="0"/>
          <w:numId w:val="39"/>
        </w:numPr>
        <w:spacing w:after="120"/>
        <w:contextualSpacing w:val="0"/>
        <w:rPr>
          <w:rFonts w:ascii="Calibri" w:hAnsi="Calibri"/>
          <w:sz w:val="24"/>
          <w:szCs w:val="24"/>
        </w:rPr>
      </w:pPr>
      <w:r w:rsidRPr="006C268D">
        <w:rPr>
          <w:rFonts w:ascii="Calibri" w:hAnsi="Calibri"/>
          <w:color w:val="000000" w:themeColor="text1"/>
          <w:sz w:val="24"/>
          <w:szCs w:val="24"/>
        </w:rPr>
        <w:t xml:space="preserve">That </w:t>
      </w:r>
      <w:r w:rsidR="00116610" w:rsidRPr="006C268D">
        <w:rPr>
          <w:rFonts w:ascii="Calibri" w:hAnsi="Calibri"/>
          <w:color w:val="000000" w:themeColor="text1"/>
          <w:sz w:val="24"/>
          <w:szCs w:val="24"/>
        </w:rPr>
        <w:t xml:space="preserve">the government specifically </w:t>
      </w:r>
      <w:r w:rsidRPr="006C268D">
        <w:rPr>
          <w:rFonts w:ascii="Calibri" w:hAnsi="Calibri"/>
          <w:color w:val="000000" w:themeColor="text1"/>
          <w:sz w:val="24"/>
          <w:szCs w:val="24"/>
        </w:rPr>
        <w:t>identif</w:t>
      </w:r>
      <w:r w:rsidR="00B12977">
        <w:rPr>
          <w:rFonts w:ascii="Calibri" w:hAnsi="Calibri"/>
          <w:color w:val="000000" w:themeColor="text1"/>
          <w:sz w:val="24"/>
          <w:szCs w:val="24"/>
        </w:rPr>
        <w:t>y</w:t>
      </w:r>
      <w:r w:rsidRPr="006C268D">
        <w:rPr>
          <w:rFonts w:ascii="Calibri" w:hAnsi="Calibri"/>
          <w:color w:val="000000" w:themeColor="text1"/>
          <w:sz w:val="24"/>
          <w:szCs w:val="24"/>
        </w:rPr>
        <w:t xml:space="preserve"> </w:t>
      </w:r>
      <w:r w:rsidR="00116610" w:rsidRPr="006C268D">
        <w:rPr>
          <w:rFonts w:ascii="Calibri" w:hAnsi="Calibri"/>
          <w:color w:val="000000" w:themeColor="text1"/>
          <w:sz w:val="24"/>
          <w:szCs w:val="24"/>
        </w:rPr>
        <w:t xml:space="preserve">the </w:t>
      </w:r>
      <w:r w:rsidRPr="006C268D">
        <w:rPr>
          <w:rFonts w:ascii="Calibri" w:hAnsi="Calibri"/>
          <w:color w:val="000000" w:themeColor="text1"/>
          <w:sz w:val="24"/>
          <w:szCs w:val="24"/>
        </w:rPr>
        <w:t xml:space="preserve">health system </w:t>
      </w:r>
      <w:r w:rsidR="00116610" w:rsidRPr="006C268D">
        <w:rPr>
          <w:rFonts w:ascii="Calibri" w:hAnsi="Calibri"/>
          <w:color w:val="000000" w:themeColor="text1"/>
          <w:sz w:val="24"/>
          <w:szCs w:val="24"/>
        </w:rPr>
        <w:t>needs of refugees and migrant groups, including children from refugee and migrant backgrounds, and addresses their needs appropriately in making improvements in the Health and Disability System.</w:t>
      </w:r>
    </w:p>
    <w:p w14:paraId="571EEDF6" w14:textId="46734A9B" w:rsidR="00116610" w:rsidRPr="00B12977" w:rsidRDefault="006C268D" w:rsidP="00B12977">
      <w:pPr>
        <w:pStyle w:val="ListParagraph"/>
        <w:numPr>
          <w:ilvl w:val="0"/>
          <w:numId w:val="39"/>
        </w:numPr>
        <w:spacing w:after="120"/>
        <w:contextualSpacing w:val="0"/>
        <w:rPr>
          <w:rFonts w:ascii="Calibri" w:hAnsi="Calibri"/>
          <w:sz w:val="24"/>
          <w:szCs w:val="24"/>
        </w:rPr>
      </w:pPr>
      <w:r w:rsidRPr="00B12977">
        <w:rPr>
          <w:rFonts w:ascii="Calibri" w:hAnsi="Calibri"/>
          <w:sz w:val="24"/>
          <w:szCs w:val="24"/>
        </w:rPr>
        <w:t>That the g</w:t>
      </w:r>
      <w:r w:rsidR="00116610" w:rsidRPr="00B12977">
        <w:rPr>
          <w:rFonts w:ascii="Calibri" w:hAnsi="Calibri"/>
          <w:sz w:val="24"/>
          <w:szCs w:val="24"/>
        </w:rPr>
        <w:t xml:space="preserve">overnment </w:t>
      </w:r>
      <w:r w:rsidRPr="00B12977">
        <w:rPr>
          <w:rFonts w:ascii="Calibri" w:hAnsi="Calibri"/>
          <w:sz w:val="24"/>
          <w:szCs w:val="24"/>
        </w:rPr>
        <w:t xml:space="preserve">develop and implement policies to </w:t>
      </w:r>
      <w:r w:rsidR="00DD593C" w:rsidRPr="00B12977">
        <w:rPr>
          <w:rFonts w:ascii="Calibri" w:hAnsi="Calibri"/>
          <w:sz w:val="24"/>
          <w:szCs w:val="24"/>
        </w:rPr>
        <w:t xml:space="preserve">better </w:t>
      </w:r>
      <w:r w:rsidR="00CA3F1A" w:rsidRPr="00B12977">
        <w:rPr>
          <w:rFonts w:ascii="Calibri" w:hAnsi="Calibri"/>
          <w:sz w:val="24"/>
          <w:szCs w:val="24"/>
        </w:rPr>
        <w:t>support</w:t>
      </w:r>
      <w:r w:rsidR="00116610" w:rsidRPr="00B12977">
        <w:rPr>
          <w:rFonts w:ascii="Calibri" w:hAnsi="Calibri"/>
          <w:sz w:val="24"/>
          <w:szCs w:val="24"/>
        </w:rPr>
        <w:t xml:space="preserve"> </w:t>
      </w:r>
      <w:r w:rsidR="00585CBD" w:rsidRPr="00B12977">
        <w:rPr>
          <w:rFonts w:ascii="Calibri" w:hAnsi="Calibri"/>
          <w:sz w:val="24"/>
          <w:szCs w:val="24"/>
        </w:rPr>
        <w:t xml:space="preserve">and integrate </w:t>
      </w:r>
      <w:r w:rsidR="00B12977">
        <w:rPr>
          <w:rFonts w:ascii="Calibri" w:hAnsi="Calibri"/>
          <w:sz w:val="24"/>
          <w:szCs w:val="24"/>
        </w:rPr>
        <w:t>g</w:t>
      </w:r>
      <w:r w:rsidR="00116610" w:rsidRPr="00B12977">
        <w:rPr>
          <w:rFonts w:ascii="Calibri" w:hAnsi="Calibri"/>
          <w:sz w:val="24"/>
          <w:szCs w:val="24"/>
        </w:rPr>
        <w:t xml:space="preserve">eneral </w:t>
      </w:r>
      <w:r w:rsidR="00B12977">
        <w:rPr>
          <w:rFonts w:ascii="Calibri" w:hAnsi="Calibri"/>
          <w:sz w:val="24"/>
          <w:szCs w:val="24"/>
        </w:rPr>
        <w:t>p</w:t>
      </w:r>
      <w:r w:rsidR="00116610" w:rsidRPr="00B12977">
        <w:rPr>
          <w:rFonts w:ascii="Calibri" w:hAnsi="Calibri"/>
          <w:sz w:val="24"/>
          <w:szCs w:val="24"/>
        </w:rPr>
        <w:t>ractice</w:t>
      </w:r>
      <w:r w:rsidR="00C43256" w:rsidRPr="00B12977">
        <w:rPr>
          <w:rFonts w:ascii="Calibri" w:hAnsi="Calibri"/>
          <w:sz w:val="24"/>
          <w:szCs w:val="24"/>
        </w:rPr>
        <w:t xml:space="preserve">, </w:t>
      </w:r>
      <w:r w:rsidR="00BF6BE6" w:rsidRPr="00B12977">
        <w:rPr>
          <w:rFonts w:ascii="Calibri" w:hAnsi="Calibri"/>
          <w:sz w:val="24"/>
          <w:szCs w:val="24"/>
        </w:rPr>
        <w:t xml:space="preserve">maternity services, </w:t>
      </w:r>
      <w:proofErr w:type="spellStart"/>
      <w:r w:rsidR="00C43256" w:rsidRPr="00B12977">
        <w:rPr>
          <w:rFonts w:ascii="Calibri" w:hAnsi="Calibri"/>
          <w:sz w:val="24"/>
          <w:szCs w:val="24"/>
        </w:rPr>
        <w:t>wellchild</w:t>
      </w:r>
      <w:proofErr w:type="spellEnd"/>
      <w:r w:rsidR="00C43256" w:rsidRPr="00B12977">
        <w:rPr>
          <w:rFonts w:ascii="Calibri" w:hAnsi="Calibri"/>
          <w:sz w:val="24"/>
          <w:szCs w:val="24"/>
        </w:rPr>
        <w:t>/</w:t>
      </w:r>
      <w:proofErr w:type="spellStart"/>
      <w:r w:rsidR="00C43256" w:rsidRPr="00B12977">
        <w:rPr>
          <w:rFonts w:ascii="Calibri" w:hAnsi="Calibri"/>
          <w:sz w:val="24"/>
          <w:szCs w:val="24"/>
        </w:rPr>
        <w:t>tamariki</w:t>
      </w:r>
      <w:proofErr w:type="spellEnd"/>
      <w:r w:rsidR="00C43256" w:rsidRPr="00B12977">
        <w:rPr>
          <w:rFonts w:ascii="Calibri" w:hAnsi="Calibri"/>
          <w:sz w:val="24"/>
          <w:szCs w:val="24"/>
        </w:rPr>
        <w:t xml:space="preserve"> </w:t>
      </w:r>
      <w:proofErr w:type="spellStart"/>
      <w:r w:rsidR="00C43256" w:rsidRPr="00B12977">
        <w:rPr>
          <w:rFonts w:ascii="Calibri" w:hAnsi="Calibri"/>
          <w:sz w:val="24"/>
          <w:szCs w:val="24"/>
        </w:rPr>
        <w:t>ora</w:t>
      </w:r>
      <w:proofErr w:type="spellEnd"/>
      <w:r w:rsidR="00116610" w:rsidRPr="00B12977">
        <w:rPr>
          <w:rFonts w:ascii="Calibri" w:hAnsi="Calibri"/>
          <w:sz w:val="24"/>
          <w:szCs w:val="24"/>
        </w:rPr>
        <w:t xml:space="preserve"> </w:t>
      </w:r>
      <w:r w:rsidR="00CA3F1A" w:rsidRPr="00B12977">
        <w:rPr>
          <w:rFonts w:ascii="Calibri" w:hAnsi="Calibri"/>
          <w:sz w:val="24"/>
          <w:szCs w:val="24"/>
        </w:rPr>
        <w:t xml:space="preserve">and </w:t>
      </w:r>
      <w:r w:rsidR="00C43256" w:rsidRPr="00B12977">
        <w:rPr>
          <w:rFonts w:ascii="Calibri" w:hAnsi="Calibri"/>
          <w:sz w:val="24"/>
          <w:szCs w:val="24"/>
        </w:rPr>
        <w:t xml:space="preserve">other </w:t>
      </w:r>
      <w:r w:rsidR="00CA3F1A" w:rsidRPr="00B12977">
        <w:rPr>
          <w:rFonts w:ascii="Calibri" w:hAnsi="Calibri"/>
          <w:sz w:val="24"/>
          <w:szCs w:val="24"/>
        </w:rPr>
        <w:t>primary care</w:t>
      </w:r>
      <w:r w:rsidR="00C43256" w:rsidRPr="00B12977">
        <w:rPr>
          <w:rFonts w:ascii="Calibri" w:hAnsi="Calibri"/>
          <w:sz w:val="24"/>
          <w:szCs w:val="24"/>
        </w:rPr>
        <w:t xml:space="preserve"> services</w:t>
      </w:r>
      <w:r w:rsidR="004F5FBF" w:rsidRPr="00B12977">
        <w:rPr>
          <w:rFonts w:ascii="Calibri" w:hAnsi="Calibri"/>
          <w:sz w:val="24"/>
          <w:szCs w:val="24"/>
        </w:rPr>
        <w:t xml:space="preserve">, </w:t>
      </w:r>
      <w:r w:rsidR="00DD593C" w:rsidRPr="00B12977">
        <w:rPr>
          <w:rFonts w:ascii="Calibri" w:hAnsi="Calibri"/>
          <w:sz w:val="24"/>
          <w:szCs w:val="24"/>
        </w:rPr>
        <w:t>including addressing the following issues</w:t>
      </w:r>
      <w:r w:rsidR="00116610" w:rsidRPr="00B12977">
        <w:rPr>
          <w:rFonts w:ascii="Calibri" w:hAnsi="Calibri"/>
          <w:sz w:val="24"/>
          <w:szCs w:val="24"/>
        </w:rPr>
        <w:t xml:space="preserve">, which were not addressed by H&amp;DSR: </w:t>
      </w:r>
    </w:p>
    <w:p w14:paraId="589BC950" w14:textId="05A5F452" w:rsidR="00116610" w:rsidRPr="00B12977" w:rsidRDefault="00400111" w:rsidP="00400111">
      <w:pPr>
        <w:pStyle w:val="ListParagraph"/>
        <w:spacing w:after="120" w:line="240" w:lineRule="auto"/>
        <w:ind w:left="1080" w:hanging="360"/>
        <w:rPr>
          <w:rFonts w:ascii="Calibri" w:hAnsi="Calibri"/>
          <w:sz w:val="24"/>
          <w:szCs w:val="24"/>
        </w:rPr>
      </w:pPr>
      <w:r>
        <w:rPr>
          <w:rFonts w:ascii="Calibri" w:hAnsi="Calibri"/>
          <w:sz w:val="24"/>
          <w:szCs w:val="24"/>
        </w:rPr>
        <w:t xml:space="preserve">11a. </w:t>
      </w:r>
      <w:r w:rsidR="00116610" w:rsidRPr="007E3904">
        <w:rPr>
          <w:rFonts w:ascii="Calibri" w:hAnsi="Calibri"/>
          <w:sz w:val="24"/>
          <w:szCs w:val="24"/>
        </w:rPr>
        <w:t>access problems for children in low-income families –</w:t>
      </w:r>
      <w:r w:rsidR="00B12977">
        <w:rPr>
          <w:rFonts w:ascii="Calibri" w:hAnsi="Calibri"/>
          <w:sz w:val="24"/>
          <w:szCs w:val="24"/>
        </w:rPr>
        <w:t xml:space="preserve"> </w:t>
      </w:r>
      <w:r w:rsidR="00EB663A">
        <w:rPr>
          <w:rFonts w:ascii="Calibri" w:hAnsi="Calibri"/>
          <w:sz w:val="24"/>
          <w:szCs w:val="24"/>
        </w:rPr>
        <w:t xml:space="preserve">barriers include </w:t>
      </w:r>
      <w:r w:rsidR="00116610" w:rsidRPr="007E3904">
        <w:rPr>
          <w:rFonts w:ascii="Calibri" w:hAnsi="Calibri"/>
          <w:sz w:val="24"/>
          <w:szCs w:val="24"/>
        </w:rPr>
        <w:t>transport, opening hours</w:t>
      </w:r>
      <w:r w:rsidR="00EB6A6E">
        <w:rPr>
          <w:rFonts w:ascii="Calibri" w:hAnsi="Calibri"/>
          <w:sz w:val="24"/>
          <w:szCs w:val="24"/>
        </w:rPr>
        <w:t xml:space="preserve">, long waiting times, </w:t>
      </w:r>
      <w:r w:rsidR="00EB663A">
        <w:rPr>
          <w:rFonts w:ascii="Calibri" w:hAnsi="Calibri"/>
          <w:sz w:val="24"/>
          <w:szCs w:val="24"/>
        </w:rPr>
        <w:t xml:space="preserve">costs </w:t>
      </w:r>
      <w:r w:rsidR="00116610" w:rsidRPr="007E3904">
        <w:rPr>
          <w:rFonts w:ascii="Calibri" w:hAnsi="Calibri"/>
          <w:sz w:val="24"/>
          <w:szCs w:val="24"/>
        </w:rPr>
        <w:t>and location</w:t>
      </w:r>
      <w:r w:rsidR="00EB663A">
        <w:rPr>
          <w:rFonts w:ascii="Calibri" w:hAnsi="Calibri"/>
          <w:sz w:val="24"/>
          <w:szCs w:val="24"/>
        </w:rPr>
        <w:t>s of practices</w:t>
      </w:r>
      <w:r w:rsidR="00BD5AFA">
        <w:rPr>
          <w:rFonts w:ascii="Calibri" w:hAnsi="Calibri"/>
          <w:sz w:val="24"/>
          <w:szCs w:val="24"/>
        </w:rPr>
        <w:t xml:space="preserve">. </w:t>
      </w:r>
      <w:r w:rsidR="00EB663A">
        <w:rPr>
          <w:rFonts w:ascii="Calibri" w:hAnsi="Calibri"/>
          <w:sz w:val="24"/>
          <w:szCs w:val="24"/>
        </w:rPr>
        <w:t xml:space="preserve">Solutions need </w:t>
      </w:r>
      <w:r w:rsidR="00EB663A" w:rsidRPr="00B12977">
        <w:rPr>
          <w:rFonts w:ascii="Calibri" w:hAnsi="Calibri"/>
          <w:sz w:val="24"/>
          <w:szCs w:val="24"/>
        </w:rPr>
        <w:t>to address the following:</w:t>
      </w:r>
    </w:p>
    <w:p w14:paraId="6B86DED2" w14:textId="278D9D77" w:rsidR="00116610" w:rsidRPr="00B12977" w:rsidRDefault="00EB663A" w:rsidP="00D204E1">
      <w:pPr>
        <w:pStyle w:val="ListParagraph"/>
        <w:numPr>
          <w:ilvl w:val="0"/>
          <w:numId w:val="35"/>
        </w:numPr>
        <w:spacing w:after="120" w:line="240" w:lineRule="auto"/>
        <w:ind w:left="1440"/>
        <w:rPr>
          <w:rFonts w:ascii="Calibri" w:hAnsi="Calibri"/>
          <w:sz w:val="24"/>
          <w:szCs w:val="24"/>
        </w:rPr>
      </w:pPr>
      <w:r w:rsidRPr="00B12977">
        <w:rPr>
          <w:rFonts w:ascii="Calibri" w:hAnsi="Calibri"/>
          <w:sz w:val="24"/>
          <w:szCs w:val="24"/>
        </w:rPr>
        <w:t xml:space="preserve">inadequate numbers of </w:t>
      </w:r>
      <w:r w:rsidR="00116610" w:rsidRPr="00B12977">
        <w:rPr>
          <w:rFonts w:ascii="Calibri" w:hAnsi="Calibri"/>
          <w:sz w:val="24"/>
          <w:szCs w:val="24"/>
        </w:rPr>
        <w:t>general practices in some high</w:t>
      </w:r>
      <w:r w:rsidR="00B12977">
        <w:rPr>
          <w:rFonts w:ascii="Calibri" w:hAnsi="Calibri"/>
          <w:sz w:val="24"/>
          <w:szCs w:val="24"/>
        </w:rPr>
        <w:t>-</w:t>
      </w:r>
      <w:r w:rsidR="00116610" w:rsidRPr="00B12977">
        <w:rPr>
          <w:rFonts w:ascii="Calibri" w:hAnsi="Calibri"/>
          <w:sz w:val="24"/>
          <w:szCs w:val="24"/>
        </w:rPr>
        <w:t>needs areas</w:t>
      </w:r>
      <w:r w:rsidRPr="00B12977">
        <w:rPr>
          <w:rFonts w:ascii="Calibri" w:hAnsi="Calibri"/>
          <w:sz w:val="24"/>
          <w:szCs w:val="24"/>
        </w:rPr>
        <w:t xml:space="preserve">. This leads to </w:t>
      </w:r>
      <w:r w:rsidR="00116610" w:rsidRPr="00B12977">
        <w:rPr>
          <w:rFonts w:ascii="Calibri" w:hAnsi="Calibri"/>
          <w:sz w:val="24"/>
          <w:szCs w:val="24"/>
        </w:rPr>
        <w:t>closed lists</w:t>
      </w:r>
      <w:r w:rsidR="000536C0" w:rsidRPr="00B12977">
        <w:rPr>
          <w:rFonts w:ascii="Calibri" w:hAnsi="Calibri"/>
          <w:sz w:val="24"/>
          <w:szCs w:val="24"/>
        </w:rPr>
        <w:t xml:space="preserve">, </w:t>
      </w:r>
      <w:r w:rsidRPr="00B12977">
        <w:rPr>
          <w:rFonts w:ascii="Calibri" w:hAnsi="Calibri"/>
          <w:sz w:val="24"/>
          <w:szCs w:val="24"/>
        </w:rPr>
        <w:t xml:space="preserve">and families </w:t>
      </w:r>
      <w:r w:rsidR="003C7636" w:rsidRPr="00B12977">
        <w:rPr>
          <w:rFonts w:ascii="Calibri" w:hAnsi="Calibri"/>
          <w:sz w:val="24"/>
          <w:szCs w:val="24"/>
        </w:rPr>
        <w:t>not being able</w:t>
      </w:r>
      <w:r w:rsidR="000536C0" w:rsidRPr="00B12977">
        <w:rPr>
          <w:rFonts w:ascii="Calibri" w:hAnsi="Calibri"/>
          <w:sz w:val="24"/>
          <w:szCs w:val="24"/>
        </w:rPr>
        <w:t xml:space="preserve"> to register with practices in close proximity, </w:t>
      </w:r>
      <w:r w:rsidRPr="00B12977">
        <w:rPr>
          <w:rFonts w:ascii="Calibri" w:hAnsi="Calibri"/>
          <w:sz w:val="24"/>
          <w:szCs w:val="24"/>
        </w:rPr>
        <w:t xml:space="preserve">as well as </w:t>
      </w:r>
      <w:r w:rsidR="000536C0" w:rsidRPr="00B12977">
        <w:rPr>
          <w:rFonts w:ascii="Calibri" w:hAnsi="Calibri"/>
          <w:sz w:val="24"/>
          <w:szCs w:val="24"/>
        </w:rPr>
        <w:t>over</w:t>
      </w:r>
      <w:r w:rsidR="00953EBA" w:rsidRPr="00B12977">
        <w:rPr>
          <w:rFonts w:ascii="Calibri" w:hAnsi="Calibri"/>
          <w:sz w:val="24"/>
          <w:szCs w:val="24"/>
        </w:rPr>
        <w:t>-</w:t>
      </w:r>
      <w:r w:rsidR="000536C0" w:rsidRPr="00B12977">
        <w:rPr>
          <w:rFonts w:ascii="Calibri" w:hAnsi="Calibri"/>
          <w:sz w:val="24"/>
          <w:szCs w:val="24"/>
        </w:rPr>
        <w:t xml:space="preserve">busy practices </w:t>
      </w:r>
      <w:r w:rsidRPr="00B12977">
        <w:rPr>
          <w:rFonts w:ascii="Calibri" w:hAnsi="Calibri"/>
          <w:sz w:val="24"/>
          <w:szCs w:val="24"/>
        </w:rPr>
        <w:t xml:space="preserve">without the capacity to see patients </w:t>
      </w:r>
      <w:r w:rsidR="000536C0" w:rsidRPr="00B12977">
        <w:rPr>
          <w:rFonts w:ascii="Calibri" w:hAnsi="Calibri"/>
          <w:sz w:val="24"/>
          <w:szCs w:val="24"/>
        </w:rPr>
        <w:t xml:space="preserve">in a timely fashion. </w:t>
      </w:r>
      <w:r w:rsidR="00BD5AFA" w:rsidRPr="00B12977">
        <w:rPr>
          <w:rFonts w:ascii="Calibri" w:hAnsi="Calibri"/>
          <w:sz w:val="24"/>
          <w:szCs w:val="24"/>
        </w:rPr>
        <w:t xml:space="preserve">All children need a registered general practice </w:t>
      </w:r>
      <w:r w:rsidRPr="00B12977">
        <w:rPr>
          <w:rFonts w:ascii="Calibri" w:hAnsi="Calibri"/>
          <w:sz w:val="24"/>
          <w:szCs w:val="24"/>
        </w:rPr>
        <w:t>“</w:t>
      </w:r>
      <w:r w:rsidR="00BD5AFA" w:rsidRPr="00B12977">
        <w:rPr>
          <w:rFonts w:ascii="Calibri" w:hAnsi="Calibri"/>
          <w:sz w:val="24"/>
          <w:szCs w:val="24"/>
        </w:rPr>
        <w:t>home</w:t>
      </w:r>
      <w:r w:rsidRPr="00B12977">
        <w:rPr>
          <w:rFonts w:ascii="Calibri" w:hAnsi="Calibri"/>
          <w:sz w:val="24"/>
          <w:szCs w:val="24"/>
        </w:rPr>
        <w:t>”</w:t>
      </w:r>
      <w:r w:rsidR="00BD5AFA" w:rsidRPr="00B12977">
        <w:rPr>
          <w:rFonts w:ascii="Calibri" w:hAnsi="Calibri"/>
          <w:sz w:val="24"/>
          <w:szCs w:val="24"/>
        </w:rPr>
        <w:t xml:space="preserve"> from birth with no delays</w:t>
      </w:r>
      <w:r w:rsidRPr="00B12977">
        <w:rPr>
          <w:rFonts w:ascii="Calibri" w:hAnsi="Calibri"/>
          <w:sz w:val="24"/>
          <w:szCs w:val="24"/>
        </w:rPr>
        <w:t>,</w:t>
      </w:r>
      <w:r w:rsidR="00EB6A6E" w:rsidRPr="00B12977">
        <w:rPr>
          <w:rFonts w:ascii="Calibri" w:hAnsi="Calibri"/>
          <w:sz w:val="24"/>
          <w:szCs w:val="24"/>
        </w:rPr>
        <w:t xml:space="preserve"> and to be able to access general practice services urgently without any delay.</w:t>
      </w:r>
    </w:p>
    <w:p w14:paraId="301F198C" w14:textId="128D2B68" w:rsidR="00116610" w:rsidRPr="007E3904" w:rsidRDefault="00116610" w:rsidP="00D204E1">
      <w:pPr>
        <w:pStyle w:val="ListParagraph"/>
        <w:numPr>
          <w:ilvl w:val="0"/>
          <w:numId w:val="35"/>
        </w:numPr>
        <w:spacing w:after="120" w:line="240" w:lineRule="auto"/>
        <w:ind w:left="1440"/>
        <w:rPr>
          <w:rFonts w:ascii="Calibri" w:hAnsi="Calibri"/>
          <w:sz w:val="24"/>
          <w:szCs w:val="24"/>
        </w:rPr>
      </w:pPr>
      <w:r w:rsidRPr="007E3904">
        <w:rPr>
          <w:rFonts w:ascii="Calibri" w:hAnsi="Calibri"/>
          <w:sz w:val="24"/>
          <w:szCs w:val="24"/>
        </w:rPr>
        <w:t>lack of extended after hours services</w:t>
      </w:r>
      <w:r w:rsidR="003C31C8">
        <w:rPr>
          <w:rFonts w:ascii="Calibri" w:hAnsi="Calibri"/>
          <w:sz w:val="24"/>
          <w:szCs w:val="24"/>
        </w:rPr>
        <w:t xml:space="preserve"> in many areas</w:t>
      </w:r>
      <w:r w:rsidR="00EB663A">
        <w:rPr>
          <w:rFonts w:ascii="Calibri" w:hAnsi="Calibri"/>
          <w:sz w:val="24"/>
          <w:szCs w:val="24"/>
        </w:rPr>
        <w:t xml:space="preserve">; and/or high costs to access some </w:t>
      </w:r>
      <w:proofErr w:type="spellStart"/>
      <w:r w:rsidR="00EB663A">
        <w:rPr>
          <w:rFonts w:ascii="Calibri" w:hAnsi="Calibri"/>
          <w:sz w:val="24"/>
          <w:szCs w:val="24"/>
        </w:rPr>
        <w:t>after hours</w:t>
      </w:r>
      <w:proofErr w:type="spellEnd"/>
      <w:r w:rsidR="00EB663A">
        <w:rPr>
          <w:rFonts w:ascii="Calibri" w:hAnsi="Calibri"/>
          <w:sz w:val="24"/>
          <w:szCs w:val="24"/>
        </w:rPr>
        <w:t xml:space="preserve"> services, leading to increased demand for </w:t>
      </w:r>
      <w:r w:rsidR="00EB663A" w:rsidRPr="007E3904">
        <w:rPr>
          <w:rFonts w:ascii="Calibri" w:hAnsi="Calibri"/>
          <w:sz w:val="24"/>
          <w:szCs w:val="24"/>
        </w:rPr>
        <w:t>ED services in some areas as a result</w:t>
      </w:r>
      <w:r w:rsidR="00EB663A">
        <w:rPr>
          <w:rFonts w:ascii="Calibri" w:hAnsi="Calibri"/>
          <w:sz w:val="24"/>
          <w:szCs w:val="24"/>
        </w:rPr>
        <w:t>.</w:t>
      </w:r>
    </w:p>
    <w:p w14:paraId="331F4163" w14:textId="301787CB" w:rsidR="003F26BE" w:rsidRPr="00B12977" w:rsidRDefault="00EB663A" w:rsidP="00B12977">
      <w:pPr>
        <w:pStyle w:val="ListParagraph"/>
        <w:numPr>
          <w:ilvl w:val="1"/>
          <w:numId w:val="35"/>
        </w:numPr>
        <w:spacing w:after="120" w:line="240" w:lineRule="auto"/>
        <w:rPr>
          <w:rFonts w:ascii="Calibri" w:hAnsi="Calibri"/>
          <w:sz w:val="24"/>
          <w:szCs w:val="24"/>
        </w:rPr>
      </w:pPr>
      <w:r>
        <w:rPr>
          <w:rFonts w:ascii="Calibri" w:hAnsi="Calibri"/>
          <w:sz w:val="24"/>
          <w:szCs w:val="24"/>
        </w:rPr>
        <w:t xml:space="preserve">practices having </w:t>
      </w:r>
      <w:r w:rsidR="00116610" w:rsidRPr="003F26BE">
        <w:rPr>
          <w:rFonts w:ascii="Calibri" w:hAnsi="Calibri"/>
          <w:sz w:val="24"/>
          <w:szCs w:val="24"/>
        </w:rPr>
        <w:t>minimal or no ability to offer outreach services for those in high needs</w:t>
      </w:r>
      <w:r w:rsidR="00B12977">
        <w:rPr>
          <w:rFonts w:ascii="Calibri" w:hAnsi="Calibri"/>
          <w:sz w:val="24"/>
          <w:szCs w:val="24"/>
        </w:rPr>
        <w:t xml:space="preserve"> areas</w:t>
      </w:r>
      <w:r w:rsidR="003F26BE" w:rsidRPr="003F26BE">
        <w:rPr>
          <w:rFonts w:ascii="Calibri" w:hAnsi="Calibri"/>
          <w:sz w:val="24"/>
          <w:szCs w:val="24"/>
        </w:rPr>
        <w:t xml:space="preserve">. </w:t>
      </w:r>
      <w:r>
        <w:rPr>
          <w:rFonts w:ascii="Calibri" w:hAnsi="Calibri"/>
          <w:sz w:val="24"/>
          <w:szCs w:val="24"/>
        </w:rPr>
        <w:t xml:space="preserve">There is a </w:t>
      </w:r>
      <w:r w:rsidR="003F26BE" w:rsidRPr="003F26BE">
        <w:rPr>
          <w:rFonts w:ascii="Calibri" w:hAnsi="Calibri"/>
          <w:sz w:val="24"/>
          <w:szCs w:val="24"/>
        </w:rPr>
        <w:t>need for outreach services to furthe</w:t>
      </w:r>
      <w:r w:rsidR="003F26BE" w:rsidRPr="00EB6A6E">
        <w:rPr>
          <w:rFonts w:ascii="Calibri" w:hAnsi="Calibri"/>
          <w:sz w:val="24"/>
          <w:szCs w:val="24"/>
        </w:rPr>
        <w:t>r integrate</w:t>
      </w:r>
      <w:r w:rsidR="003F26BE" w:rsidRPr="003C31C8">
        <w:rPr>
          <w:rFonts w:ascii="Calibri" w:hAnsi="Calibri"/>
          <w:sz w:val="24"/>
          <w:szCs w:val="24"/>
        </w:rPr>
        <w:t xml:space="preserve"> with each other </w:t>
      </w:r>
      <w:r w:rsidR="003F26BE" w:rsidRPr="00B12977">
        <w:rPr>
          <w:rFonts w:ascii="Calibri" w:hAnsi="Calibri"/>
          <w:sz w:val="24"/>
          <w:szCs w:val="24"/>
        </w:rPr>
        <w:t xml:space="preserve">rather than </w:t>
      </w:r>
      <w:r w:rsidRPr="00B12977">
        <w:rPr>
          <w:rFonts w:ascii="Calibri" w:hAnsi="Calibri"/>
          <w:sz w:val="24"/>
          <w:szCs w:val="24"/>
        </w:rPr>
        <w:t xml:space="preserve">remain as </w:t>
      </w:r>
      <w:r w:rsidR="003F26BE" w:rsidRPr="00B12977">
        <w:rPr>
          <w:rFonts w:ascii="Calibri" w:hAnsi="Calibri"/>
          <w:sz w:val="24"/>
          <w:szCs w:val="24"/>
        </w:rPr>
        <w:t>piecemeal ser</w:t>
      </w:r>
      <w:r w:rsidRPr="00B12977">
        <w:rPr>
          <w:rFonts w:ascii="Calibri" w:hAnsi="Calibri"/>
          <w:sz w:val="24"/>
          <w:szCs w:val="24"/>
        </w:rPr>
        <w:t>v</w:t>
      </w:r>
      <w:r w:rsidR="003F26BE" w:rsidRPr="00B12977">
        <w:rPr>
          <w:rFonts w:ascii="Calibri" w:hAnsi="Calibri"/>
          <w:sz w:val="24"/>
          <w:szCs w:val="24"/>
        </w:rPr>
        <w:t>ices</w:t>
      </w:r>
      <w:r w:rsidR="00B12977">
        <w:rPr>
          <w:rFonts w:ascii="Calibri" w:hAnsi="Calibri"/>
          <w:sz w:val="24"/>
          <w:szCs w:val="24"/>
        </w:rPr>
        <w:t>.</w:t>
      </w:r>
    </w:p>
    <w:p w14:paraId="74261B42" w14:textId="66D64187" w:rsidR="00116610" w:rsidRPr="00B12977" w:rsidRDefault="000C6962" w:rsidP="00D204E1">
      <w:pPr>
        <w:pStyle w:val="ListParagraph"/>
        <w:numPr>
          <w:ilvl w:val="0"/>
          <w:numId w:val="35"/>
        </w:numPr>
        <w:spacing w:after="120" w:line="240" w:lineRule="auto"/>
        <w:ind w:left="1440"/>
        <w:rPr>
          <w:rFonts w:ascii="Calibri" w:hAnsi="Calibri"/>
          <w:sz w:val="24"/>
          <w:szCs w:val="24"/>
        </w:rPr>
      </w:pPr>
      <w:r w:rsidRPr="00B12977">
        <w:rPr>
          <w:rFonts w:ascii="Calibri" w:hAnsi="Calibri"/>
          <w:sz w:val="24"/>
          <w:szCs w:val="24"/>
        </w:rPr>
        <w:t>h</w:t>
      </w:r>
      <w:r w:rsidR="00116610" w:rsidRPr="00B12977">
        <w:rPr>
          <w:rFonts w:ascii="Calibri" w:hAnsi="Calibri"/>
          <w:sz w:val="24"/>
          <w:szCs w:val="24"/>
        </w:rPr>
        <w:t xml:space="preserve">igh co-payments for </w:t>
      </w:r>
      <w:r w:rsidR="00EB6A6E" w:rsidRPr="00B12977">
        <w:rPr>
          <w:rFonts w:ascii="Calibri" w:hAnsi="Calibri"/>
          <w:sz w:val="24"/>
          <w:szCs w:val="24"/>
        </w:rPr>
        <w:t xml:space="preserve">low income </w:t>
      </w:r>
      <w:r w:rsidR="00116610" w:rsidRPr="00B12977">
        <w:rPr>
          <w:rFonts w:ascii="Calibri" w:hAnsi="Calibri"/>
          <w:sz w:val="24"/>
          <w:szCs w:val="24"/>
        </w:rPr>
        <w:t>parents living in high income areas</w:t>
      </w:r>
      <w:r w:rsidR="00345B90" w:rsidRPr="00B12977">
        <w:rPr>
          <w:rFonts w:ascii="Calibri" w:hAnsi="Calibri"/>
          <w:sz w:val="24"/>
          <w:szCs w:val="24"/>
        </w:rPr>
        <w:t xml:space="preserve">. </w:t>
      </w:r>
      <w:r w:rsidR="00EB663A" w:rsidRPr="00B12977">
        <w:rPr>
          <w:rFonts w:ascii="Calibri" w:hAnsi="Calibri"/>
          <w:sz w:val="24"/>
          <w:szCs w:val="24"/>
        </w:rPr>
        <w:t xml:space="preserve">Addressing this issue </w:t>
      </w:r>
      <w:r w:rsidR="00345B90" w:rsidRPr="00B12977">
        <w:rPr>
          <w:rFonts w:ascii="Calibri" w:hAnsi="Calibri"/>
          <w:sz w:val="24"/>
          <w:szCs w:val="24"/>
        </w:rPr>
        <w:t xml:space="preserve">requires a full review of the current funding models in primary care. </w:t>
      </w:r>
    </w:p>
    <w:p w14:paraId="74F0BAF8" w14:textId="11C1437A" w:rsidR="00116610" w:rsidRDefault="005D4CA7" w:rsidP="00D204E1">
      <w:pPr>
        <w:pStyle w:val="ListParagraph"/>
        <w:numPr>
          <w:ilvl w:val="0"/>
          <w:numId w:val="35"/>
        </w:numPr>
        <w:spacing w:after="120" w:line="240" w:lineRule="auto"/>
        <w:ind w:left="1440"/>
        <w:rPr>
          <w:rFonts w:ascii="Calibri" w:hAnsi="Calibri"/>
          <w:sz w:val="24"/>
          <w:szCs w:val="24"/>
        </w:rPr>
      </w:pPr>
      <w:r w:rsidRPr="007E3904">
        <w:rPr>
          <w:rFonts w:ascii="Calibri" w:hAnsi="Calibri"/>
          <w:sz w:val="24"/>
          <w:szCs w:val="24"/>
        </w:rPr>
        <w:t>delay</w:t>
      </w:r>
      <w:r>
        <w:rPr>
          <w:rFonts w:ascii="Calibri" w:hAnsi="Calibri"/>
          <w:sz w:val="24"/>
          <w:szCs w:val="24"/>
        </w:rPr>
        <w:t>ed</w:t>
      </w:r>
      <w:r w:rsidRPr="007E3904">
        <w:rPr>
          <w:rFonts w:ascii="Calibri" w:hAnsi="Calibri"/>
          <w:sz w:val="24"/>
          <w:szCs w:val="24"/>
        </w:rPr>
        <w:t xml:space="preserve"> presentation of children </w:t>
      </w:r>
      <w:r>
        <w:rPr>
          <w:rFonts w:ascii="Calibri" w:hAnsi="Calibri"/>
          <w:sz w:val="24"/>
          <w:szCs w:val="24"/>
        </w:rPr>
        <w:t>due to a</w:t>
      </w:r>
      <w:r w:rsidRPr="007E3904">
        <w:rPr>
          <w:rFonts w:ascii="Calibri" w:hAnsi="Calibri"/>
          <w:sz w:val="24"/>
          <w:szCs w:val="24"/>
        </w:rPr>
        <w:t xml:space="preserve"> practice</w:t>
      </w:r>
      <w:r>
        <w:rPr>
          <w:rFonts w:ascii="Calibri" w:hAnsi="Calibri"/>
          <w:sz w:val="24"/>
          <w:szCs w:val="24"/>
        </w:rPr>
        <w:t xml:space="preserve"> </w:t>
      </w:r>
      <w:r w:rsidR="00116610" w:rsidRPr="007E3904">
        <w:rPr>
          <w:rFonts w:ascii="Calibri" w:hAnsi="Calibri"/>
          <w:sz w:val="24"/>
          <w:szCs w:val="24"/>
        </w:rPr>
        <w:t>family debt</w:t>
      </w:r>
      <w:r w:rsidR="00B12977">
        <w:rPr>
          <w:rFonts w:ascii="Calibri" w:hAnsi="Calibri"/>
          <w:sz w:val="24"/>
          <w:szCs w:val="24"/>
        </w:rPr>
        <w:t>.</w:t>
      </w:r>
      <w:r w:rsidR="00116610" w:rsidRPr="007E3904">
        <w:rPr>
          <w:rFonts w:ascii="Calibri" w:hAnsi="Calibri"/>
          <w:sz w:val="24"/>
          <w:szCs w:val="24"/>
        </w:rPr>
        <w:t xml:space="preserve"> </w:t>
      </w:r>
    </w:p>
    <w:p w14:paraId="6F9CBCE1" w14:textId="3E4652CC" w:rsidR="000C6962" w:rsidRPr="007E3904" w:rsidRDefault="000C6962" w:rsidP="00D204E1">
      <w:pPr>
        <w:pStyle w:val="ListParagraph"/>
        <w:numPr>
          <w:ilvl w:val="0"/>
          <w:numId w:val="35"/>
        </w:numPr>
        <w:spacing w:after="120" w:line="240" w:lineRule="auto"/>
        <w:ind w:left="1440"/>
        <w:rPr>
          <w:rFonts w:ascii="Calibri" w:hAnsi="Calibri"/>
          <w:sz w:val="24"/>
          <w:szCs w:val="24"/>
        </w:rPr>
      </w:pPr>
      <w:r>
        <w:rPr>
          <w:rFonts w:ascii="Calibri" w:hAnsi="Calibri"/>
          <w:sz w:val="24"/>
          <w:szCs w:val="24"/>
        </w:rPr>
        <w:lastRenderedPageBreak/>
        <w:t>the direct cost of general practitioner visits for children 14-17 years old</w:t>
      </w:r>
      <w:r w:rsidR="00B12977">
        <w:rPr>
          <w:rFonts w:ascii="Calibri" w:hAnsi="Calibri"/>
          <w:sz w:val="24"/>
          <w:szCs w:val="24"/>
        </w:rPr>
        <w:t>.</w:t>
      </w:r>
    </w:p>
    <w:p w14:paraId="5241B002" w14:textId="5750A915" w:rsidR="00116610" w:rsidRDefault="00116610" w:rsidP="00D204E1">
      <w:pPr>
        <w:pStyle w:val="ListParagraph"/>
        <w:numPr>
          <w:ilvl w:val="0"/>
          <w:numId w:val="35"/>
        </w:numPr>
        <w:spacing w:after="120" w:line="240" w:lineRule="auto"/>
        <w:ind w:left="1440"/>
        <w:rPr>
          <w:rFonts w:ascii="Calibri" w:hAnsi="Calibri"/>
          <w:sz w:val="24"/>
          <w:szCs w:val="24"/>
        </w:rPr>
      </w:pPr>
      <w:r w:rsidRPr="007E3904">
        <w:rPr>
          <w:rFonts w:ascii="Calibri" w:hAnsi="Calibri"/>
          <w:sz w:val="24"/>
          <w:szCs w:val="24"/>
        </w:rPr>
        <w:t xml:space="preserve">lack of integration with other services </w:t>
      </w:r>
      <w:r w:rsidR="007D35C6">
        <w:rPr>
          <w:rFonts w:ascii="Calibri" w:hAnsi="Calibri"/>
          <w:sz w:val="24"/>
          <w:szCs w:val="24"/>
        </w:rPr>
        <w:t xml:space="preserve"> </w:t>
      </w:r>
      <w:r w:rsidR="00EB663A">
        <w:rPr>
          <w:rFonts w:ascii="Calibri" w:hAnsi="Calibri"/>
          <w:sz w:val="24"/>
          <w:szCs w:val="24"/>
        </w:rPr>
        <w:t xml:space="preserve">and a </w:t>
      </w:r>
      <w:r w:rsidR="007D35C6">
        <w:rPr>
          <w:rFonts w:ascii="Calibri" w:hAnsi="Calibri"/>
          <w:sz w:val="24"/>
          <w:szCs w:val="24"/>
        </w:rPr>
        <w:t xml:space="preserve">lack of </w:t>
      </w:r>
      <w:r w:rsidR="00EB663A">
        <w:rPr>
          <w:rFonts w:ascii="Calibri" w:hAnsi="Calibri"/>
          <w:sz w:val="24"/>
          <w:szCs w:val="24"/>
        </w:rPr>
        <w:t xml:space="preserve">adequate </w:t>
      </w:r>
      <w:r w:rsidR="007D35C6">
        <w:rPr>
          <w:rFonts w:ascii="Calibri" w:hAnsi="Calibri"/>
          <w:sz w:val="24"/>
          <w:szCs w:val="24"/>
        </w:rPr>
        <w:t>wrap around services</w:t>
      </w:r>
      <w:r w:rsidR="009377C5">
        <w:rPr>
          <w:rFonts w:ascii="Calibri" w:hAnsi="Calibri"/>
          <w:sz w:val="24"/>
          <w:szCs w:val="24"/>
        </w:rPr>
        <w:t xml:space="preserve">, </w:t>
      </w:r>
      <w:r w:rsidR="009377C5" w:rsidRPr="008E7C31">
        <w:rPr>
          <w:rFonts w:ascii="Calibri" w:hAnsi="Calibri"/>
          <w:sz w:val="24"/>
          <w:szCs w:val="24"/>
        </w:rPr>
        <w:t>allied health</w:t>
      </w:r>
      <w:r w:rsidR="009377C5" w:rsidRPr="007E3904">
        <w:rPr>
          <w:rFonts w:ascii="Calibri" w:hAnsi="Calibri"/>
          <w:sz w:val="24"/>
          <w:szCs w:val="24"/>
        </w:rPr>
        <w:t xml:space="preserve"> services</w:t>
      </w:r>
      <w:r w:rsidR="009377C5">
        <w:rPr>
          <w:rFonts w:ascii="Calibri" w:hAnsi="Calibri"/>
          <w:sz w:val="24"/>
          <w:szCs w:val="24"/>
        </w:rPr>
        <w:t xml:space="preserve"> </w:t>
      </w:r>
      <w:r w:rsidR="007D35C6">
        <w:rPr>
          <w:rFonts w:ascii="Calibri" w:hAnsi="Calibri"/>
          <w:sz w:val="24"/>
          <w:szCs w:val="24"/>
        </w:rPr>
        <w:t xml:space="preserve"> and  support for high needs</w:t>
      </w:r>
      <w:r w:rsidR="009377C5">
        <w:rPr>
          <w:rFonts w:ascii="Calibri" w:hAnsi="Calibri"/>
          <w:sz w:val="24"/>
          <w:szCs w:val="24"/>
        </w:rPr>
        <w:t xml:space="preserve">, </w:t>
      </w:r>
      <w:r w:rsidR="00CA3F1A">
        <w:rPr>
          <w:rFonts w:ascii="Calibri" w:hAnsi="Calibri"/>
          <w:sz w:val="24"/>
          <w:szCs w:val="24"/>
        </w:rPr>
        <w:t>maternity</w:t>
      </w:r>
      <w:r w:rsidR="009377C5">
        <w:rPr>
          <w:rFonts w:ascii="Calibri" w:hAnsi="Calibri"/>
          <w:sz w:val="24"/>
          <w:szCs w:val="24"/>
        </w:rPr>
        <w:t xml:space="preserve">, </w:t>
      </w:r>
      <w:proofErr w:type="spellStart"/>
      <w:r w:rsidRPr="007E3904">
        <w:rPr>
          <w:rFonts w:ascii="Calibri" w:hAnsi="Calibri"/>
          <w:sz w:val="24"/>
          <w:szCs w:val="24"/>
        </w:rPr>
        <w:t>wellchild</w:t>
      </w:r>
      <w:proofErr w:type="spellEnd"/>
      <w:r w:rsidRPr="007E3904">
        <w:rPr>
          <w:rFonts w:ascii="Calibri" w:hAnsi="Calibri"/>
          <w:sz w:val="24"/>
          <w:szCs w:val="24"/>
        </w:rPr>
        <w:t>/</w:t>
      </w:r>
      <w:proofErr w:type="spellStart"/>
      <w:r w:rsidRPr="007E3904">
        <w:rPr>
          <w:rFonts w:ascii="Calibri" w:hAnsi="Calibri"/>
          <w:sz w:val="24"/>
          <w:szCs w:val="24"/>
        </w:rPr>
        <w:t>tamariki</w:t>
      </w:r>
      <w:proofErr w:type="spellEnd"/>
      <w:r w:rsidRPr="007E3904">
        <w:rPr>
          <w:rFonts w:ascii="Calibri" w:hAnsi="Calibri"/>
          <w:sz w:val="24"/>
          <w:szCs w:val="24"/>
        </w:rPr>
        <w:t xml:space="preserve"> </w:t>
      </w:r>
      <w:proofErr w:type="spellStart"/>
      <w:r w:rsidRPr="007E3904">
        <w:rPr>
          <w:rFonts w:ascii="Calibri" w:hAnsi="Calibri"/>
          <w:sz w:val="24"/>
          <w:szCs w:val="24"/>
        </w:rPr>
        <w:t>ora</w:t>
      </w:r>
      <w:proofErr w:type="spellEnd"/>
      <w:r w:rsidRPr="007E3904">
        <w:rPr>
          <w:rFonts w:ascii="Calibri" w:hAnsi="Calibri"/>
          <w:sz w:val="24"/>
          <w:szCs w:val="24"/>
        </w:rPr>
        <w:t xml:space="preserve"> </w:t>
      </w:r>
      <w:r w:rsidR="009377C5">
        <w:rPr>
          <w:rFonts w:ascii="Calibri" w:hAnsi="Calibri"/>
          <w:sz w:val="24"/>
          <w:szCs w:val="24"/>
        </w:rPr>
        <w:t xml:space="preserve">and </w:t>
      </w:r>
      <w:r w:rsidR="00CA3F1A" w:rsidRPr="008E7C31">
        <w:rPr>
          <w:rFonts w:ascii="Calibri" w:hAnsi="Calibri"/>
          <w:sz w:val="24"/>
          <w:szCs w:val="24"/>
        </w:rPr>
        <w:t>behavioural health</w:t>
      </w:r>
      <w:r w:rsidR="00B12977">
        <w:rPr>
          <w:rFonts w:ascii="Calibri" w:hAnsi="Calibri"/>
          <w:sz w:val="24"/>
          <w:szCs w:val="24"/>
        </w:rPr>
        <w:t>.</w:t>
      </w:r>
    </w:p>
    <w:p w14:paraId="75826ED6" w14:textId="2C7AEEA7" w:rsidR="003C7636" w:rsidRDefault="003C7636" w:rsidP="00D204E1">
      <w:pPr>
        <w:pStyle w:val="ListParagraph"/>
        <w:numPr>
          <w:ilvl w:val="0"/>
          <w:numId w:val="35"/>
        </w:numPr>
        <w:spacing w:after="120" w:line="240" w:lineRule="auto"/>
        <w:ind w:left="1440"/>
        <w:rPr>
          <w:rFonts w:ascii="Calibri" w:hAnsi="Calibri"/>
          <w:sz w:val="24"/>
          <w:szCs w:val="24"/>
        </w:rPr>
      </w:pPr>
      <w:r>
        <w:rPr>
          <w:rFonts w:ascii="Calibri" w:hAnsi="Calibri"/>
          <w:sz w:val="24"/>
          <w:szCs w:val="24"/>
        </w:rPr>
        <w:t xml:space="preserve">Ongoing shortages of maternal and child health services in mental health </w:t>
      </w:r>
    </w:p>
    <w:p w14:paraId="37B5BE9C" w14:textId="1EBBA16C" w:rsidR="00DC036F" w:rsidRPr="00B12977" w:rsidRDefault="00B12977" w:rsidP="00400111">
      <w:pPr>
        <w:pStyle w:val="ListParagraph"/>
        <w:numPr>
          <w:ilvl w:val="0"/>
          <w:numId w:val="35"/>
        </w:numPr>
        <w:spacing w:after="120" w:line="240" w:lineRule="auto"/>
        <w:ind w:left="1440"/>
        <w:contextualSpacing w:val="0"/>
        <w:rPr>
          <w:rFonts w:ascii="Calibri" w:hAnsi="Calibri"/>
          <w:sz w:val="24"/>
          <w:szCs w:val="24"/>
        </w:rPr>
      </w:pPr>
      <w:r w:rsidRPr="00B12977">
        <w:rPr>
          <w:rFonts w:ascii="Calibri" w:hAnsi="Calibri"/>
          <w:sz w:val="24"/>
          <w:szCs w:val="24"/>
        </w:rPr>
        <w:t>Lack of systemic identification of h</w:t>
      </w:r>
      <w:r w:rsidR="00DC036F" w:rsidRPr="00B12977">
        <w:rPr>
          <w:rFonts w:ascii="Calibri" w:hAnsi="Calibri"/>
          <w:sz w:val="24"/>
          <w:szCs w:val="24"/>
        </w:rPr>
        <w:t>igh</w:t>
      </w:r>
      <w:r w:rsidRPr="00B12977">
        <w:rPr>
          <w:rFonts w:ascii="Calibri" w:hAnsi="Calibri"/>
          <w:sz w:val="24"/>
          <w:szCs w:val="24"/>
        </w:rPr>
        <w:t>-</w:t>
      </w:r>
      <w:r w:rsidR="00DC036F" w:rsidRPr="00B12977">
        <w:rPr>
          <w:rFonts w:ascii="Calibri" w:hAnsi="Calibri"/>
          <w:sz w:val="24"/>
          <w:szCs w:val="24"/>
        </w:rPr>
        <w:t xml:space="preserve">needs families in pregnancy, </w:t>
      </w:r>
      <w:r w:rsidRPr="00B12977">
        <w:rPr>
          <w:rFonts w:ascii="Calibri" w:hAnsi="Calibri"/>
          <w:sz w:val="24"/>
          <w:szCs w:val="24"/>
        </w:rPr>
        <w:t xml:space="preserve">so they can be </w:t>
      </w:r>
      <w:r w:rsidR="00DC036F" w:rsidRPr="00B12977">
        <w:rPr>
          <w:rFonts w:ascii="Calibri" w:hAnsi="Calibri"/>
          <w:sz w:val="24"/>
          <w:szCs w:val="24"/>
        </w:rPr>
        <w:t xml:space="preserve">given </w:t>
      </w:r>
      <w:r w:rsidR="00F57CDD" w:rsidRPr="00B12977">
        <w:rPr>
          <w:rFonts w:ascii="Calibri" w:hAnsi="Calibri"/>
          <w:sz w:val="24"/>
          <w:szCs w:val="24"/>
        </w:rPr>
        <w:t>integrated support packages matching the</w:t>
      </w:r>
      <w:r w:rsidRPr="00B12977">
        <w:rPr>
          <w:rFonts w:ascii="Calibri" w:hAnsi="Calibri"/>
          <w:sz w:val="24"/>
          <w:szCs w:val="24"/>
        </w:rPr>
        <w:t>ir</w:t>
      </w:r>
      <w:r w:rsidR="00F57CDD" w:rsidRPr="00B12977">
        <w:rPr>
          <w:rFonts w:ascii="Calibri" w:hAnsi="Calibri"/>
          <w:sz w:val="24"/>
          <w:szCs w:val="24"/>
        </w:rPr>
        <w:t xml:space="preserve"> needs. </w:t>
      </w:r>
    </w:p>
    <w:p w14:paraId="476D71E1" w14:textId="74780389" w:rsidR="00953EBA" w:rsidRPr="00B12977" w:rsidRDefault="00400111" w:rsidP="00106BCE">
      <w:pPr>
        <w:pStyle w:val="ListParagraph"/>
        <w:spacing w:after="120" w:line="240" w:lineRule="auto"/>
        <w:ind w:left="1080" w:hanging="357"/>
        <w:contextualSpacing w:val="0"/>
        <w:rPr>
          <w:rFonts w:ascii="Calibri" w:hAnsi="Calibri"/>
          <w:sz w:val="24"/>
          <w:szCs w:val="24"/>
        </w:rPr>
      </w:pPr>
      <w:r>
        <w:rPr>
          <w:rFonts w:ascii="Calibri" w:hAnsi="Calibri"/>
          <w:sz w:val="24"/>
          <w:szCs w:val="24"/>
        </w:rPr>
        <w:t>11b. The need for i</w:t>
      </w:r>
      <w:r w:rsidR="00953EBA" w:rsidRPr="00B12977">
        <w:rPr>
          <w:rFonts w:ascii="Calibri" w:hAnsi="Calibri"/>
          <w:sz w:val="24"/>
          <w:szCs w:val="24"/>
        </w:rPr>
        <w:t xml:space="preserve">ntegration, including on digital platforms, for all health services and health professionals undertaking </w:t>
      </w:r>
      <w:r w:rsidR="00B12977" w:rsidRPr="00B12977">
        <w:rPr>
          <w:rFonts w:ascii="Calibri" w:hAnsi="Calibri"/>
          <w:sz w:val="24"/>
          <w:szCs w:val="24"/>
        </w:rPr>
        <w:t xml:space="preserve">pregnancy and </w:t>
      </w:r>
      <w:r w:rsidR="00953EBA" w:rsidRPr="00B12977">
        <w:rPr>
          <w:rFonts w:ascii="Calibri" w:hAnsi="Calibri"/>
          <w:sz w:val="24"/>
          <w:szCs w:val="24"/>
        </w:rPr>
        <w:t>well child</w:t>
      </w:r>
      <w:r w:rsidR="00B12977" w:rsidRPr="00B12977">
        <w:rPr>
          <w:rFonts w:ascii="Calibri" w:hAnsi="Calibri"/>
          <w:sz w:val="24"/>
          <w:szCs w:val="24"/>
        </w:rPr>
        <w:t xml:space="preserve">/ </w:t>
      </w:r>
      <w:proofErr w:type="spellStart"/>
      <w:r w:rsidR="00B12977" w:rsidRPr="00B12977">
        <w:rPr>
          <w:rFonts w:ascii="Calibri" w:hAnsi="Calibri"/>
          <w:sz w:val="24"/>
          <w:szCs w:val="24"/>
        </w:rPr>
        <w:t>tamariki</w:t>
      </w:r>
      <w:proofErr w:type="spellEnd"/>
      <w:r w:rsidR="00B12977" w:rsidRPr="00B12977">
        <w:rPr>
          <w:rFonts w:ascii="Calibri" w:hAnsi="Calibri"/>
          <w:sz w:val="24"/>
          <w:szCs w:val="24"/>
        </w:rPr>
        <w:t xml:space="preserve"> </w:t>
      </w:r>
      <w:proofErr w:type="spellStart"/>
      <w:r w:rsidR="00B12977" w:rsidRPr="00B12977">
        <w:rPr>
          <w:rFonts w:ascii="Calibri" w:hAnsi="Calibri"/>
          <w:sz w:val="24"/>
          <w:szCs w:val="24"/>
        </w:rPr>
        <w:t>ora</w:t>
      </w:r>
      <w:proofErr w:type="spellEnd"/>
      <w:r w:rsidR="00953EBA" w:rsidRPr="00B12977">
        <w:rPr>
          <w:rFonts w:ascii="Calibri" w:hAnsi="Calibri"/>
          <w:sz w:val="24"/>
          <w:szCs w:val="24"/>
        </w:rPr>
        <w:t xml:space="preserve"> checks: </w:t>
      </w:r>
      <w:hyperlink r:id="rId11" w:history="1">
        <w:r w:rsidR="00053893" w:rsidRPr="00B12977">
          <w:rPr>
            <w:rStyle w:val="Hyperlink"/>
            <w:rFonts w:ascii="Calibri" w:hAnsi="Calibri"/>
            <w:sz w:val="24"/>
            <w:szCs w:val="24"/>
          </w:rPr>
          <w:t>https://www.wellchild.org.nz/who-does-well-child-checks</w:t>
        </w:r>
      </w:hyperlink>
      <w:r w:rsidR="00B12977" w:rsidRPr="00B12977">
        <w:rPr>
          <w:rFonts w:ascii="Calibri" w:hAnsi="Calibri"/>
          <w:sz w:val="24"/>
          <w:szCs w:val="24"/>
        </w:rPr>
        <w:t xml:space="preserve"> </w:t>
      </w:r>
    </w:p>
    <w:p w14:paraId="5429B6EA" w14:textId="43F7710E" w:rsidR="00400111" w:rsidRDefault="00400111" w:rsidP="00400111">
      <w:pPr>
        <w:pStyle w:val="ListParagraph"/>
        <w:spacing w:after="120" w:line="240" w:lineRule="auto"/>
        <w:ind w:left="1260" w:hanging="540"/>
        <w:contextualSpacing w:val="0"/>
        <w:rPr>
          <w:rFonts w:ascii="Calibri" w:hAnsi="Calibri"/>
          <w:sz w:val="24"/>
          <w:szCs w:val="24"/>
        </w:rPr>
      </w:pPr>
      <w:r>
        <w:rPr>
          <w:rFonts w:ascii="Calibri" w:hAnsi="Calibri"/>
          <w:sz w:val="24"/>
          <w:szCs w:val="24"/>
        </w:rPr>
        <w:t>11c.</w:t>
      </w:r>
      <w:r>
        <w:rPr>
          <w:rFonts w:ascii="Calibri" w:hAnsi="Calibri"/>
          <w:sz w:val="24"/>
          <w:szCs w:val="24"/>
        </w:rPr>
        <w:tab/>
      </w:r>
      <w:r w:rsidRPr="007E3904">
        <w:rPr>
          <w:rFonts w:ascii="Calibri" w:hAnsi="Calibri"/>
          <w:sz w:val="24"/>
          <w:szCs w:val="24"/>
        </w:rPr>
        <w:t xml:space="preserve">The role and place of PHOs and their interactions with DHBs. </w:t>
      </w:r>
    </w:p>
    <w:p w14:paraId="3D0A1691" w14:textId="71939FF8" w:rsidR="00116610" w:rsidRPr="007E3904" w:rsidRDefault="00400111" w:rsidP="00400111">
      <w:pPr>
        <w:pStyle w:val="ListParagraph"/>
        <w:spacing w:after="120" w:line="240" w:lineRule="auto"/>
        <w:ind w:left="1080" w:hanging="360"/>
        <w:rPr>
          <w:rFonts w:ascii="Calibri" w:hAnsi="Calibri"/>
          <w:sz w:val="24"/>
          <w:szCs w:val="24"/>
        </w:rPr>
      </w:pPr>
      <w:r>
        <w:rPr>
          <w:rFonts w:ascii="Calibri" w:hAnsi="Calibri"/>
          <w:sz w:val="24"/>
          <w:szCs w:val="24"/>
        </w:rPr>
        <w:t>11d. W</w:t>
      </w:r>
      <w:r w:rsidR="00116610" w:rsidRPr="007E3904">
        <w:rPr>
          <w:rFonts w:ascii="Calibri" w:hAnsi="Calibri"/>
          <w:sz w:val="24"/>
          <w:szCs w:val="24"/>
        </w:rPr>
        <w:t>orkforce needs</w:t>
      </w:r>
    </w:p>
    <w:p w14:paraId="609851B8" w14:textId="32128FAA" w:rsidR="00116610" w:rsidRPr="00106BCE" w:rsidRDefault="00116610" w:rsidP="00106BCE">
      <w:pPr>
        <w:pStyle w:val="ListParagraph"/>
        <w:numPr>
          <w:ilvl w:val="0"/>
          <w:numId w:val="37"/>
        </w:numPr>
        <w:spacing w:after="120" w:line="240" w:lineRule="auto"/>
        <w:ind w:left="1440"/>
        <w:rPr>
          <w:rFonts w:ascii="Calibri" w:hAnsi="Calibri"/>
          <w:sz w:val="24"/>
          <w:szCs w:val="24"/>
        </w:rPr>
      </w:pPr>
      <w:r w:rsidRPr="007E3904">
        <w:rPr>
          <w:rFonts w:ascii="Calibri" w:hAnsi="Calibri"/>
          <w:sz w:val="24"/>
          <w:szCs w:val="24"/>
        </w:rPr>
        <w:t>sustainable work force</w:t>
      </w:r>
      <w:r w:rsidR="00106BCE">
        <w:rPr>
          <w:rFonts w:ascii="Calibri" w:hAnsi="Calibri"/>
          <w:sz w:val="24"/>
          <w:szCs w:val="24"/>
        </w:rPr>
        <w:t xml:space="preserve"> (given the </w:t>
      </w:r>
      <w:r w:rsidRPr="00106BCE">
        <w:rPr>
          <w:rFonts w:ascii="Calibri" w:hAnsi="Calibri"/>
          <w:sz w:val="24"/>
          <w:szCs w:val="24"/>
        </w:rPr>
        <w:t xml:space="preserve">aging general practitioner </w:t>
      </w:r>
      <w:r w:rsidR="00CA3F1A" w:rsidRPr="00106BCE">
        <w:rPr>
          <w:rFonts w:ascii="Calibri" w:hAnsi="Calibri"/>
          <w:sz w:val="24"/>
          <w:szCs w:val="24"/>
        </w:rPr>
        <w:t xml:space="preserve">and primary care </w:t>
      </w:r>
      <w:r w:rsidRPr="00106BCE">
        <w:rPr>
          <w:rFonts w:ascii="Calibri" w:hAnsi="Calibri"/>
          <w:sz w:val="24"/>
          <w:szCs w:val="24"/>
        </w:rPr>
        <w:t>workforce</w:t>
      </w:r>
      <w:r w:rsidR="00106BCE">
        <w:rPr>
          <w:rFonts w:ascii="Calibri" w:hAnsi="Calibri"/>
          <w:sz w:val="24"/>
          <w:szCs w:val="24"/>
        </w:rPr>
        <w:t>)</w:t>
      </w:r>
    </w:p>
    <w:p w14:paraId="37451214" w14:textId="2148F053" w:rsidR="00116610" w:rsidRPr="00106BCE" w:rsidRDefault="00116610" w:rsidP="00106BCE">
      <w:pPr>
        <w:pStyle w:val="ListParagraph"/>
        <w:numPr>
          <w:ilvl w:val="1"/>
          <w:numId w:val="37"/>
        </w:numPr>
        <w:spacing w:after="120" w:line="240" w:lineRule="auto"/>
        <w:rPr>
          <w:rFonts w:ascii="Calibri" w:hAnsi="Calibri"/>
          <w:sz w:val="24"/>
          <w:szCs w:val="24"/>
        </w:rPr>
      </w:pPr>
      <w:r w:rsidRPr="00106BCE">
        <w:rPr>
          <w:rFonts w:ascii="Calibri" w:hAnsi="Calibri"/>
          <w:sz w:val="24"/>
          <w:szCs w:val="24"/>
        </w:rPr>
        <w:t>culturally appropriate practices</w:t>
      </w:r>
      <w:r w:rsidR="00106BCE" w:rsidRPr="00106BCE">
        <w:rPr>
          <w:rFonts w:ascii="Calibri" w:hAnsi="Calibri"/>
          <w:sz w:val="24"/>
          <w:szCs w:val="24"/>
        </w:rPr>
        <w:t xml:space="preserve"> (there are </w:t>
      </w:r>
      <w:r w:rsidRPr="00106BCE">
        <w:rPr>
          <w:rFonts w:ascii="Calibri" w:hAnsi="Calibri"/>
          <w:sz w:val="24"/>
          <w:szCs w:val="24"/>
        </w:rPr>
        <w:t>inadequate number</w:t>
      </w:r>
      <w:r w:rsidR="00106BCE">
        <w:rPr>
          <w:rFonts w:ascii="Calibri" w:hAnsi="Calibri"/>
          <w:sz w:val="24"/>
          <w:szCs w:val="24"/>
        </w:rPr>
        <w:t>s</w:t>
      </w:r>
      <w:r w:rsidRPr="00106BCE">
        <w:rPr>
          <w:rFonts w:ascii="Calibri" w:hAnsi="Calibri"/>
          <w:sz w:val="24"/>
          <w:szCs w:val="24"/>
        </w:rPr>
        <w:t xml:space="preserve"> of Māori, Pacific and other diverse ethnic groups across the primary care workforce</w:t>
      </w:r>
      <w:r w:rsidR="00106BCE">
        <w:rPr>
          <w:rFonts w:ascii="Calibri" w:hAnsi="Calibri"/>
          <w:sz w:val="24"/>
          <w:szCs w:val="24"/>
        </w:rPr>
        <w:t>)</w:t>
      </w:r>
    </w:p>
    <w:p w14:paraId="6FD3553E" w14:textId="1DE8F15F" w:rsidR="00116610" w:rsidRPr="007E3904" w:rsidRDefault="00106BCE" w:rsidP="00D204E1">
      <w:pPr>
        <w:pStyle w:val="ListParagraph"/>
        <w:numPr>
          <w:ilvl w:val="0"/>
          <w:numId w:val="37"/>
        </w:numPr>
        <w:spacing w:after="120" w:line="240" w:lineRule="auto"/>
        <w:ind w:left="1440"/>
        <w:rPr>
          <w:rFonts w:ascii="Calibri" w:hAnsi="Calibri"/>
          <w:sz w:val="24"/>
          <w:szCs w:val="24"/>
        </w:rPr>
      </w:pPr>
      <w:r>
        <w:rPr>
          <w:rFonts w:ascii="Calibri" w:hAnsi="Calibri"/>
          <w:sz w:val="24"/>
          <w:szCs w:val="24"/>
        </w:rPr>
        <w:t xml:space="preserve">increased </w:t>
      </w:r>
      <w:r w:rsidR="00116610" w:rsidRPr="007E3904">
        <w:rPr>
          <w:rFonts w:ascii="Calibri" w:hAnsi="Calibri"/>
          <w:sz w:val="24"/>
          <w:szCs w:val="24"/>
        </w:rPr>
        <w:t>rural practices</w:t>
      </w:r>
      <w:r>
        <w:rPr>
          <w:rFonts w:ascii="Calibri" w:hAnsi="Calibri"/>
          <w:sz w:val="24"/>
          <w:szCs w:val="24"/>
        </w:rPr>
        <w:t xml:space="preserve"> (current numbers are </w:t>
      </w:r>
      <w:r w:rsidRPr="007E3904">
        <w:rPr>
          <w:rFonts w:ascii="Calibri" w:hAnsi="Calibri"/>
          <w:sz w:val="24"/>
          <w:szCs w:val="24"/>
        </w:rPr>
        <w:t>inadequate</w:t>
      </w:r>
      <w:r>
        <w:rPr>
          <w:rFonts w:ascii="Calibri" w:hAnsi="Calibri"/>
          <w:sz w:val="24"/>
          <w:szCs w:val="24"/>
        </w:rPr>
        <w:t>)</w:t>
      </w:r>
      <w:r w:rsidRPr="007E3904">
        <w:rPr>
          <w:rFonts w:ascii="Calibri" w:hAnsi="Calibri"/>
          <w:sz w:val="24"/>
          <w:szCs w:val="24"/>
        </w:rPr>
        <w:t xml:space="preserve"> </w:t>
      </w:r>
    </w:p>
    <w:p w14:paraId="197A0C69" w14:textId="1DDF1DDD" w:rsidR="00116610" w:rsidRPr="007E3904" w:rsidRDefault="00106BCE" w:rsidP="00106BCE">
      <w:pPr>
        <w:pStyle w:val="ListParagraph"/>
        <w:numPr>
          <w:ilvl w:val="0"/>
          <w:numId w:val="37"/>
        </w:numPr>
        <w:spacing w:after="120" w:line="240" w:lineRule="auto"/>
        <w:ind w:left="1440"/>
        <w:contextualSpacing w:val="0"/>
        <w:rPr>
          <w:rFonts w:ascii="Calibri" w:hAnsi="Calibri"/>
          <w:sz w:val="24"/>
          <w:szCs w:val="24"/>
        </w:rPr>
      </w:pPr>
      <w:r>
        <w:rPr>
          <w:rFonts w:ascii="Calibri" w:hAnsi="Calibri"/>
          <w:sz w:val="24"/>
          <w:szCs w:val="24"/>
        </w:rPr>
        <w:t xml:space="preserve">increased </w:t>
      </w:r>
      <w:r w:rsidR="00116610" w:rsidRPr="007E3904">
        <w:rPr>
          <w:rFonts w:ascii="Calibri" w:hAnsi="Calibri"/>
          <w:sz w:val="24"/>
          <w:szCs w:val="24"/>
        </w:rPr>
        <w:t>continuity</w:t>
      </w:r>
    </w:p>
    <w:p w14:paraId="6EA3C3F4" w14:textId="5B36C2AC" w:rsidR="00116610" w:rsidRPr="00106BCE" w:rsidRDefault="004F5FBF" w:rsidP="00106BCE">
      <w:pPr>
        <w:pStyle w:val="ListParagraph"/>
        <w:numPr>
          <w:ilvl w:val="0"/>
          <w:numId w:val="39"/>
        </w:numPr>
        <w:spacing w:after="120" w:line="240" w:lineRule="auto"/>
        <w:contextualSpacing w:val="0"/>
        <w:rPr>
          <w:rFonts w:ascii="Calibri" w:hAnsi="Calibri"/>
          <w:sz w:val="24"/>
          <w:szCs w:val="24"/>
        </w:rPr>
      </w:pPr>
      <w:r w:rsidRPr="00106BCE">
        <w:rPr>
          <w:sz w:val="24"/>
          <w:szCs w:val="24"/>
        </w:rPr>
        <w:t xml:space="preserve">That the </w:t>
      </w:r>
      <w:r w:rsidR="00106BCE" w:rsidRPr="00106BCE">
        <w:rPr>
          <w:sz w:val="24"/>
          <w:szCs w:val="24"/>
        </w:rPr>
        <w:t>g</w:t>
      </w:r>
      <w:r w:rsidRPr="00106BCE">
        <w:rPr>
          <w:sz w:val="24"/>
          <w:szCs w:val="24"/>
        </w:rPr>
        <w:t xml:space="preserve">overnment fully engage with the sector to ensure more sustainable and equitable models of </w:t>
      </w:r>
      <w:r w:rsidR="00106BCE" w:rsidRPr="00106BCE">
        <w:rPr>
          <w:sz w:val="24"/>
          <w:szCs w:val="24"/>
        </w:rPr>
        <w:t>g</w:t>
      </w:r>
      <w:r w:rsidRPr="00106BCE">
        <w:rPr>
          <w:sz w:val="24"/>
          <w:szCs w:val="24"/>
        </w:rPr>
        <w:t xml:space="preserve">eneral </w:t>
      </w:r>
      <w:r w:rsidR="00106BCE" w:rsidRPr="00106BCE">
        <w:rPr>
          <w:sz w:val="24"/>
          <w:szCs w:val="24"/>
        </w:rPr>
        <w:t>p</w:t>
      </w:r>
      <w:r w:rsidRPr="00106BCE">
        <w:rPr>
          <w:sz w:val="24"/>
          <w:szCs w:val="24"/>
        </w:rPr>
        <w:t xml:space="preserve">ractice and </w:t>
      </w:r>
      <w:r w:rsidR="00106BCE" w:rsidRPr="00106BCE">
        <w:rPr>
          <w:sz w:val="24"/>
          <w:szCs w:val="24"/>
        </w:rPr>
        <w:t>p</w:t>
      </w:r>
      <w:r w:rsidRPr="00106BCE">
        <w:rPr>
          <w:sz w:val="24"/>
          <w:szCs w:val="24"/>
        </w:rPr>
        <w:t xml:space="preserve">rimary </w:t>
      </w:r>
      <w:r w:rsidR="00106BCE" w:rsidRPr="00106BCE">
        <w:rPr>
          <w:sz w:val="24"/>
          <w:szCs w:val="24"/>
        </w:rPr>
        <w:t>c</w:t>
      </w:r>
      <w:r w:rsidRPr="00106BCE">
        <w:rPr>
          <w:sz w:val="24"/>
          <w:szCs w:val="24"/>
        </w:rPr>
        <w:t>are funding. Current practice across all existing business models has the potential to amplify negative impacts of child poverty.</w:t>
      </w:r>
    </w:p>
    <w:p w14:paraId="2239CE20" w14:textId="28C4F733" w:rsidR="006C268D" w:rsidRDefault="006C268D" w:rsidP="00293982">
      <w:pPr>
        <w:pStyle w:val="ListParagraph"/>
        <w:numPr>
          <w:ilvl w:val="0"/>
          <w:numId w:val="39"/>
        </w:numPr>
        <w:spacing w:after="120"/>
        <w:contextualSpacing w:val="0"/>
        <w:rPr>
          <w:rFonts w:ascii="Calibri" w:hAnsi="Calibri"/>
          <w:sz w:val="24"/>
          <w:szCs w:val="24"/>
        </w:rPr>
      </w:pPr>
      <w:r w:rsidRPr="006C268D">
        <w:rPr>
          <w:rFonts w:ascii="Calibri" w:hAnsi="Calibri"/>
          <w:sz w:val="24"/>
          <w:szCs w:val="24"/>
        </w:rPr>
        <w:t xml:space="preserve">That </w:t>
      </w:r>
      <w:r w:rsidR="00116610" w:rsidRPr="006C268D">
        <w:rPr>
          <w:rFonts w:ascii="Calibri" w:hAnsi="Calibri"/>
          <w:sz w:val="24"/>
          <w:szCs w:val="24"/>
        </w:rPr>
        <w:t xml:space="preserve">the </w:t>
      </w:r>
      <w:r w:rsidR="00106BCE">
        <w:rPr>
          <w:rFonts w:ascii="Calibri" w:hAnsi="Calibri"/>
          <w:sz w:val="24"/>
          <w:szCs w:val="24"/>
        </w:rPr>
        <w:t>g</w:t>
      </w:r>
      <w:r w:rsidR="00116610" w:rsidRPr="006C268D">
        <w:rPr>
          <w:rFonts w:ascii="Calibri" w:hAnsi="Calibri"/>
          <w:sz w:val="24"/>
          <w:szCs w:val="24"/>
        </w:rPr>
        <w:t xml:space="preserve">overnment carefully </w:t>
      </w:r>
      <w:r w:rsidRPr="006C268D">
        <w:rPr>
          <w:rFonts w:ascii="Calibri" w:hAnsi="Calibri"/>
          <w:sz w:val="24"/>
          <w:szCs w:val="24"/>
        </w:rPr>
        <w:t xml:space="preserve">considers all consequences of </w:t>
      </w:r>
      <w:r w:rsidR="00116610" w:rsidRPr="006C268D">
        <w:rPr>
          <w:rFonts w:ascii="Calibri" w:hAnsi="Calibri"/>
          <w:sz w:val="24"/>
          <w:szCs w:val="24"/>
        </w:rPr>
        <w:t>disestablish</w:t>
      </w:r>
      <w:r w:rsidRPr="006C268D">
        <w:rPr>
          <w:rFonts w:ascii="Calibri" w:hAnsi="Calibri"/>
          <w:sz w:val="24"/>
          <w:szCs w:val="24"/>
        </w:rPr>
        <w:t>ing</w:t>
      </w:r>
      <w:r w:rsidR="00116610" w:rsidRPr="006C268D">
        <w:rPr>
          <w:rFonts w:ascii="Calibri" w:hAnsi="Calibri"/>
          <w:sz w:val="24"/>
          <w:szCs w:val="24"/>
        </w:rPr>
        <w:t xml:space="preserve"> </w:t>
      </w:r>
      <w:proofErr w:type="spellStart"/>
      <w:r w:rsidR="00116610" w:rsidRPr="006C268D">
        <w:rPr>
          <w:rFonts w:ascii="Calibri" w:hAnsi="Calibri"/>
          <w:sz w:val="24"/>
          <w:szCs w:val="24"/>
        </w:rPr>
        <w:t>Te</w:t>
      </w:r>
      <w:proofErr w:type="spellEnd"/>
      <w:r w:rsidR="00116610" w:rsidRPr="006C268D">
        <w:rPr>
          <w:rFonts w:ascii="Calibri" w:hAnsi="Calibri"/>
          <w:sz w:val="24"/>
          <w:szCs w:val="24"/>
        </w:rPr>
        <w:t xml:space="preserve"> </w:t>
      </w:r>
      <w:proofErr w:type="spellStart"/>
      <w:r w:rsidR="00116610" w:rsidRPr="006C268D">
        <w:rPr>
          <w:rFonts w:ascii="Calibri" w:hAnsi="Calibri"/>
          <w:sz w:val="24"/>
          <w:szCs w:val="24"/>
        </w:rPr>
        <w:t>Hiringa</w:t>
      </w:r>
      <w:proofErr w:type="spellEnd"/>
      <w:r w:rsidR="00116610" w:rsidRPr="006C268D">
        <w:rPr>
          <w:rFonts w:ascii="Calibri" w:hAnsi="Calibri"/>
          <w:sz w:val="24"/>
          <w:szCs w:val="24"/>
        </w:rPr>
        <w:t xml:space="preserve"> Hauora (Health Promotion Agency) </w:t>
      </w:r>
      <w:r w:rsidRPr="006C268D">
        <w:rPr>
          <w:rFonts w:ascii="Calibri" w:hAnsi="Calibri"/>
          <w:sz w:val="24"/>
          <w:szCs w:val="24"/>
        </w:rPr>
        <w:t xml:space="preserve">before deciding whether or not to do so </w:t>
      </w:r>
      <w:r w:rsidR="00116610" w:rsidRPr="006C268D">
        <w:rPr>
          <w:rFonts w:ascii="Calibri" w:hAnsi="Calibri"/>
          <w:sz w:val="24"/>
          <w:szCs w:val="24"/>
        </w:rPr>
        <w:t xml:space="preserve">per the H&amp;DSR recommendation; and if it does decide to do so, </w:t>
      </w:r>
      <w:r w:rsidRPr="006C268D">
        <w:rPr>
          <w:rFonts w:ascii="Calibri" w:hAnsi="Calibri"/>
          <w:sz w:val="24"/>
          <w:szCs w:val="24"/>
        </w:rPr>
        <w:t xml:space="preserve">that it ensures a </w:t>
      </w:r>
      <w:r w:rsidR="00116610" w:rsidRPr="006C268D">
        <w:rPr>
          <w:rFonts w:ascii="Calibri" w:hAnsi="Calibri"/>
          <w:sz w:val="24"/>
          <w:szCs w:val="24"/>
        </w:rPr>
        <w:t xml:space="preserve">smooth continuation of the current critical health promotion work that is being carried out by </w:t>
      </w:r>
      <w:proofErr w:type="spellStart"/>
      <w:r w:rsidR="00116610" w:rsidRPr="006C268D">
        <w:rPr>
          <w:rFonts w:ascii="Calibri" w:hAnsi="Calibri"/>
          <w:sz w:val="24"/>
          <w:szCs w:val="24"/>
        </w:rPr>
        <w:t>Te</w:t>
      </w:r>
      <w:proofErr w:type="spellEnd"/>
      <w:r w:rsidR="00116610" w:rsidRPr="006C268D">
        <w:rPr>
          <w:rFonts w:ascii="Calibri" w:hAnsi="Calibri"/>
          <w:sz w:val="24"/>
          <w:szCs w:val="24"/>
        </w:rPr>
        <w:t xml:space="preserve"> </w:t>
      </w:r>
      <w:proofErr w:type="spellStart"/>
      <w:r w:rsidR="00116610" w:rsidRPr="006C268D">
        <w:rPr>
          <w:rFonts w:ascii="Calibri" w:hAnsi="Calibri"/>
          <w:sz w:val="24"/>
          <w:szCs w:val="24"/>
        </w:rPr>
        <w:t>Hiringa</w:t>
      </w:r>
      <w:proofErr w:type="spellEnd"/>
      <w:r w:rsidR="00116610" w:rsidRPr="006C268D">
        <w:rPr>
          <w:rFonts w:ascii="Calibri" w:hAnsi="Calibri"/>
          <w:sz w:val="24"/>
          <w:szCs w:val="24"/>
        </w:rPr>
        <w:t xml:space="preserve"> Hauora to address maternal smoking cessation and alcohol use, and promotion of childhood immunisations.</w:t>
      </w:r>
    </w:p>
    <w:p w14:paraId="1521A569" w14:textId="5D666569" w:rsidR="006C268D" w:rsidRDefault="00342202" w:rsidP="00293982">
      <w:pPr>
        <w:pStyle w:val="ListParagraph"/>
        <w:numPr>
          <w:ilvl w:val="0"/>
          <w:numId w:val="39"/>
        </w:numPr>
        <w:spacing w:after="120"/>
        <w:contextualSpacing w:val="0"/>
        <w:rPr>
          <w:rFonts w:ascii="Calibri" w:hAnsi="Calibri"/>
          <w:sz w:val="24"/>
          <w:szCs w:val="24"/>
        </w:rPr>
      </w:pPr>
      <w:r>
        <w:rPr>
          <w:rFonts w:ascii="Calibri" w:hAnsi="Calibri"/>
          <w:sz w:val="24"/>
          <w:szCs w:val="24"/>
        </w:rPr>
        <w:t>That, a</w:t>
      </w:r>
      <w:r w:rsidR="009966D1">
        <w:rPr>
          <w:rFonts w:ascii="Calibri" w:hAnsi="Calibri"/>
          <w:sz w:val="24"/>
          <w:szCs w:val="24"/>
        </w:rPr>
        <w:t>s</w:t>
      </w:r>
      <w:r w:rsidR="00116610" w:rsidRPr="006C268D">
        <w:rPr>
          <w:rFonts w:ascii="Calibri" w:hAnsi="Calibri"/>
          <w:sz w:val="24"/>
          <w:szCs w:val="24"/>
        </w:rPr>
        <w:t xml:space="preserve"> DHBs merge, the government take its lead from iwi, </w:t>
      </w:r>
      <w:proofErr w:type="spellStart"/>
      <w:r w:rsidR="00116610" w:rsidRPr="006C268D">
        <w:rPr>
          <w:rFonts w:ascii="Calibri" w:hAnsi="Calibri"/>
          <w:sz w:val="24"/>
          <w:szCs w:val="24"/>
        </w:rPr>
        <w:t>hap</w:t>
      </w:r>
      <w:r>
        <w:rPr>
          <w:rFonts w:ascii="Calibri" w:hAnsi="Calibri"/>
          <w:sz w:val="24"/>
          <w:szCs w:val="24"/>
        </w:rPr>
        <w:t>ū</w:t>
      </w:r>
      <w:proofErr w:type="spellEnd"/>
      <w:r w:rsidR="00116610" w:rsidRPr="006C268D">
        <w:rPr>
          <w:rFonts w:ascii="Calibri" w:hAnsi="Calibri"/>
          <w:sz w:val="24"/>
          <w:szCs w:val="24"/>
        </w:rPr>
        <w:t xml:space="preserve"> and </w:t>
      </w:r>
      <w:proofErr w:type="spellStart"/>
      <w:r w:rsidR="00116610" w:rsidRPr="006C268D">
        <w:rPr>
          <w:rFonts w:ascii="Calibri" w:hAnsi="Calibri"/>
          <w:sz w:val="24"/>
          <w:szCs w:val="24"/>
        </w:rPr>
        <w:t>whānau</w:t>
      </w:r>
      <w:proofErr w:type="spellEnd"/>
      <w:r w:rsidR="00116610" w:rsidRPr="006C268D">
        <w:rPr>
          <w:rFonts w:ascii="Calibri" w:hAnsi="Calibri"/>
          <w:sz w:val="24"/>
          <w:szCs w:val="24"/>
        </w:rPr>
        <w:t xml:space="preserve"> to ensure the voice and the needs of Māori communities are heard and have some agency over </w:t>
      </w:r>
      <w:r>
        <w:rPr>
          <w:rFonts w:ascii="Calibri" w:hAnsi="Calibri"/>
          <w:sz w:val="24"/>
          <w:szCs w:val="24"/>
        </w:rPr>
        <w:t>DHB</w:t>
      </w:r>
      <w:r w:rsidR="00116610" w:rsidRPr="006C268D">
        <w:rPr>
          <w:rFonts w:ascii="Calibri" w:hAnsi="Calibri"/>
          <w:sz w:val="24"/>
          <w:szCs w:val="24"/>
        </w:rPr>
        <w:t xml:space="preserve"> strategic planning, functioning and resourcing</w:t>
      </w:r>
      <w:r w:rsidR="006D583A">
        <w:rPr>
          <w:rFonts w:ascii="Calibri" w:hAnsi="Calibri"/>
          <w:sz w:val="24"/>
          <w:szCs w:val="24"/>
        </w:rPr>
        <w:t xml:space="preserve">. Merging of DHBs increases </w:t>
      </w:r>
      <w:r w:rsidR="00116610" w:rsidRPr="006C268D">
        <w:rPr>
          <w:rFonts w:ascii="Calibri" w:hAnsi="Calibri"/>
          <w:sz w:val="24"/>
          <w:szCs w:val="24"/>
        </w:rPr>
        <w:t xml:space="preserve">the risk that largely Māori communities in localities such as Northland and </w:t>
      </w:r>
      <w:proofErr w:type="spellStart"/>
      <w:r w:rsidR="00116610" w:rsidRPr="006C268D">
        <w:rPr>
          <w:rFonts w:ascii="Calibri" w:hAnsi="Calibri"/>
          <w:sz w:val="24"/>
          <w:szCs w:val="24"/>
        </w:rPr>
        <w:t>Tai</w:t>
      </w:r>
      <w:r>
        <w:rPr>
          <w:rFonts w:ascii="Calibri" w:hAnsi="Calibri"/>
          <w:sz w:val="24"/>
          <w:szCs w:val="24"/>
        </w:rPr>
        <w:t>rā</w:t>
      </w:r>
      <w:r w:rsidR="00116610" w:rsidRPr="006C268D">
        <w:rPr>
          <w:rFonts w:ascii="Calibri" w:hAnsi="Calibri"/>
          <w:sz w:val="24"/>
          <w:szCs w:val="24"/>
        </w:rPr>
        <w:t>whiti</w:t>
      </w:r>
      <w:proofErr w:type="spellEnd"/>
      <w:r w:rsidR="00116610" w:rsidRPr="006C268D">
        <w:rPr>
          <w:rFonts w:ascii="Calibri" w:hAnsi="Calibri"/>
          <w:sz w:val="24"/>
          <w:szCs w:val="24"/>
        </w:rPr>
        <w:t xml:space="preserve"> will be (further) overlooked if merged with localities with largely non-Māori communities.</w:t>
      </w:r>
    </w:p>
    <w:p w14:paraId="3E369D52" w14:textId="129421CF" w:rsidR="00D204E1" w:rsidRPr="00D204E1" w:rsidRDefault="006C268D" w:rsidP="00293982">
      <w:pPr>
        <w:pStyle w:val="ListParagraph"/>
        <w:numPr>
          <w:ilvl w:val="0"/>
          <w:numId w:val="39"/>
        </w:numPr>
        <w:spacing w:after="120"/>
        <w:contextualSpacing w:val="0"/>
        <w:rPr>
          <w:rFonts w:ascii="Calibri" w:hAnsi="Calibri"/>
          <w:sz w:val="24"/>
          <w:szCs w:val="24"/>
        </w:rPr>
      </w:pPr>
      <w:r w:rsidRPr="006C268D">
        <w:rPr>
          <w:rFonts w:ascii="Calibri" w:eastAsia="Times New Roman" w:hAnsi="Calibri"/>
          <w:color w:val="000000" w:themeColor="text1"/>
          <w:sz w:val="24"/>
          <w:szCs w:val="24"/>
        </w:rPr>
        <w:t>T</w:t>
      </w:r>
      <w:r w:rsidR="00116610" w:rsidRPr="006C268D">
        <w:rPr>
          <w:rFonts w:ascii="Calibri" w:eastAsia="Times New Roman" w:hAnsi="Calibri"/>
          <w:color w:val="000000" w:themeColor="text1"/>
          <w:sz w:val="24"/>
          <w:szCs w:val="24"/>
        </w:rPr>
        <w:t>hat</w:t>
      </w:r>
      <w:r w:rsidR="00342202">
        <w:rPr>
          <w:rFonts w:ascii="Calibri" w:eastAsia="Times New Roman" w:hAnsi="Calibri"/>
          <w:color w:val="000000" w:themeColor="text1"/>
          <w:sz w:val="24"/>
          <w:szCs w:val="24"/>
        </w:rPr>
        <w:t>,</w:t>
      </w:r>
      <w:r w:rsidR="00116610" w:rsidRPr="006C268D">
        <w:rPr>
          <w:rFonts w:ascii="Calibri" w:eastAsia="Times New Roman" w:hAnsi="Calibri"/>
          <w:color w:val="000000" w:themeColor="text1"/>
          <w:sz w:val="24"/>
          <w:szCs w:val="24"/>
        </w:rPr>
        <w:t xml:space="preserve"> if the funding and accountability is to sit at the DHB level as the H&amp;D</w:t>
      </w:r>
      <w:r w:rsidR="006D583A">
        <w:rPr>
          <w:rFonts w:ascii="Calibri" w:eastAsia="Times New Roman" w:hAnsi="Calibri"/>
          <w:color w:val="000000" w:themeColor="text1"/>
          <w:sz w:val="24"/>
          <w:szCs w:val="24"/>
        </w:rPr>
        <w:t>S</w:t>
      </w:r>
      <w:r w:rsidR="00116610" w:rsidRPr="006C268D">
        <w:rPr>
          <w:rFonts w:ascii="Calibri" w:eastAsia="Times New Roman" w:hAnsi="Calibri"/>
          <w:color w:val="000000" w:themeColor="text1"/>
          <w:sz w:val="24"/>
          <w:szCs w:val="24"/>
        </w:rPr>
        <w:t xml:space="preserve">R committee recommends, </w:t>
      </w:r>
      <w:r w:rsidR="00D204E1">
        <w:rPr>
          <w:rFonts w:ascii="Calibri" w:eastAsia="Times New Roman" w:hAnsi="Calibri"/>
          <w:color w:val="000000" w:themeColor="text1"/>
          <w:sz w:val="24"/>
          <w:szCs w:val="24"/>
        </w:rPr>
        <w:t xml:space="preserve">the government offer </w:t>
      </w:r>
      <w:r w:rsidR="00116610" w:rsidRPr="006C268D">
        <w:rPr>
          <w:rFonts w:ascii="Calibri" w:eastAsia="Times New Roman" w:hAnsi="Calibri"/>
          <w:color w:val="000000" w:themeColor="text1"/>
          <w:sz w:val="24"/>
          <w:szCs w:val="24"/>
        </w:rPr>
        <w:t xml:space="preserve">DHBs clear guidance and accountability as to how </w:t>
      </w:r>
      <w:r w:rsidR="006D583A">
        <w:rPr>
          <w:rFonts w:ascii="Calibri" w:eastAsia="Times New Roman" w:hAnsi="Calibri"/>
          <w:color w:val="000000" w:themeColor="text1"/>
          <w:sz w:val="24"/>
          <w:szCs w:val="24"/>
        </w:rPr>
        <w:t xml:space="preserve">to </w:t>
      </w:r>
      <w:r w:rsidR="00921C02">
        <w:rPr>
          <w:rFonts w:ascii="Calibri" w:eastAsia="Times New Roman" w:hAnsi="Calibri"/>
          <w:color w:val="000000" w:themeColor="text1"/>
          <w:sz w:val="24"/>
          <w:szCs w:val="24"/>
        </w:rPr>
        <w:t>ring</w:t>
      </w:r>
      <w:r w:rsidR="00953EBA">
        <w:rPr>
          <w:rFonts w:ascii="Calibri" w:eastAsia="Times New Roman" w:hAnsi="Calibri"/>
          <w:color w:val="000000" w:themeColor="text1"/>
          <w:sz w:val="24"/>
          <w:szCs w:val="24"/>
        </w:rPr>
        <w:t>-</w:t>
      </w:r>
      <w:r w:rsidR="00921C02">
        <w:rPr>
          <w:rFonts w:ascii="Calibri" w:eastAsia="Times New Roman" w:hAnsi="Calibri"/>
          <w:color w:val="000000" w:themeColor="text1"/>
          <w:sz w:val="24"/>
          <w:szCs w:val="24"/>
        </w:rPr>
        <w:t xml:space="preserve">fence and </w:t>
      </w:r>
      <w:r w:rsidR="00116610" w:rsidRPr="006C268D">
        <w:rPr>
          <w:rFonts w:ascii="Calibri" w:eastAsia="Times New Roman" w:hAnsi="Calibri"/>
          <w:color w:val="000000" w:themeColor="text1"/>
          <w:sz w:val="24"/>
          <w:szCs w:val="24"/>
        </w:rPr>
        <w:t xml:space="preserve">prioritise the competing needs of their populations. Given that DHBs are currently in significant deficit, direction and oversight will be required to ensure that urgent infrastructure and secondary service needs are not inappropriately prioritised over the needs of </w:t>
      </w:r>
      <w:r w:rsidR="008F6079">
        <w:rPr>
          <w:rFonts w:ascii="Calibri" w:eastAsia="Times New Roman" w:hAnsi="Calibri"/>
          <w:color w:val="000000" w:themeColor="text1"/>
          <w:sz w:val="24"/>
          <w:szCs w:val="24"/>
        </w:rPr>
        <w:t>primary care and</w:t>
      </w:r>
      <w:r w:rsidR="008F6079" w:rsidRPr="006C268D">
        <w:rPr>
          <w:rFonts w:ascii="Calibri" w:eastAsia="Times New Roman" w:hAnsi="Calibri"/>
          <w:color w:val="000000" w:themeColor="text1"/>
          <w:sz w:val="24"/>
          <w:szCs w:val="24"/>
        </w:rPr>
        <w:t xml:space="preserve"> </w:t>
      </w:r>
      <w:r w:rsidR="00116610" w:rsidRPr="006C268D">
        <w:rPr>
          <w:rFonts w:ascii="Calibri" w:eastAsia="Times New Roman" w:hAnsi="Calibri"/>
          <w:color w:val="000000" w:themeColor="text1"/>
          <w:sz w:val="24"/>
          <w:szCs w:val="24"/>
        </w:rPr>
        <w:t>disability sector</w:t>
      </w:r>
      <w:r w:rsidR="008F6079">
        <w:rPr>
          <w:rFonts w:ascii="Calibri" w:eastAsia="Times New Roman" w:hAnsi="Calibri"/>
          <w:color w:val="000000" w:themeColor="text1"/>
          <w:sz w:val="24"/>
          <w:szCs w:val="24"/>
        </w:rPr>
        <w:t>s</w:t>
      </w:r>
      <w:r w:rsidR="00116610" w:rsidRPr="006C268D">
        <w:rPr>
          <w:rFonts w:ascii="Calibri" w:eastAsia="Times New Roman" w:hAnsi="Calibri"/>
          <w:color w:val="000000" w:themeColor="text1"/>
          <w:sz w:val="24"/>
          <w:szCs w:val="24"/>
        </w:rPr>
        <w:t xml:space="preserve">, and </w:t>
      </w:r>
      <w:r w:rsidR="00D204E1">
        <w:rPr>
          <w:rFonts w:ascii="Calibri" w:eastAsia="Times New Roman" w:hAnsi="Calibri"/>
          <w:color w:val="000000" w:themeColor="text1"/>
          <w:sz w:val="24"/>
          <w:szCs w:val="24"/>
        </w:rPr>
        <w:t xml:space="preserve">over </w:t>
      </w:r>
      <w:r w:rsidR="00116610" w:rsidRPr="006C268D">
        <w:rPr>
          <w:rFonts w:ascii="Calibri" w:eastAsia="Times New Roman" w:hAnsi="Calibri"/>
          <w:color w:val="000000" w:themeColor="text1"/>
          <w:sz w:val="24"/>
          <w:szCs w:val="24"/>
        </w:rPr>
        <w:t>longer term approaches to improving population health and resolving equity issues.</w:t>
      </w:r>
    </w:p>
    <w:p w14:paraId="3864C3EE" w14:textId="52F4F86E" w:rsidR="00116610" w:rsidRPr="007A270F" w:rsidRDefault="00D204E1" w:rsidP="00293982">
      <w:pPr>
        <w:pStyle w:val="ListParagraph"/>
        <w:numPr>
          <w:ilvl w:val="0"/>
          <w:numId w:val="39"/>
        </w:numPr>
        <w:spacing w:after="120"/>
        <w:contextualSpacing w:val="0"/>
        <w:rPr>
          <w:rFonts w:ascii="Calibri" w:hAnsi="Calibri"/>
          <w:sz w:val="24"/>
          <w:szCs w:val="24"/>
        </w:rPr>
      </w:pPr>
      <w:r>
        <w:rPr>
          <w:rFonts w:ascii="Calibri" w:hAnsi="Calibri"/>
          <w:color w:val="000000" w:themeColor="text1"/>
          <w:sz w:val="24"/>
          <w:szCs w:val="24"/>
        </w:rPr>
        <w:lastRenderedPageBreak/>
        <w:t>That</w:t>
      </w:r>
      <w:r w:rsidR="00116610" w:rsidRPr="00D204E1">
        <w:rPr>
          <w:rFonts w:ascii="Calibri" w:hAnsi="Calibri"/>
          <w:color w:val="000000" w:themeColor="text1"/>
          <w:sz w:val="24"/>
          <w:szCs w:val="24"/>
        </w:rPr>
        <w:t xml:space="preserve"> the government carefully design </w:t>
      </w:r>
      <w:r w:rsidR="00116610" w:rsidRPr="00D204E1">
        <w:rPr>
          <w:rFonts w:ascii="Calibri" w:eastAsia="Times New Roman" w:hAnsi="Calibri"/>
          <w:color w:val="000000" w:themeColor="text1"/>
          <w:sz w:val="24"/>
          <w:szCs w:val="24"/>
          <w:lang w:eastAsia="en-GB"/>
        </w:rPr>
        <w:t>locality organisation</w:t>
      </w:r>
      <w:r w:rsidR="00921C02">
        <w:rPr>
          <w:rFonts w:ascii="Calibri" w:eastAsia="Times New Roman" w:hAnsi="Calibri"/>
          <w:color w:val="000000" w:themeColor="text1"/>
          <w:sz w:val="24"/>
          <w:szCs w:val="24"/>
          <w:lang w:eastAsia="en-GB"/>
        </w:rPr>
        <w:t>s</w:t>
      </w:r>
      <w:r w:rsidR="00116610" w:rsidRPr="00D204E1">
        <w:rPr>
          <w:rFonts w:ascii="Calibri" w:eastAsia="Times New Roman" w:hAnsi="Calibri"/>
          <w:color w:val="000000" w:themeColor="text1"/>
          <w:sz w:val="24"/>
          <w:szCs w:val="24"/>
          <w:lang w:eastAsia="en-GB"/>
        </w:rPr>
        <w:t xml:space="preserve"> of maternal </w:t>
      </w:r>
      <w:r w:rsidR="00F01239">
        <w:rPr>
          <w:rFonts w:ascii="Calibri" w:eastAsia="Times New Roman" w:hAnsi="Calibri"/>
          <w:color w:val="000000" w:themeColor="text1"/>
          <w:sz w:val="24"/>
          <w:szCs w:val="24"/>
          <w:lang w:eastAsia="en-GB"/>
        </w:rPr>
        <w:t xml:space="preserve">and </w:t>
      </w:r>
      <w:r w:rsidR="00116610" w:rsidRPr="00D204E1">
        <w:rPr>
          <w:rFonts w:ascii="Calibri" w:eastAsia="Times New Roman" w:hAnsi="Calibri"/>
          <w:color w:val="000000" w:themeColor="text1"/>
          <w:sz w:val="24"/>
          <w:szCs w:val="24"/>
          <w:lang w:eastAsia="en-GB"/>
        </w:rPr>
        <w:t xml:space="preserve">child health services to ensure </w:t>
      </w:r>
      <w:r w:rsidR="002303F2">
        <w:rPr>
          <w:rFonts w:ascii="Calibri" w:eastAsia="Times New Roman" w:hAnsi="Calibri"/>
          <w:color w:val="000000" w:themeColor="text1"/>
          <w:sz w:val="24"/>
          <w:szCs w:val="24"/>
          <w:lang w:eastAsia="en-GB"/>
        </w:rPr>
        <w:t xml:space="preserve">enhancement of </w:t>
      </w:r>
      <w:r w:rsidR="00116610" w:rsidRPr="00D204E1">
        <w:rPr>
          <w:rFonts w:ascii="Calibri" w:eastAsia="Times New Roman" w:hAnsi="Calibri"/>
          <w:color w:val="000000" w:themeColor="text1"/>
          <w:sz w:val="24"/>
          <w:szCs w:val="24"/>
          <w:lang w:eastAsia="en-GB"/>
        </w:rPr>
        <w:t>community agency</w:t>
      </w:r>
      <w:r w:rsidR="00FF49B7">
        <w:rPr>
          <w:rFonts w:ascii="Calibri" w:eastAsia="Times New Roman" w:hAnsi="Calibri"/>
          <w:color w:val="000000" w:themeColor="text1"/>
          <w:sz w:val="24"/>
          <w:szCs w:val="24"/>
          <w:lang w:eastAsia="en-GB"/>
        </w:rPr>
        <w:t>, integration</w:t>
      </w:r>
      <w:r w:rsidR="00116610" w:rsidRPr="00D204E1">
        <w:rPr>
          <w:rFonts w:ascii="Calibri" w:eastAsia="Times New Roman" w:hAnsi="Calibri"/>
          <w:color w:val="000000" w:themeColor="text1"/>
          <w:sz w:val="24"/>
          <w:szCs w:val="24"/>
          <w:lang w:eastAsia="en-GB"/>
        </w:rPr>
        <w:t xml:space="preserve"> and local innovation, without further fragmentation and losing out </w:t>
      </w:r>
      <w:r w:rsidR="002303F2">
        <w:rPr>
          <w:rFonts w:ascii="Calibri" w:eastAsia="Times New Roman" w:hAnsi="Calibri"/>
          <w:color w:val="000000" w:themeColor="text1"/>
          <w:sz w:val="24"/>
          <w:szCs w:val="24"/>
          <w:lang w:eastAsia="en-GB"/>
        </w:rPr>
        <w:t xml:space="preserve">to </w:t>
      </w:r>
      <w:r w:rsidR="00116610" w:rsidRPr="00D204E1">
        <w:rPr>
          <w:rFonts w:ascii="Calibri" w:eastAsia="Times New Roman" w:hAnsi="Calibri"/>
          <w:color w:val="000000" w:themeColor="text1"/>
          <w:sz w:val="24"/>
          <w:szCs w:val="24"/>
          <w:lang w:eastAsia="en-GB"/>
        </w:rPr>
        <w:t>competing demands.</w:t>
      </w:r>
    </w:p>
    <w:p w14:paraId="033DCB31" w14:textId="539FC1F9" w:rsidR="00FD17E7" w:rsidRPr="00D204E1" w:rsidRDefault="00FD17E7" w:rsidP="00293982">
      <w:pPr>
        <w:pStyle w:val="ListParagraph"/>
        <w:numPr>
          <w:ilvl w:val="0"/>
          <w:numId w:val="39"/>
        </w:numPr>
        <w:spacing w:after="120"/>
        <w:rPr>
          <w:rFonts w:ascii="Calibri" w:hAnsi="Calibri"/>
          <w:sz w:val="24"/>
          <w:szCs w:val="24"/>
        </w:rPr>
      </w:pPr>
      <w:r>
        <w:rPr>
          <w:rFonts w:ascii="Calibri" w:hAnsi="Calibri"/>
          <w:color w:val="000000" w:themeColor="text1"/>
          <w:sz w:val="24"/>
          <w:szCs w:val="24"/>
        </w:rPr>
        <w:t xml:space="preserve">That the government extends policies to reduce </w:t>
      </w:r>
      <w:r w:rsidR="00E127AA">
        <w:rPr>
          <w:rFonts w:ascii="Calibri" w:hAnsi="Calibri"/>
          <w:color w:val="000000" w:themeColor="text1"/>
          <w:sz w:val="24"/>
          <w:szCs w:val="24"/>
        </w:rPr>
        <w:t>the availab</w:t>
      </w:r>
      <w:r w:rsidR="007A270F">
        <w:rPr>
          <w:rFonts w:ascii="Calibri" w:hAnsi="Calibri"/>
          <w:color w:val="000000" w:themeColor="text1"/>
          <w:sz w:val="24"/>
          <w:szCs w:val="24"/>
        </w:rPr>
        <w:t>i</w:t>
      </w:r>
      <w:r w:rsidR="00E127AA">
        <w:rPr>
          <w:rFonts w:ascii="Calibri" w:hAnsi="Calibri"/>
          <w:color w:val="000000" w:themeColor="text1"/>
          <w:sz w:val="24"/>
          <w:szCs w:val="24"/>
        </w:rPr>
        <w:t xml:space="preserve">lity and accessibility of </w:t>
      </w:r>
      <w:r>
        <w:rPr>
          <w:rFonts w:ascii="Calibri" w:hAnsi="Calibri"/>
          <w:color w:val="000000" w:themeColor="text1"/>
          <w:sz w:val="24"/>
          <w:szCs w:val="24"/>
        </w:rPr>
        <w:t>alcohol</w:t>
      </w:r>
      <w:r w:rsidR="007A270F">
        <w:rPr>
          <w:rFonts w:ascii="Calibri" w:hAnsi="Calibri"/>
          <w:color w:val="000000" w:themeColor="text1"/>
          <w:sz w:val="24"/>
          <w:szCs w:val="24"/>
        </w:rPr>
        <w:t xml:space="preserve"> (as recommended by the Government Inquiry into Mental Health and Addiction</w:t>
      </w:r>
      <w:r w:rsidR="002E5712">
        <w:rPr>
          <w:rFonts w:ascii="Calibri" w:hAnsi="Calibri"/>
          <w:color w:val="000000" w:themeColor="text1"/>
          <w:sz w:val="24"/>
          <w:szCs w:val="24"/>
        </w:rPr>
        <w:t xml:space="preserve"> – Patterson et al, 2018</w:t>
      </w:r>
      <w:r w:rsidR="007A270F">
        <w:rPr>
          <w:rFonts w:ascii="Calibri" w:hAnsi="Calibri"/>
          <w:color w:val="000000" w:themeColor="text1"/>
          <w:sz w:val="24"/>
          <w:szCs w:val="24"/>
        </w:rPr>
        <w:t>)</w:t>
      </w:r>
      <w:r>
        <w:rPr>
          <w:rFonts w:ascii="Calibri" w:hAnsi="Calibri"/>
          <w:color w:val="000000" w:themeColor="text1"/>
          <w:sz w:val="24"/>
          <w:szCs w:val="24"/>
        </w:rPr>
        <w:t>, gambling and unhealthy food as these directly or indirectly harm children, especially those living in disadvantage</w:t>
      </w:r>
      <w:r w:rsidR="007A270F">
        <w:rPr>
          <w:rFonts w:ascii="Calibri" w:hAnsi="Calibri"/>
          <w:color w:val="000000" w:themeColor="text1"/>
          <w:sz w:val="24"/>
          <w:szCs w:val="24"/>
        </w:rPr>
        <w:t xml:space="preserve"> (</w:t>
      </w:r>
      <w:r w:rsidR="00F01239">
        <w:rPr>
          <w:rFonts w:ascii="Calibri" w:hAnsi="Calibri"/>
          <w:color w:val="000000" w:themeColor="text1"/>
          <w:sz w:val="24"/>
          <w:szCs w:val="24"/>
        </w:rPr>
        <w:t>RACP, 2020)</w:t>
      </w:r>
      <w:r>
        <w:rPr>
          <w:rFonts w:ascii="Calibri" w:hAnsi="Calibri"/>
          <w:color w:val="000000" w:themeColor="text1"/>
          <w:sz w:val="24"/>
          <w:szCs w:val="24"/>
        </w:rPr>
        <w:t xml:space="preserve"> </w:t>
      </w:r>
    </w:p>
    <w:p w14:paraId="5E55AFD9" w14:textId="676E0C9C" w:rsidR="00D204E1" w:rsidRPr="003439EA" w:rsidRDefault="00D204E1" w:rsidP="00D204E1">
      <w:pPr>
        <w:pStyle w:val="Heading2"/>
        <w:rPr>
          <w:rFonts w:eastAsia="Times New Roman"/>
          <w:lang w:eastAsia="en-NZ"/>
        </w:rPr>
      </w:pPr>
      <w:r>
        <w:rPr>
          <w:rFonts w:eastAsia="Times New Roman"/>
          <w:lang w:eastAsia="en-NZ"/>
        </w:rPr>
        <w:t xml:space="preserve">Additional CPAG </w:t>
      </w:r>
      <w:r w:rsidRPr="003439EA">
        <w:rPr>
          <w:rFonts w:eastAsia="Times New Roman"/>
          <w:lang w:eastAsia="en-NZ"/>
        </w:rPr>
        <w:t>Recommendations</w:t>
      </w:r>
      <w:r>
        <w:rPr>
          <w:rFonts w:eastAsia="Times New Roman"/>
          <w:lang w:eastAsia="en-NZ"/>
        </w:rPr>
        <w:t xml:space="preserve"> – Service Provision</w:t>
      </w:r>
    </w:p>
    <w:p w14:paraId="11AA00E6" w14:textId="67372313" w:rsidR="00342202" w:rsidRDefault="00342202" w:rsidP="00267537">
      <w:pPr>
        <w:pStyle w:val="ListParagraph"/>
        <w:numPr>
          <w:ilvl w:val="0"/>
          <w:numId w:val="39"/>
        </w:numPr>
        <w:spacing w:after="80" w:line="240" w:lineRule="auto"/>
        <w:contextualSpacing w:val="0"/>
        <w:textAlignment w:val="baseline"/>
        <w:rPr>
          <w:sz w:val="24"/>
          <w:szCs w:val="24"/>
        </w:rPr>
      </w:pPr>
      <w:r>
        <w:rPr>
          <w:sz w:val="24"/>
          <w:szCs w:val="24"/>
        </w:rPr>
        <w:t>Make u</w:t>
      </w:r>
      <w:r w:rsidR="00FF49B7" w:rsidRPr="00D204E1">
        <w:rPr>
          <w:sz w:val="24"/>
          <w:szCs w:val="24"/>
        </w:rPr>
        <w:t xml:space="preserve">niversal free healthcare, including prescriptions, primary care and all vision and hearing care, available to all </w:t>
      </w:r>
      <w:r w:rsidR="00FF49B7">
        <w:rPr>
          <w:sz w:val="24"/>
          <w:szCs w:val="24"/>
        </w:rPr>
        <w:t xml:space="preserve">pregnant </w:t>
      </w:r>
      <w:r>
        <w:rPr>
          <w:sz w:val="24"/>
          <w:szCs w:val="24"/>
        </w:rPr>
        <w:t>people,</w:t>
      </w:r>
      <w:r w:rsidR="00FF49B7">
        <w:rPr>
          <w:sz w:val="24"/>
          <w:szCs w:val="24"/>
        </w:rPr>
        <w:t xml:space="preserve"> and </w:t>
      </w:r>
      <w:r w:rsidR="00FF49B7" w:rsidRPr="00D204E1">
        <w:rPr>
          <w:sz w:val="24"/>
          <w:szCs w:val="24"/>
        </w:rPr>
        <w:t xml:space="preserve">children and </w:t>
      </w:r>
      <w:r w:rsidR="00FF49B7">
        <w:rPr>
          <w:sz w:val="24"/>
          <w:szCs w:val="24"/>
        </w:rPr>
        <w:t xml:space="preserve">young people </w:t>
      </w:r>
      <w:r w:rsidR="00FF49B7" w:rsidRPr="00D204E1">
        <w:rPr>
          <w:sz w:val="24"/>
          <w:szCs w:val="24"/>
        </w:rPr>
        <w:t xml:space="preserve">up to 18 years. </w:t>
      </w:r>
    </w:p>
    <w:p w14:paraId="60D79D4C" w14:textId="2034A34C" w:rsidR="00342202" w:rsidRDefault="00342202" w:rsidP="00267537">
      <w:pPr>
        <w:pStyle w:val="ListParagraph"/>
        <w:numPr>
          <w:ilvl w:val="0"/>
          <w:numId w:val="39"/>
        </w:numPr>
        <w:spacing w:after="80" w:line="240" w:lineRule="auto"/>
        <w:contextualSpacing w:val="0"/>
        <w:textAlignment w:val="baseline"/>
        <w:rPr>
          <w:sz w:val="24"/>
          <w:szCs w:val="24"/>
        </w:rPr>
      </w:pPr>
      <w:r>
        <w:rPr>
          <w:sz w:val="24"/>
          <w:szCs w:val="24"/>
        </w:rPr>
        <w:t>Make p</w:t>
      </w:r>
      <w:r w:rsidR="006D583A" w:rsidRPr="00342202">
        <w:rPr>
          <w:sz w:val="24"/>
          <w:szCs w:val="24"/>
        </w:rPr>
        <w:t xml:space="preserve">roactive dental and oral health services free and accessible for </w:t>
      </w:r>
      <w:r w:rsidR="00BF6BE6" w:rsidRPr="00342202">
        <w:rPr>
          <w:sz w:val="24"/>
          <w:szCs w:val="24"/>
        </w:rPr>
        <w:t xml:space="preserve">pregnant </w:t>
      </w:r>
      <w:r>
        <w:rPr>
          <w:sz w:val="24"/>
          <w:szCs w:val="24"/>
        </w:rPr>
        <w:t>people</w:t>
      </w:r>
      <w:r w:rsidR="00BF6BE6" w:rsidRPr="00342202">
        <w:rPr>
          <w:sz w:val="24"/>
          <w:szCs w:val="24"/>
        </w:rPr>
        <w:t xml:space="preserve">, </w:t>
      </w:r>
      <w:r>
        <w:rPr>
          <w:sz w:val="24"/>
          <w:szCs w:val="24"/>
        </w:rPr>
        <w:t xml:space="preserve">and </w:t>
      </w:r>
      <w:r w:rsidR="006D583A" w:rsidRPr="00342202">
        <w:rPr>
          <w:sz w:val="24"/>
          <w:szCs w:val="24"/>
        </w:rPr>
        <w:t xml:space="preserve">children and adolescents up until the age of 18, prioritised within public health and primary care preventive checks. </w:t>
      </w:r>
    </w:p>
    <w:p w14:paraId="289CC62E" w14:textId="66EE58F5" w:rsidR="00D204E1" w:rsidRDefault="00FF49B7" w:rsidP="00267537">
      <w:pPr>
        <w:pStyle w:val="ListParagraph"/>
        <w:numPr>
          <w:ilvl w:val="0"/>
          <w:numId w:val="39"/>
        </w:numPr>
        <w:spacing w:after="80" w:line="240" w:lineRule="auto"/>
        <w:contextualSpacing w:val="0"/>
        <w:textAlignment w:val="baseline"/>
        <w:rPr>
          <w:sz w:val="24"/>
          <w:szCs w:val="24"/>
        </w:rPr>
      </w:pPr>
      <w:r>
        <w:rPr>
          <w:sz w:val="24"/>
          <w:szCs w:val="24"/>
        </w:rPr>
        <w:t>Increase</w:t>
      </w:r>
      <w:r w:rsidRPr="00D204E1">
        <w:rPr>
          <w:sz w:val="24"/>
          <w:szCs w:val="24"/>
        </w:rPr>
        <w:t xml:space="preserve"> </w:t>
      </w:r>
      <w:r w:rsidR="00D204E1" w:rsidRPr="00D204E1">
        <w:rPr>
          <w:sz w:val="24"/>
          <w:szCs w:val="24"/>
        </w:rPr>
        <w:t xml:space="preserve">mental health and drug and alcohol addiction support during </w:t>
      </w:r>
      <w:r>
        <w:rPr>
          <w:sz w:val="24"/>
          <w:szCs w:val="24"/>
        </w:rPr>
        <w:t>pregnancy and postnatal periods</w:t>
      </w:r>
      <w:r w:rsidR="00D204E1" w:rsidRPr="00D204E1">
        <w:rPr>
          <w:sz w:val="24"/>
          <w:szCs w:val="24"/>
        </w:rPr>
        <w:t>.</w:t>
      </w:r>
    </w:p>
    <w:p w14:paraId="79775584" w14:textId="427E5EED" w:rsidR="005614C9" w:rsidRDefault="00342202" w:rsidP="00267537">
      <w:pPr>
        <w:pStyle w:val="ListParagraph"/>
        <w:numPr>
          <w:ilvl w:val="0"/>
          <w:numId w:val="39"/>
        </w:numPr>
        <w:spacing w:after="80" w:line="240" w:lineRule="auto"/>
        <w:contextualSpacing w:val="0"/>
        <w:textAlignment w:val="baseline"/>
        <w:rPr>
          <w:sz w:val="24"/>
          <w:szCs w:val="24"/>
        </w:rPr>
      </w:pPr>
      <w:r>
        <w:rPr>
          <w:sz w:val="24"/>
          <w:szCs w:val="24"/>
        </w:rPr>
        <w:t>Make e</w:t>
      </w:r>
      <w:r w:rsidR="005614C9" w:rsidRPr="00D204E1">
        <w:rPr>
          <w:sz w:val="24"/>
          <w:szCs w:val="24"/>
        </w:rPr>
        <w:t>xtra resources and wrap</w:t>
      </w:r>
      <w:r>
        <w:rPr>
          <w:sz w:val="24"/>
          <w:szCs w:val="24"/>
        </w:rPr>
        <w:t>-</w:t>
      </w:r>
      <w:r w:rsidR="005614C9" w:rsidRPr="00D204E1">
        <w:rPr>
          <w:sz w:val="24"/>
          <w:szCs w:val="24"/>
        </w:rPr>
        <w:t xml:space="preserve">around services </w:t>
      </w:r>
      <w:r>
        <w:rPr>
          <w:sz w:val="24"/>
          <w:szCs w:val="24"/>
        </w:rPr>
        <w:t xml:space="preserve">available </w:t>
      </w:r>
      <w:r w:rsidR="005614C9" w:rsidRPr="00D204E1">
        <w:rPr>
          <w:sz w:val="24"/>
          <w:szCs w:val="24"/>
        </w:rPr>
        <w:t>for all children with identified high needs everywhere in the country</w:t>
      </w:r>
      <w:r w:rsidR="005614C9">
        <w:rPr>
          <w:sz w:val="24"/>
          <w:szCs w:val="24"/>
        </w:rPr>
        <w:t xml:space="preserve">, starting </w:t>
      </w:r>
      <w:r w:rsidR="00BF6BE6">
        <w:rPr>
          <w:sz w:val="24"/>
          <w:szCs w:val="24"/>
        </w:rPr>
        <w:t>with system</w:t>
      </w:r>
      <w:r>
        <w:rPr>
          <w:sz w:val="24"/>
          <w:szCs w:val="24"/>
        </w:rPr>
        <w:t>a</w:t>
      </w:r>
      <w:r w:rsidR="00BF6BE6">
        <w:rPr>
          <w:sz w:val="24"/>
          <w:szCs w:val="24"/>
        </w:rPr>
        <w:t>tic</w:t>
      </w:r>
      <w:r w:rsidR="005614C9">
        <w:rPr>
          <w:sz w:val="24"/>
          <w:szCs w:val="24"/>
        </w:rPr>
        <w:t xml:space="preserve"> antenatal screening and identification.</w:t>
      </w:r>
    </w:p>
    <w:p w14:paraId="7B19BA8D" w14:textId="050C8C55" w:rsidR="00791FA5" w:rsidRDefault="00791FA5" w:rsidP="00267537">
      <w:pPr>
        <w:pStyle w:val="ListParagraph"/>
        <w:numPr>
          <w:ilvl w:val="0"/>
          <w:numId w:val="39"/>
        </w:numPr>
        <w:spacing w:after="80" w:line="240" w:lineRule="auto"/>
        <w:contextualSpacing w:val="0"/>
        <w:textAlignment w:val="baseline"/>
        <w:rPr>
          <w:sz w:val="24"/>
          <w:szCs w:val="24"/>
        </w:rPr>
      </w:pPr>
      <w:r w:rsidRPr="00D204E1">
        <w:rPr>
          <w:sz w:val="24"/>
          <w:szCs w:val="24"/>
        </w:rPr>
        <w:t xml:space="preserve">Provide ACC-equivalent </w:t>
      </w:r>
      <w:r>
        <w:rPr>
          <w:sz w:val="24"/>
          <w:szCs w:val="24"/>
        </w:rPr>
        <w:t xml:space="preserve">health care </w:t>
      </w:r>
      <w:r w:rsidRPr="00D204E1">
        <w:rPr>
          <w:sz w:val="24"/>
          <w:szCs w:val="24"/>
        </w:rPr>
        <w:t xml:space="preserve">for children with health conditions or disabilities not due to an accident, and for those parents with health conditions or disabilities not due to an accident, who are caregivers of dependent children. </w:t>
      </w:r>
    </w:p>
    <w:p w14:paraId="4BFB497A" w14:textId="58833888" w:rsidR="00791FA5" w:rsidRDefault="00791FA5" w:rsidP="00267537">
      <w:pPr>
        <w:pStyle w:val="ListParagraph"/>
        <w:numPr>
          <w:ilvl w:val="0"/>
          <w:numId w:val="39"/>
        </w:numPr>
        <w:spacing w:after="80" w:line="240" w:lineRule="auto"/>
        <w:contextualSpacing w:val="0"/>
        <w:textAlignment w:val="baseline"/>
        <w:rPr>
          <w:sz w:val="24"/>
          <w:szCs w:val="24"/>
        </w:rPr>
      </w:pPr>
      <w:r w:rsidRPr="00D204E1">
        <w:rPr>
          <w:sz w:val="24"/>
          <w:szCs w:val="24"/>
        </w:rPr>
        <w:t>Collect quality data about children affected directly or indirectly by disabilities in Aotearoa. This includes data from outpatient healthcare settings, preschools and schools, and regularly</w:t>
      </w:r>
      <w:r w:rsidR="00B63FFB">
        <w:rPr>
          <w:sz w:val="24"/>
          <w:szCs w:val="24"/>
        </w:rPr>
        <w:t>-</w:t>
      </w:r>
      <w:r w:rsidRPr="00D204E1">
        <w:rPr>
          <w:sz w:val="24"/>
          <w:szCs w:val="24"/>
        </w:rPr>
        <w:t xml:space="preserve">collected data on the socio-economic status of households with disabled children and/or disabled parents. These data need to be reliably disaggregated by ethnicity, age and source of income support. </w:t>
      </w:r>
    </w:p>
    <w:p w14:paraId="24098853" w14:textId="77777777" w:rsidR="00D204E1" w:rsidRDefault="00D204E1" w:rsidP="00267537">
      <w:pPr>
        <w:pStyle w:val="ListParagraph"/>
        <w:numPr>
          <w:ilvl w:val="0"/>
          <w:numId w:val="39"/>
        </w:numPr>
        <w:spacing w:after="40" w:line="240" w:lineRule="auto"/>
        <w:contextualSpacing w:val="0"/>
        <w:textAlignment w:val="baseline"/>
        <w:rPr>
          <w:sz w:val="24"/>
          <w:szCs w:val="24"/>
        </w:rPr>
      </w:pPr>
      <w:r w:rsidRPr="00D204E1">
        <w:rPr>
          <w:sz w:val="24"/>
          <w:szCs w:val="24"/>
        </w:rPr>
        <w:t xml:space="preserve">Increase focus and resourcing on public health measures to improve the health of poorer children and reduce health inequities. Examples that we recommend include: </w:t>
      </w:r>
    </w:p>
    <w:p w14:paraId="7BA16E0E" w14:textId="21F5CFF7" w:rsidR="00D204E1" w:rsidRDefault="005614C9" w:rsidP="00733DD9">
      <w:pPr>
        <w:pStyle w:val="ListParagraph"/>
        <w:numPr>
          <w:ilvl w:val="0"/>
          <w:numId w:val="49"/>
        </w:numPr>
        <w:spacing w:after="40" w:line="240" w:lineRule="auto"/>
        <w:contextualSpacing w:val="0"/>
        <w:textAlignment w:val="baseline"/>
        <w:rPr>
          <w:sz w:val="24"/>
          <w:szCs w:val="24"/>
        </w:rPr>
      </w:pPr>
      <w:r>
        <w:rPr>
          <w:sz w:val="24"/>
          <w:szCs w:val="24"/>
        </w:rPr>
        <w:t xml:space="preserve">Supporting increased services to </w:t>
      </w:r>
      <w:r w:rsidR="00BF6BE6">
        <w:rPr>
          <w:sz w:val="24"/>
          <w:szCs w:val="24"/>
        </w:rPr>
        <w:t>improve</w:t>
      </w:r>
      <w:r w:rsidR="00D204E1" w:rsidRPr="00D204E1">
        <w:rPr>
          <w:sz w:val="24"/>
          <w:szCs w:val="24"/>
        </w:rPr>
        <w:t xml:space="preserve"> vaccination coverage further and eliminating all equity gaps </w:t>
      </w:r>
    </w:p>
    <w:p w14:paraId="7BDB42AF" w14:textId="1527A9ED" w:rsidR="00D204E1" w:rsidRDefault="00D204E1" w:rsidP="00733DD9">
      <w:pPr>
        <w:pStyle w:val="ListParagraph"/>
        <w:numPr>
          <w:ilvl w:val="0"/>
          <w:numId w:val="49"/>
        </w:numPr>
        <w:spacing w:after="40" w:line="240" w:lineRule="auto"/>
        <w:contextualSpacing w:val="0"/>
        <w:textAlignment w:val="baseline"/>
        <w:rPr>
          <w:sz w:val="24"/>
          <w:szCs w:val="24"/>
        </w:rPr>
      </w:pPr>
      <w:r w:rsidRPr="00D204E1">
        <w:rPr>
          <w:sz w:val="24"/>
          <w:szCs w:val="24"/>
        </w:rPr>
        <w:t>Extending school</w:t>
      </w:r>
      <w:r w:rsidR="002303F2">
        <w:rPr>
          <w:sz w:val="24"/>
          <w:szCs w:val="24"/>
        </w:rPr>
        <w:t xml:space="preserve"> </w:t>
      </w:r>
      <w:r w:rsidRPr="00D204E1">
        <w:rPr>
          <w:sz w:val="24"/>
          <w:szCs w:val="24"/>
        </w:rPr>
        <w:t>approaches to improving diet and physical activity (</w:t>
      </w:r>
      <w:proofErr w:type="spellStart"/>
      <w:r w:rsidRPr="00D204E1">
        <w:rPr>
          <w:sz w:val="24"/>
          <w:szCs w:val="24"/>
        </w:rPr>
        <w:t>eg</w:t>
      </w:r>
      <w:proofErr w:type="spellEnd"/>
      <w:r w:rsidRPr="00D204E1">
        <w:rPr>
          <w:sz w:val="24"/>
          <w:szCs w:val="24"/>
        </w:rPr>
        <w:t xml:space="preserve">: banning soft drinks, providing healthy school lunches, </w:t>
      </w:r>
      <w:r w:rsidR="00733DD9">
        <w:rPr>
          <w:sz w:val="24"/>
          <w:szCs w:val="24"/>
        </w:rPr>
        <w:t xml:space="preserve">selling </w:t>
      </w:r>
      <w:r w:rsidRPr="00D204E1">
        <w:rPr>
          <w:sz w:val="24"/>
          <w:szCs w:val="24"/>
        </w:rPr>
        <w:t xml:space="preserve">only healthy food in schools) </w:t>
      </w:r>
    </w:p>
    <w:p w14:paraId="258804A6" w14:textId="33082D9B" w:rsidR="00D204E1" w:rsidRDefault="00D204E1" w:rsidP="00733DD9">
      <w:pPr>
        <w:pStyle w:val="ListParagraph"/>
        <w:numPr>
          <w:ilvl w:val="0"/>
          <w:numId w:val="49"/>
        </w:numPr>
        <w:spacing w:after="40" w:line="240" w:lineRule="auto"/>
        <w:contextualSpacing w:val="0"/>
        <w:textAlignment w:val="baseline"/>
        <w:rPr>
          <w:sz w:val="24"/>
          <w:szCs w:val="24"/>
        </w:rPr>
      </w:pPr>
      <w:r w:rsidRPr="00D204E1">
        <w:rPr>
          <w:sz w:val="24"/>
          <w:szCs w:val="24"/>
        </w:rPr>
        <w:t xml:space="preserve">Taxing sugar-sweetened beverages </w:t>
      </w:r>
    </w:p>
    <w:p w14:paraId="6CE9183A" w14:textId="0228D492" w:rsidR="00D204E1" w:rsidRDefault="00F75FFC" w:rsidP="00733DD9">
      <w:pPr>
        <w:pStyle w:val="ListParagraph"/>
        <w:numPr>
          <w:ilvl w:val="0"/>
          <w:numId w:val="49"/>
        </w:numPr>
        <w:spacing w:after="40" w:line="240" w:lineRule="auto"/>
        <w:contextualSpacing w:val="0"/>
        <w:textAlignment w:val="baseline"/>
        <w:rPr>
          <w:sz w:val="24"/>
          <w:szCs w:val="24"/>
        </w:rPr>
      </w:pPr>
      <w:r>
        <w:rPr>
          <w:sz w:val="24"/>
          <w:szCs w:val="24"/>
        </w:rPr>
        <w:t>Providing s</w:t>
      </w:r>
      <w:r w:rsidR="00D204E1" w:rsidRPr="00D204E1">
        <w:rPr>
          <w:sz w:val="24"/>
          <w:szCs w:val="24"/>
        </w:rPr>
        <w:t xml:space="preserve">chools-based health checks every </w:t>
      </w:r>
      <w:r>
        <w:rPr>
          <w:sz w:val="24"/>
          <w:szCs w:val="24"/>
        </w:rPr>
        <w:t>two</w:t>
      </w:r>
      <w:r w:rsidR="00D204E1" w:rsidRPr="00D204E1">
        <w:rPr>
          <w:sz w:val="24"/>
          <w:szCs w:val="24"/>
        </w:rPr>
        <w:t xml:space="preserve"> years for each child, including vision, hearing and dental checks </w:t>
      </w:r>
    </w:p>
    <w:p w14:paraId="1CBF71BA" w14:textId="1561D706" w:rsidR="00FE56CC" w:rsidRDefault="002303F2" w:rsidP="00733DD9">
      <w:pPr>
        <w:pStyle w:val="ListParagraph"/>
        <w:numPr>
          <w:ilvl w:val="0"/>
          <w:numId w:val="49"/>
        </w:numPr>
        <w:spacing w:after="40" w:line="240" w:lineRule="auto"/>
        <w:contextualSpacing w:val="0"/>
        <w:textAlignment w:val="baseline"/>
        <w:rPr>
          <w:sz w:val="24"/>
          <w:szCs w:val="24"/>
        </w:rPr>
      </w:pPr>
      <w:r>
        <w:rPr>
          <w:sz w:val="24"/>
          <w:szCs w:val="24"/>
        </w:rPr>
        <w:t xml:space="preserve">Evidence-based </w:t>
      </w:r>
      <w:r w:rsidR="00D204E1" w:rsidRPr="00D204E1">
        <w:rPr>
          <w:sz w:val="24"/>
          <w:szCs w:val="24"/>
        </w:rPr>
        <w:t xml:space="preserve">interventions to prevent uptake of smoking, vaping, alcohol, other drugs and gambling </w:t>
      </w:r>
    </w:p>
    <w:p w14:paraId="38D789D0" w14:textId="4911FB5D" w:rsidR="006C211B" w:rsidRPr="00A856E0" w:rsidRDefault="00D204E1" w:rsidP="00733DD9">
      <w:pPr>
        <w:pStyle w:val="ListParagraph"/>
        <w:numPr>
          <w:ilvl w:val="0"/>
          <w:numId w:val="49"/>
        </w:numPr>
        <w:spacing w:after="120" w:line="240" w:lineRule="auto"/>
        <w:contextualSpacing w:val="0"/>
        <w:textAlignment w:val="baseline"/>
        <w:rPr>
          <w:rFonts w:ascii="Calibri" w:eastAsia="Times New Roman" w:hAnsi="Calibri" w:cs="Calibri"/>
          <w:bCs/>
          <w:color w:val="1D2129"/>
          <w:sz w:val="24"/>
          <w:szCs w:val="24"/>
          <w:lang w:eastAsia="en-NZ"/>
        </w:rPr>
      </w:pPr>
      <w:r w:rsidRPr="00D204E1">
        <w:rPr>
          <w:sz w:val="24"/>
          <w:szCs w:val="24"/>
        </w:rPr>
        <w:t xml:space="preserve">Increase the number of primary and secondary schools offering school-based health and social welfare services, including </w:t>
      </w:r>
      <w:r w:rsidR="00F75FFC">
        <w:rPr>
          <w:sz w:val="24"/>
          <w:szCs w:val="24"/>
        </w:rPr>
        <w:t xml:space="preserve">social workers, and </w:t>
      </w:r>
      <w:r w:rsidRPr="00D204E1">
        <w:rPr>
          <w:sz w:val="24"/>
          <w:szCs w:val="24"/>
        </w:rPr>
        <w:t xml:space="preserve">mental health services specific to early detection, appropriate for the age of the children, noting that the approach to healthcare for adolescents is different for younger children. </w:t>
      </w:r>
      <w:r w:rsidR="006C211B" w:rsidRPr="00A856E0">
        <w:rPr>
          <w:rFonts w:ascii="Calibri" w:eastAsia="Times New Roman" w:hAnsi="Calibri" w:cs="Calibri"/>
          <w:bCs/>
          <w:color w:val="1D2129"/>
          <w:sz w:val="24"/>
          <w:szCs w:val="24"/>
          <w:lang w:eastAsia="en-NZ"/>
        </w:rPr>
        <w:br w:type="page"/>
      </w:r>
    </w:p>
    <w:p w14:paraId="7BFD2A58" w14:textId="358DE8EA" w:rsidR="005808B1" w:rsidRPr="00EF30D2" w:rsidRDefault="005808B1" w:rsidP="005808B1">
      <w:pPr>
        <w:pStyle w:val="Heading1"/>
        <w:rPr>
          <w:color w:val="538135" w:themeColor="accent6" w:themeShade="BF"/>
          <w:lang w:val="en-US"/>
        </w:rPr>
      </w:pPr>
      <w:bookmarkStart w:id="0" w:name="_Appendix_1:_The"/>
      <w:bookmarkEnd w:id="0"/>
      <w:r w:rsidRPr="00EF30D2">
        <w:rPr>
          <w:color w:val="538135" w:themeColor="accent6" w:themeShade="BF"/>
          <w:lang w:val="en-US"/>
        </w:rPr>
        <w:lastRenderedPageBreak/>
        <w:t xml:space="preserve">Appendix 1: The effects of poverty on children: </w:t>
      </w:r>
      <w:r w:rsidRPr="00EF30D2">
        <w:rPr>
          <w:color w:val="538135" w:themeColor="accent6" w:themeShade="BF"/>
          <w:lang w:val="en-US"/>
        </w:rPr>
        <w:br/>
      </w:r>
      <w:r w:rsidRPr="00EF30D2">
        <w:rPr>
          <w:b/>
          <w:bCs/>
          <w:color w:val="538135" w:themeColor="accent6" w:themeShade="BF"/>
          <w:lang w:val="en-US"/>
        </w:rPr>
        <w:t>Poorer wellbeing</w:t>
      </w:r>
      <w:r w:rsidRPr="00EF30D2">
        <w:rPr>
          <w:color w:val="538135" w:themeColor="accent6" w:themeShade="BF"/>
          <w:lang w:val="en-US"/>
        </w:rPr>
        <w:t xml:space="preserve"> is more likely in all areas </w:t>
      </w:r>
      <w:r w:rsidRPr="00EF30D2">
        <w:rPr>
          <w:b/>
          <w:bCs/>
          <w:color w:val="538135" w:themeColor="accent6" w:themeShade="BF"/>
          <w:lang w:val="en-US"/>
        </w:rPr>
        <w:t>for</w:t>
      </w:r>
      <w:r w:rsidRPr="00EF30D2">
        <w:rPr>
          <w:color w:val="538135" w:themeColor="accent6" w:themeShade="BF"/>
          <w:lang w:val="en-US"/>
        </w:rPr>
        <w:t xml:space="preserve"> </w:t>
      </w:r>
      <w:r w:rsidRPr="00EF30D2">
        <w:rPr>
          <w:b/>
          <w:bCs/>
          <w:color w:val="538135" w:themeColor="accent6" w:themeShade="BF"/>
          <w:lang w:val="en-US"/>
        </w:rPr>
        <w:t>an</w:t>
      </w:r>
      <w:r w:rsidRPr="00EF30D2">
        <w:rPr>
          <w:color w:val="538135" w:themeColor="accent6" w:themeShade="BF"/>
          <w:lang w:val="en-US"/>
        </w:rPr>
        <w:t xml:space="preserve"> </w:t>
      </w:r>
      <w:r w:rsidRPr="00EF30D2">
        <w:rPr>
          <w:b/>
          <w:bCs/>
          <w:color w:val="538135" w:themeColor="accent6" w:themeShade="BF"/>
          <w:lang w:val="en-US"/>
        </w:rPr>
        <w:t>entire life</w:t>
      </w:r>
    </w:p>
    <w:p w14:paraId="3A4E6595" w14:textId="77777777" w:rsidR="005808B1" w:rsidRDefault="005808B1" w:rsidP="00A15CEF">
      <w:pPr>
        <w:spacing w:after="80"/>
        <w:rPr>
          <w:sz w:val="24"/>
          <w:szCs w:val="24"/>
          <w:lang w:val="en-US"/>
        </w:rPr>
      </w:pPr>
    </w:p>
    <w:p w14:paraId="6C9BE975" w14:textId="77777777" w:rsidR="005808B1" w:rsidRPr="001F795C" w:rsidRDefault="005808B1" w:rsidP="00A15CEF">
      <w:pPr>
        <w:pStyle w:val="ListParagraph"/>
        <w:numPr>
          <w:ilvl w:val="0"/>
          <w:numId w:val="7"/>
        </w:numPr>
        <w:spacing w:after="80"/>
        <w:ind w:left="714" w:hanging="357"/>
        <w:contextualSpacing w:val="0"/>
        <w:rPr>
          <w:sz w:val="24"/>
          <w:szCs w:val="24"/>
        </w:rPr>
      </w:pPr>
      <w:r w:rsidRPr="001F795C">
        <w:rPr>
          <w:b/>
          <w:bCs/>
          <w:sz w:val="24"/>
          <w:szCs w:val="24"/>
          <w:lang w:val="en-US"/>
        </w:rPr>
        <w:t xml:space="preserve">Poverty causes poor outcomes. </w:t>
      </w:r>
      <w:r w:rsidRPr="001F795C">
        <w:rPr>
          <w:sz w:val="24"/>
          <w:szCs w:val="24"/>
        </w:rPr>
        <w:t xml:space="preserve">Poor outcomes for children are not only correlated to lack of family income, they are caused by them. </w:t>
      </w:r>
      <w:r w:rsidRPr="001F795C">
        <w:rPr>
          <w:sz w:val="24"/>
          <w:szCs w:val="24"/>
          <w:lang w:val="en-US"/>
        </w:rPr>
        <w:t xml:space="preserve">The </w:t>
      </w:r>
      <w:hyperlink r:id="rId12" w:history="1">
        <w:r w:rsidRPr="001F795C">
          <w:rPr>
            <w:rStyle w:val="Hyperlink"/>
            <w:sz w:val="24"/>
            <w:szCs w:val="24"/>
          </w:rPr>
          <w:t>Rapid Evidence Review (RER) on the impact of poverty on life course outcomes for children</w:t>
        </w:r>
      </w:hyperlink>
      <w:r w:rsidRPr="001F795C">
        <w:rPr>
          <w:sz w:val="24"/>
          <w:szCs w:val="24"/>
        </w:rPr>
        <w:t xml:space="preserve"> prepared by the Ministry of Social Development (2018) for the Welfare Expert Advisory Group is a good introduction to the large body of evidence that supports this. </w:t>
      </w:r>
    </w:p>
    <w:p w14:paraId="34580FA9" w14:textId="77777777" w:rsidR="005808B1" w:rsidRPr="001F795C" w:rsidRDefault="005808B1" w:rsidP="00A15CEF">
      <w:pPr>
        <w:pStyle w:val="ListParagraph"/>
        <w:numPr>
          <w:ilvl w:val="0"/>
          <w:numId w:val="7"/>
        </w:numPr>
        <w:spacing w:after="80"/>
        <w:ind w:left="714" w:hanging="357"/>
        <w:contextualSpacing w:val="0"/>
        <w:rPr>
          <w:sz w:val="24"/>
          <w:szCs w:val="24"/>
        </w:rPr>
      </w:pPr>
      <w:r w:rsidRPr="001F795C">
        <w:rPr>
          <w:b/>
          <w:bCs/>
          <w:sz w:val="24"/>
          <w:szCs w:val="24"/>
          <w:lang w:val="en-US"/>
        </w:rPr>
        <w:t>All aspects of life are affected by deprivation</w:t>
      </w:r>
      <w:r w:rsidRPr="001F795C">
        <w:rPr>
          <w:sz w:val="24"/>
          <w:szCs w:val="24"/>
          <w:lang w:val="en-US"/>
        </w:rPr>
        <w:t xml:space="preserve">, from physical development and physiological functions to social inclusion and educational attainment. Deprivation can have detrimental effects on the physical, mental and social wellbeing of children. For example, </w:t>
      </w:r>
      <w:r w:rsidRPr="001F795C">
        <w:rPr>
          <w:sz w:val="24"/>
          <w:szCs w:val="24"/>
        </w:rPr>
        <w:t>in Aotearoa, high school students in most deprived areas</w:t>
      </w:r>
      <w:r>
        <w:rPr>
          <w:sz w:val="24"/>
          <w:szCs w:val="24"/>
        </w:rPr>
        <w:t xml:space="preserve"> (NZDep1-3)</w:t>
      </w:r>
      <w:r w:rsidRPr="001F795C">
        <w:rPr>
          <w:sz w:val="24"/>
          <w:szCs w:val="24"/>
        </w:rPr>
        <w:t xml:space="preserve"> have four times the suicide rate of those in least deprived areas</w:t>
      </w:r>
      <w:r>
        <w:rPr>
          <w:sz w:val="24"/>
          <w:szCs w:val="24"/>
        </w:rPr>
        <w:t xml:space="preserve"> (NZDep8-10)</w:t>
      </w:r>
      <w:r w:rsidRPr="001F795C">
        <w:rPr>
          <w:sz w:val="24"/>
          <w:szCs w:val="24"/>
        </w:rPr>
        <w:t xml:space="preserve"> (</w:t>
      </w:r>
      <w:hyperlink r:id="rId13" w:history="1">
        <w:r w:rsidRPr="001F795C">
          <w:rPr>
            <w:rStyle w:val="Hyperlink"/>
            <w:sz w:val="24"/>
            <w:szCs w:val="24"/>
          </w:rPr>
          <w:t>Youth19 survey</w:t>
        </w:r>
      </w:hyperlink>
      <w:r w:rsidRPr="001F795C">
        <w:rPr>
          <w:rStyle w:val="Hyperlink"/>
          <w:sz w:val="24"/>
          <w:szCs w:val="24"/>
        </w:rPr>
        <w:t>, 2020).</w:t>
      </w:r>
    </w:p>
    <w:p w14:paraId="315D9E70" w14:textId="44F846C1" w:rsidR="005808B1" w:rsidRPr="001F795C" w:rsidRDefault="005808B1" w:rsidP="00A15CEF">
      <w:pPr>
        <w:pStyle w:val="ListParagraph"/>
        <w:numPr>
          <w:ilvl w:val="0"/>
          <w:numId w:val="7"/>
        </w:numPr>
        <w:spacing w:after="80"/>
        <w:ind w:left="714" w:hanging="357"/>
        <w:contextualSpacing w:val="0"/>
        <w:rPr>
          <w:sz w:val="24"/>
          <w:szCs w:val="24"/>
        </w:rPr>
      </w:pPr>
      <w:r w:rsidRPr="001F795C">
        <w:rPr>
          <w:b/>
          <w:bCs/>
          <w:sz w:val="24"/>
          <w:szCs w:val="24"/>
          <w:lang w:val="en-US"/>
        </w:rPr>
        <w:t>Effects can be long-term</w:t>
      </w:r>
      <w:r w:rsidRPr="001F795C">
        <w:rPr>
          <w:sz w:val="24"/>
          <w:szCs w:val="24"/>
          <w:lang w:val="en-US"/>
        </w:rPr>
        <w:t xml:space="preserve">, </w:t>
      </w:r>
      <w:r w:rsidRPr="001F795C">
        <w:rPr>
          <w:b/>
          <w:bCs/>
          <w:sz w:val="24"/>
          <w:szCs w:val="24"/>
          <w:lang w:val="en-US"/>
        </w:rPr>
        <w:t>lasting (and shortening) a child’s entire life</w:t>
      </w:r>
      <w:r w:rsidRPr="001F795C">
        <w:rPr>
          <w:sz w:val="24"/>
          <w:szCs w:val="24"/>
          <w:lang w:val="en-US"/>
        </w:rPr>
        <w:t xml:space="preserve">. </w:t>
      </w:r>
      <w:r>
        <w:rPr>
          <w:sz w:val="24"/>
          <w:szCs w:val="24"/>
          <w:lang w:val="en-US"/>
        </w:rPr>
        <w:t>For example, t</w:t>
      </w:r>
      <w:r w:rsidRPr="001F795C">
        <w:rPr>
          <w:sz w:val="24"/>
          <w:szCs w:val="24"/>
        </w:rPr>
        <w:t>he longitudinal University of Otago study found that children born 1972-1973 who grew up in low socioeconomic status families had poorer cardiovascular health, poor dental health and more substance abuse as adults, regardless of adult socioeconomic conditions (</w:t>
      </w:r>
      <w:r w:rsidR="00685C06">
        <w:rPr>
          <w:sz w:val="24"/>
          <w:szCs w:val="24"/>
        </w:rPr>
        <w:t>Poulton et al.</w:t>
      </w:r>
      <w:r w:rsidRPr="001F795C">
        <w:rPr>
          <w:sz w:val="24"/>
          <w:szCs w:val="24"/>
        </w:rPr>
        <w:t>, 2002)</w:t>
      </w:r>
      <w:r w:rsidR="00FB1D4D">
        <w:rPr>
          <w:sz w:val="24"/>
          <w:szCs w:val="24"/>
        </w:rPr>
        <w:t>.</w:t>
      </w:r>
      <w:r w:rsidRPr="001F795C">
        <w:rPr>
          <w:sz w:val="24"/>
          <w:szCs w:val="24"/>
        </w:rPr>
        <w:t xml:space="preserve">  </w:t>
      </w:r>
    </w:p>
    <w:p w14:paraId="6F93F292" w14:textId="03BF23B2" w:rsidR="005808B1" w:rsidRDefault="005808B1" w:rsidP="00A15CEF">
      <w:pPr>
        <w:pStyle w:val="ListParagraph"/>
        <w:numPr>
          <w:ilvl w:val="0"/>
          <w:numId w:val="7"/>
        </w:numPr>
        <w:spacing w:after="80"/>
        <w:ind w:left="714" w:hanging="357"/>
        <w:contextualSpacing w:val="0"/>
        <w:rPr>
          <w:sz w:val="24"/>
          <w:szCs w:val="24"/>
        </w:rPr>
      </w:pPr>
      <w:r w:rsidRPr="001F795C">
        <w:rPr>
          <w:b/>
          <w:bCs/>
          <w:sz w:val="24"/>
          <w:szCs w:val="24"/>
          <w:lang w:val="en-US"/>
        </w:rPr>
        <w:t>Dealing with deprivation</w:t>
      </w:r>
      <w:r>
        <w:rPr>
          <w:b/>
          <w:bCs/>
          <w:sz w:val="24"/>
          <w:szCs w:val="24"/>
          <w:lang w:val="en-US"/>
        </w:rPr>
        <w:t>,</w:t>
      </w:r>
      <w:r w:rsidRPr="001F795C">
        <w:rPr>
          <w:b/>
          <w:bCs/>
          <w:sz w:val="24"/>
          <w:szCs w:val="24"/>
          <w:lang w:val="en-US"/>
        </w:rPr>
        <w:t xml:space="preserve"> </w:t>
      </w:r>
      <w:r>
        <w:rPr>
          <w:b/>
          <w:bCs/>
          <w:sz w:val="24"/>
          <w:szCs w:val="24"/>
          <w:lang w:val="en-US"/>
        </w:rPr>
        <w:t xml:space="preserve">and with the </w:t>
      </w:r>
      <w:proofErr w:type="spellStart"/>
      <w:r>
        <w:rPr>
          <w:b/>
          <w:bCs/>
          <w:sz w:val="24"/>
          <w:szCs w:val="24"/>
          <w:lang w:val="en-US"/>
        </w:rPr>
        <w:t>stigmatisation</w:t>
      </w:r>
      <w:proofErr w:type="spellEnd"/>
      <w:r>
        <w:rPr>
          <w:b/>
          <w:bCs/>
          <w:sz w:val="24"/>
          <w:szCs w:val="24"/>
          <w:lang w:val="en-US"/>
        </w:rPr>
        <w:t xml:space="preserve"> of deprivation, </w:t>
      </w:r>
      <w:r w:rsidRPr="001F795C">
        <w:rPr>
          <w:b/>
          <w:bCs/>
          <w:sz w:val="24"/>
          <w:szCs w:val="24"/>
          <w:lang w:val="en-US"/>
        </w:rPr>
        <w:t>creates toxic stress</w:t>
      </w:r>
      <w:r>
        <w:rPr>
          <w:b/>
          <w:bCs/>
          <w:sz w:val="24"/>
          <w:szCs w:val="24"/>
          <w:lang w:val="en-US"/>
        </w:rPr>
        <w:t xml:space="preserve"> and disempowerment</w:t>
      </w:r>
      <w:r w:rsidRPr="001F795C">
        <w:rPr>
          <w:b/>
          <w:bCs/>
          <w:sz w:val="24"/>
          <w:szCs w:val="24"/>
          <w:lang w:val="en-US"/>
        </w:rPr>
        <w:t>.</w:t>
      </w:r>
      <w:r w:rsidRPr="001F795C">
        <w:rPr>
          <w:sz w:val="24"/>
          <w:szCs w:val="24"/>
          <w:lang w:val="en-US"/>
        </w:rPr>
        <w:t xml:space="preserve"> </w:t>
      </w:r>
      <w:r>
        <w:rPr>
          <w:sz w:val="24"/>
          <w:szCs w:val="24"/>
          <w:lang w:val="en-US"/>
        </w:rPr>
        <w:t>I</w:t>
      </w:r>
      <w:r w:rsidRPr="001F795C">
        <w:rPr>
          <w:sz w:val="24"/>
          <w:szCs w:val="24"/>
          <w:lang w:val="en-US"/>
        </w:rPr>
        <w:t>nadequate income prevent</w:t>
      </w:r>
      <w:r>
        <w:rPr>
          <w:sz w:val="24"/>
          <w:szCs w:val="24"/>
          <w:lang w:val="en-US"/>
        </w:rPr>
        <w:t>s</w:t>
      </w:r>
      <w:r w:rsidRPr="001F795C">
        <w:rPr>
          <w:sz w:val="24"/>
          <w:szCs w:val="24"/>
          <w:lang w:val="en-US"/>
        </w:rPr>
        <w:t xml:space="preserve"> children from accessing </w:t>
      </w:r>
      <w:r w:rsidRPr="001F795C">
        <w:rPr>
          <w:sz w:val="24"/>
          <w:szCs w:val="24"/>
        </w:rPr>
        <w:t>goods, services and opportunities that support their positive development</w:t>
      </w:r>
      <w:r>
        <w:rPr>
          <w:sz w:val="24"/>
          <w:szCs w:val="24"/>
        </w:rPr>
        <w:t>; and, in addition,</w:t>
      </w:r>
      <w:r w:rsidRPr="001F795C">
        <w:rPr>
          <w:sz w:val="24"/>
          <w:szCs w:val="24"/>
        </w:rPr>
        <w:t xml:space="preserve"> poverty also increasing parental/caregiver stress, depression and shame</w:t>
      </w:r>
      <w:r>
        <w:rPr>
          <w:sz w:val="24"/>
          <w:szCs w:val="24"/>
        </w:rPr>
        <w:t xml:space="preserve"> </w:t>
      </w:r>
      <w:r w:rsidRPr="00E26768">
        <w:rPr>
          <w:sz w:val="24"/>
          <w:szCs w:val="24"/>
        </w:rPr>
        <w:t>(</w:t>
      </w:r>
      <w:r w:rsidRPr="00E26768">
        <w:rPr>
          <w:sz w:val="24"/>
          <w:szCs w:val="24"/>
          <w:lang w:val="en-US"/>
        </w:rPr>
        <w:t xml:space="preserve">exacerbated by </w:t>
      </w:r>
      <w:proofErr w:type="spellStart"/>
      <w:r>
        <w:rPr>
          <w:sz w:val="24"/>
          <w:szCs w:val="24"/>
          <w:lang w:val="en-US"/>
        </w:rPr>
        <w:t>stigmatisation</w:t>
      </w:r>
      <w:proofErr w:type="spellEnd"/>
      <w:r>
        <w:rPr>
          <w:sz w:val="24"/>
          <w:szCs w:val="24"/>
          <w:lang w:val="en-US"/>
        </w:rPr>
        <w:t>, including</w:t>
      </w:r>
      <w:r w:rsidRPr="00E26768">
        <w:rPr>
          <w:sz w:val="24"/>
          <w:szCs w:val="24"/>
          <w:lang w:val="en-US"/>
        </w:rPr>
        <w:t xml:space="preserve"> by government agencies)</w:t>
      </w:r>
      <w:r w:rsidRPr="00E26768">
        <w:rPr>
          <w:sz w:val="24"/>
          <w:szCs w:val="24"/>
        </w:rPr>
        <w:t>,</w:t>
      </w:r>
      <w:r w:rsidRPr="001F795C">
        <w:rPr>
          <w:sz w:val="24"/>
          <w:szCs w:val="24"/>
        </w:rPr>
        <w:t xml:space="preserve"> and places greater demands on adult decision-making, all of which may affect children as well as adults.</w:t>
      </w:r>
      <w:r>
        <w:rPr>
          <w:sz w:val="24"/>
          <w:szCs w:val="24"/>
        </w:rPr>
        <w:t xml:space="preserve"> (</w:t>
      </w:r>
      <w:hyperlink r:id="rId14" w:history="1">
        <w:r w:rsidRPr="00EA43B5">
          <w:rPr>
            <w:rStyle w:val="Hyperlink"/>
            <w:sz w:val="24"/>
            <w:szCs w:val="24"/>
          </w:rPr>
          <w:t>Orchard, 2018</w:t>
        </w:r>
      </w:hyperlink>
      <w:r>
        <w:rPr>
          <w:sz w:val="24"/>
          <w:szCs w:val="24"/>
        </w:rPr>
        <w:t>)</w:t>
      </w:r>
      <w:r w:rsidR="00FB1D4D">
        <w:rPr>
          <w:sz w:val="24"/>
          <w:szCs w:val="24"/>
        </w:rPr>
        <w:t>.</w:t>
      </w:r>
    </w:p>
    <w:p w14:paraId="19CDBA9C" w14:textId="02515F90" w:rsidR="005808B1" w:rsidRPr="00C1553F" w:rsidRDefault="005808B1" w:rsidP="00A15CEF">
      <w:pPr>
        <w:spacing w:after="80"/>
        <w:ind w:left="993" w:firstLine="720"/>
        <w:jc w:val="right"/>
        <w:rPr>
          <w:sz w:val="24"/>
          <w:szCs w:val="24"/>
        </w:rPr>
      </w:pPr>
      <w:r w:rsidRPr="00C1553F">
        <w:rPr>
          <w:i/>
          <w:iCs/>
          <w:color w:val="385623" w:themeColor="accent6" w:themeShade="80"/>
        </w:rPr>
        <w:t xml:space="preserve">When you’re in a low socio sort of environment, your head’s not looking up and looking at what the future looks like for you next year. </w:t>
      </w:r>
      <w:r w:rsidRPr="00787617">
        <w:rPr>
          <w:b/>
          <w:bCs/>
          <w:i/>
          <w:iCs/>
          <w:color w:val="385623" w:themeColor="accent6" w:themeShade="80"/>
        </w:rPr>
        <w:t>Or</w:t>
      </w:r>
      <w:r w:rsidRPr="00C1553F">
        <w:rPr>
          <w:i/>
          <w:iCs/>
          <w:color w:val="385623" w:themeColor="accent6" w:themeShade="80"/>
        </w:rPr>
        <w:t xml:space="preserve"> </w:t>
      </w:r>
      <w:r w:rsidRPr="00787617">
        <w:rPr>
          <w:b/>
          <w:bCs/>
          <w:i/>
          <w:iCs/>
          <w:color w:val="385623" w:themeColor="accent6" w:themeShade="80"/>
        </w:rPr>
        <w:t xml:space="preserve">what your dreams and aspirations are looking over there or “what I </w:t>
      </w:r>
      <w:proofErr w:type="spellStart"/>
      <w:r w:rsidRPr="00787617">
        <w:rPr>
          <w:b/>
          <w:bCs/>
          <w:i/>
          <w:iCs/>
          <w:color w:val="385623" w:themeColor="accent6" w:themeShade="80"/>
        </w:rPr>
        <w:t>wanna</w:t>
      </w:r>
      <w:proofErr w:type="spellEnd"/>
      <w:r w:rsidRPr="00787617">
        <w:rPr>
          <w:b/>
          <w:bCs/>
          <w:i/>
          <w:iCs/>
          <w:color w:val="385623" w:themeColor="accent6" w:themeShade="80"/>
        </w:rPr>
        <w:t xml:space="preserve"> do”.</w:t>
      </w:r>
      <w:r w:rsidRPr="00C1553F">
        <w:rPr>
          <w:i/>
          <w:iCs/>
          <w:color w:val="385623" w:themeColor="accent6" w:themeShade="80"/>
        </w:rPr>
        <w:t xml:space="preserve"> Your head’s looking down and it’s looking around in that pool of just trying to survive day by day.</w:t>
      </w:r>
      <w:r w:rsidRPr="00C1553F">
        <w:rPr>
          <w:color w:val="385623" w:themeColor="accent6" w:themeShade="80"/>
        </w:rPr>
        <w:t xml:space="preserve"> </w:t>
      </w:r>
      <w:r>
        <w:rPr>
          <w:color w:val="385623" w:themeColor="accent6" w:themeShade="80"/>
        </w:rPr>
        <w:br/>
      </w:r>
      <w:proofErr w:type="spellStart"/>
      <w:r w:rsidRPr="00C1553F">
        <w:rPr>
          <w:color w:val="385623" w:themeColor="accent6" w:themeShade="80"/>
        </w:rPr>
        <w:t>Tahu</w:t>
      </w:r>
      <w:proofErr w:type="spellEnd"/>
      <w:r w:rsidRPr="00C1553F">
        <w:rPr>
          <w:color w:val="385623" w:themeColor="accent6" w:themeShade="80"/>
        </w:rPr>
        <w:t xml:space="preserve">, </w:t>
      </w:r>
      <w:proofErr w:type="spellStart"/>
      <w:r w:rsidRPr="00C1553F">
        <w:rPr>
          <w:color w:val="385623" w:themeColor="accent6" w:themeShade="80"/>
        </w:rPr>
        <w:t>Te</w:t>
      </w:r>
      <w:proofErr w:type="spellEnd"/>
      <w:r w:rsidRPr="00C1553F">
        <w:rPr>
          <w:color w:val="385623" w:themeColor="accent6" w:themeShade="80"/>
        </w:rPr>
        <w:t xml:space="preserve"> </w:t>
      </w:r>
      <w:proofErr w:type="spellStart"/>
      <w:r w:rsidRPr="00C1553F">
        <w:rPr>
          <w:color w:val="385623" w:themeColor="accent6" w:themeShade="80"/>
        </w:rPr>
        <w:t>Whakaruruhau</w:t>
      </w:r>
      <w:proofErr w:type="spellEnd"/>
      <w:r w:rsidRPr="00C1553F">
        <w:rPr>
          <w:color w:val="385623" w:themeColor="accent6" w:themeShade="80"/>
        </w:rPr>
        <w:t xml:space="preserve"> Service Worker </w:t>
      </w:r>
      <w:r>
        <w:rPr>
          <w:color w:val="385623" w:themeColor="accent6" w:themeShade="80"/>
        </w:rPr>
        <w:t xml:space="preserve">&amp; </w:t>
      </w:r>
      <w:proofErr w:type="spellStart"/>
      <w:r w:rsidRPr="00C1553F">
        <w:rPr>
          <w:color w:val="385623" w:themeColor="accent6" w:themeShade="80"/>
        </w:rPr>
        <w:t>whānau</w:t>
      </w:r>
      <w:proofErr w:type="spellEnd"/>
      <w:r w:rsidRPr="00C1553F">
        <w:rPr>
          <w:color w:val="385623" w:themeColor="accent6" w:themeShade="80"/>
        </w:rPr>
        <w:t xml:space="preserve"> advocate</w:t>
      </w:r>
      <w:r>
        <w:rPr>
          <w:color w:val="385623" w:themeColor="accent6" w:themeShade="80"/>
        </w:rPr>
        <w:t xml:space="preserve">, quoted in </w:t>
      </w:r>
      <w:hyperlink r:id="rId15" w:history="1">
        <w:proofErr w:type="spellStart"/>
        <w:r w:rsidRPr="001A2EA4">
          <w:rPr>
            <w:rStyle w:val="Hyperlink"/>
          </w:rPr>
          <w:t>Rua</w:t>
        </w:r>
        <w:proofErr w:type="spellEnd"/>
        <w:r w:rsidRPr="001A2EA4">
          <w:rPr>
            <w:rStyle w:val="Hyperlink"/>
          </w:rPr>
          <w:t xml:space="preserve"> et al (2019)</w:t>
        </w:r>
      </w:hyperlink>
    </w:p>
    <w:p w14:paraId="047CB7FC" w14:textId="77777777" w:rsidR="005808B1" w:rsidRPr="0019010A" w:rsidRDefault="005808B1" w:rsidP="00267537">
      <w:pPr>
        <w:pStyle w:val="ListParagraph"/>
        <w:numPr>
          <w:ilvl w:val="0"/>
          <w:numId w:val="7"/>
        </w:numPr>
        <w:spacing w:before="120" w:after="80"/>
        <w:contextualSpacing w:val="0"/>
        <w:rPr>
          <w:sz w:val="24"/>
          <w:szCs w:val="24"/>
        </w:rPr>
      </w:pPr>
      <w:r w:rsidRPr="001F795C">
        <w:rPr>
          <w:b/>
          <w:bCs/>
          <w:sz w:val="24"/>
          <w:szCs w:val="24"/>
          <w:lang w:val="en-US"/>
        </w:rPr>
        <w:t xml:space="preserve">Poor outcomes for the few affect the many. </w:t>
      </w:r>
      <w:r w:rsidRPr="001F795C">
        <w:rPr>
          <w:sz w:val="24"/>
          <w:szCs w:val="24"/>
          <w:lang w:val="en-US"/>
        </w:rPr>
        <w:t>Depriving children of essential resources to actively participate in society</w:t>
      </w:r>
      <w:r>
        <w:rPr>
          <w:sz w:val="24"/>
          <w:szCs w:val="24"/>
          <w:lang w:val="en-US"/>
        </w:rPr>
        <w:t>,</w:t>
      </w:r>
      <w:r w:rsidRPr="001F795C">
        <w:rPr>
          <w:sz w:val="24"/>
          <w:szCs w:val="24"/>
          <w:lang w:val="en-US"/>
        </w:rPr>
        <w:t xml:space="preserve"> </w:t>
      </w:r>
      <w:r>
        <w:rPr>
          <w:sz w:val="24"/>
          <w:szCs w:val="24"/>
          <w:lang w:val="en-US"/>
        </w:rPr>
        <w:t xml:space="preserve">and disempowering their </w:t>
      </w:r>
      <w:proofErr w:type="spellStart"/>
      <w:r>
        <w:rPr>
          <w:sz w:val="24"/>
          <w:szCs w:val="24"/>
          <w:lang w:val="en-US"/>
        </w:rPr>
        <w:t>whānau</w:t>
      </w:r>
      <w:proofErr w:type="spellEnd"/>
      <w:r>
        <w:rPr>
          <w:sz w:val="24"/>
          <w:szCs w:val="24"/>
          <w:lang w:val="en-US"/>
        </w:rPr>
        <w:t xml:space="preserve"> and families, </w:t>
      </w:r>
      <w:r w:rsidRPr="001F795C">
        <w:rPr>
          <w:sz w:val="24"/>
          <w:szCs w:val="24"/>
          <w:lang w:val="en-US"/>
        </w:rPr>
        <w:t xml:space="preserve">generates poor outcomes for individuals, </w:t>
      </w:r>
      <w:proofErr w:type="spellStart"/>
      <w:r w:rsidRPr="001F795C">
        <w:rPr>
          <w:sz w:val="24"/>
          <w:szCs w:val="24"/>
          <w:lang w:val="en-US"/>
        </w:rPr>
        <w:t>whānau</w:t>
      </w:r>
      <w:proofErr w:type="spellEnd"/>
      <w:r w:rsidRPr="001F795C">
        <w:rPr>
          <w:sz w:val="24"/>
          <w:szCs w:val="24"/>
          <w:lang w:val="en-US"/>
        </w:rPr>
        <w:t xml:space="preserve">, and ultimately whole communities, who cannot reap the benefits of people reaching their full potential. </w:t>
      </w:r>
    </w:p>
    <w:p w14:paraId="3FAAF2B3" w14:textId="2ABADB1E" w:rsidR="005808B1" w:rsidRPr="00EF30D2" w:rsidRDefault="00A15CEF" w:rsidP="005808B1">
      <w:pPr>
        <w:pStyle w:val="Heading1"/>
        <w:spacing w:before="360"/>
        <w:jc w:val="right"/>
        <w:rPr>
          <w:color w:val="538135" w:themeColor="accent6" w:themeShade="BF"/>
        </w:rPr>
      </w:pPr>
      <w:r w:rsidRPr="00EF30D2">
        <w:rPr>
          <w:color w:val="538135" w:themeColor="accent6" w:themeShade="BF"/>
        </w:rPr>
        <w:t xml:space="preserve">To enable our children to flourish, and to empower them to contribute to their communities </w:t>
      </w:r>
      <w:r>
        <w:rPr>
          <w:color w:val="538135" w:themeColor="accent6" w:themeShade="BF"/>
        </w:rPr>
        <w:t xml:space="preserve">over </w:t>
      </w:r>
      <w:r w:rsidRPr="00EF30D2">
        <w:rPr>
          <w:color w:val="538135" w:themeColor="accent6" w:themeShade="BF"/>
        </w:rPr>
        <w:t xml:space="preserve">their lives, we need families </w:t>
      </w:r>
      <w:r>
        <w:rPr>
          <w:color w:val="538135" w:themeColor="accent6" w:themeShade="BF"/>
        </w:rPr>
        <w:t xml:space="preserve">to </w:t>
      </w:r>
      <w:r w:rsidRPr="00EF30D2">
        <w:rPr>
          <w:color w:val="538135" w:themeColor="accent6" w:themeShade="BF"/>
        </w:rPr>
        <w:t xml:space="preserve">have </w:t>
      </w:r>
      <w:r w:rsidRPr="0001238B">
        <w:rPr>
          <w:color w:val="538135" w:themeColor="accent6" w:themeShade="BF"/>
        </w:rPr>
        <w:t xml:space="preserve">guaranteed adequate incomes </w:t>
      </w:r>
      <w:r>
        <w:rPr>
          <w:color w:val="538135" w:themeColor="accent6" w:themeShade="BF"/>
        </w:rPr>
        <w:t xml:space="preserve">&amp; </w:t>
      </w:r>
      <w:r w:rsidRPr="0001238B">
        <w:rPr>
          <w:b/>
          <w:bCs/>
          <w:color w:val="538135" w:themeColor="accent6" w:themeShade="BF"/>
        </w:rPr>
        <w:t>healthy appropriate homes</w:t>
      </w:r>
    </w:p>
    <w:p w14:paraId="1C2D80B1" w14:textId="77777777" w:rsidR="005808B1" w:rsidRDefault="005808B1" w:rsidP="005808B1">
      <w:pPr>
        <w:rPr>
          <w:b/>
          <w:bCs/>
          <w:lang w:val="en-US"/>
        </w:rPr>
      </w:pPr>
      <w:r>
        <w:rPr>
          <w:b/>
          <w:bCs/>
          <w:lang w:val="en-US"/>
        </w:rPr>
        <w:br w:type="page"/>
      </w:r>
    </w:p>
    <w:p w14:paraId="18AEBA9A" w14:textId="14871689" w:rsidR="005808B1" w:rsidRPr="00EF30D2" w:rsidRDefault="005808B1" w:rsidP="005808B1">
      <w:pPr>
        <w:pStyle w:val="Heading1"/>
        <w:spacing w:before="0" w:after="240"/>
        <w:rPr>
          <w:color w:val="538135" w:themeColor="accent6" w:themeShade="BF"/>
          <w:sz w:val="30"/>
          <w:szCs w:val="30"/>
          <w:lang w:val="en-US"/>
        </w:rPr>
      </w:pPr>
      <w:bookmarkStart w:id="1" w:name="_Appendix_2:_Children"/>
      <w:bookmarkEnd w:id="1"/>
      <w:r w:rsidRPr="00EF30D2">
        <w:rPr>
          <w:color w:val="538135" w:themeColor="accent6" w:themeShade="BF"/>
          <w:sz w:val="30"/>
          <w:szCs w:val="30"/>
          <w:lang w:val="en-US"/>
        </w:rPr>
        <w:lastRenderedPageBreak/>
        <w:t xml:space="preserve">Appendix 2: Children are the </w:t>
      </w:r>
      <w:r w:rsidRPr="00EF30D2">
        <w:rPr>
          <w:b/>
          <w:bCs/>
          <w:color w:val="538135" w:themeColor="accent6" w:themeShade="BF"/>
          <w:sz w:val="30"/>
          <w:szCs w:val="30"/>
          <w:lang w:val="en-US"/>
        </w:rPr>
        <w:t>most likely</w:t>
      </w:r>
      <w:r w:rsidRPr="00EF30D2">
        <w:rPr>
          <w:color w:val="538135" w:themeColor="accent6" w:themeShade="BF"/>
          <w:sz w:val="30"/>
          <w:szCs w:val="30"/>
          <w:lang w:val="en-US"/>
        </w:rPr>
        <w:t xml:space="preserve"> age group to live in poverty;</w:t>
      </w:r>
      <w:r w:rsidRPr="00EF30D2">
        <w:rPr>
          <w:color w:val="538135" w:themeColor="accent6" w:themeShade="BF"/>
          <w:sz w:val="30"/>
          <w:szCs w:val="30"/>
          <w:lang w:val="en-US"/>
        </w:rPr>
        <w:br/>
        <w:t>Most affected include</w:t>
      </w:r>
      <w:r w:rsidRPr="00EF30D2">
        <w:rPr>
          <w:b/>
          <w:bCs/>
          <w:color w:val="538135" w:themeColor="accent6" w:themeShade="BF"/>
          <w:sz w:val="30"/>
          <w:szCs w:val="30"/>
          <w:lang w:val="en-US"/>
        </w:rPr>
        <w:t xml:space="preserve"> Māori &amp; Pacific</w:t>
      </w:r>
      <w:r w:rsidRPr="00EF30D2">
        <w:rPr>
          <w:color w:val="538135" w:themeColor="accent6" w:themeShade="BF"/>
          <w:sz w:val="30"/>
          <w:szCs w:val="30"/>
          <w:lang w:val="en-US"/>
        </w:rPr>
        <w:t xml:space="preserve"> children, &amp; children with </w:t>
      </w:r>
      <w:r w:rsidRPr="00EF30D2">
        <w:rPr>
          <w:b/>
          <w:bCs/>
          <w:color w:val="538135" w:themeColor="accent6" w:themeShade="BF"/>
          <w:sz w:val="30"/>
          <w:szCs w:val="30"/>
          <w:lang w:val="en-US"/>
        </w:rPr>
        <w:t>disabilities</w:t>
      </w:r>
      <w:r w:rsidRPr="00EF30D2">
        <w:rPr>
          <w:color w:val="538135" w:themeColor="accent6" w:themeShade="BF"/>
          <w:sz w:val="30"/>
          <w:szCs w:val="30"/>
          <w:lang w:val="en-US"/>
        </w:rPr>
        <w:t>.</w:t>
      </w:r>
    </w:p>
    <w:p w14:paraId="0239778C" w14:textId="51A7BFCA" w:rsidR="005808B1" w:rsidRPr="00730FD1" w:rsidRDefault="005808B1" w:rsidP="005808B1">
      <w:pPr>
        <w:pStyle w:val="ListParagraph"/>
        <w:numPr>
          <w:ilvl w:val="0"/>
          <w:numId w:val="10"/>
        </w:numPr>
        <w:ind w:left="714" w:hanging="357"/>
        <w:contextualSpacing w:val="0"/>
        <w:rPr>
          <w:b/>
          <w:bCs/>
          <w:sz w:val="24"/>
          <w:szCs w:val="24"/>
          <w:lang w:val="en-US"/>
        </w:rPr>
      </w:pPr>
      <w:r w:rsidRPr="00A92331">
        <w:rPr>
          <w:b/>
          <w:bCs/>
          <w:sz w:val="24"/>
          <w:szCs w:val="24"/>
          <w:lang w:val="en-US"/>
        </w:rPr>
        <w:t xml:space="preserve">Children are </w:t>
      </w:r>
      <w:r>
        <w:rPr>
          <w:b/>
          <w:bCs/>
          <w:sz w:val="24"/>
          <w:szCs w:val="24"/>
          <w:lang w:val="en-US"/>
        </w:rPr>
        <w:t xml:space="preserve">almost </w:t>
      </w:r>
      <w:r w:rsidRPr="00A92331">
        <w:rPr>
          <w:b/>
          <w:bCs/>
          <w:sz w:val="24"/>
          <w:szCs w:val="24"/>
          <w:lang w:val="en-US"/>
        </w:rPr>
        <w:t xml:space="preserve">twice as likely as those aged over 65 to live in poverty </w:t>
      </w:r>
      <w:r w:rsidRPr="00A92331">
        <w:rPr>
          <w:sz w:val="24"/>
          <w:szCs w:val="24"/>
          <w:lang w:val="en-US"/>
        </w:rPr>
        <w:t>and</w:t>
      </w:r>
      <w:r w:rsidRPr="00A92331">
        <w:rPr>
          <w:b/>
          <w:bCs/>
          <w:sz w:val="24"/>
          <w:szCs w:val="24"/>
          <w:lang w:val="en-US"/>
        </w:rPr>
        <w:t xml:space="preserve"> </w:t>
      </w:r>
      <w:r>
        <w:rPr>
          <w:sz w:val="24"/>
          <w:szCs w:val="24"/>
          <w:lang w:val="en-US"/>
        </w:rPr>
        <w:t>1.5 times</w:t>
      </w:r>
      <w:r w:rsidRPr="00A92331">
        <w:rPr>
          <w:sz w:val="24"/>
          <w:szCs w:val="24"/>
          <w:lang w:val="en-US"/>
        </w:rPr>
        <w:t xml:space="preserve"> </w:t>
      </w:r>
      <w:r>
        <w:rPr>
          <w:sz w:val="24"/>
          <w:szCs w:val="24"/>
          <w:lang w:val="en-US"/>
        </w:rPr>
        <w:t xml:space="preserve">more </w:t>
      </w:r>
      <w:r w:rsidRPr="00A92331">
        <w:rPr>
          <w:sz w:val="24"/>
          <w:szCs w:val="24"/>
          <w:lang w:val="en-US"/>
        </w:rPr>
        <w:t xml:space="preserve">likely </w:t>
      </w:r>
      <w:r>
        <w:rPr>
          <w:sz w:val="24"/>
          <w:szCs w:val="24"/>
          <w:lang w:val="en-US"/>
        </w:rPr>
        <w:t xml:space="preserve">than </w:t>
      </w:r>
      <w:r w:rsidRPr="00A92331">
        <w:rPr>
          <w:sz w:val="24"/>
          <w:szCs w:val="24"/>
          <w:lang w:val="en-US"/>
        </w:rPr>
        <w:t>those aged 25-64</w:t>
      </w:r>
      <w:r>
        <w:rPr>
          <w:sz w:val="24"/>
          <w:szCs w:val="24"/>
          <w:lang w:val="en-US"/>
        </w:rPr>
        <w:t>,</w:t>
      </w:r>
      <w:r w:rsidRPr="00A92331">
        <w:rPr>
          <w:sz w:val="24"/>
          <w:szCs w:val="24"/>
          <w:lang w:val="en-US"/>
        </w:rPr>
        <w:t xml:space="preserve"> </w:t>
      </w:r>
      <w:r>
        <w:rPr>
          <w:sz w:val="24"/>
          <w:szCs w:val="24"/>
          <w:lang w:val="en-US"/>
        </w:rPr>
        <w:t>when housing costs are taken into account</w:t>
      </w:r>
      <w:r w:rsidRPr="00FB1D4D">
        <w:rPr>
          <w:sz w:val="24"/>
          <w:szCs w:val="24"/>
          <w:lang w:val="en-US"/>
        </w:rPr>
        <w:t>.</w:t>
      </w:r>
      <w:r>
        <w:rPr>
          <w:b/>
          <w:bCs/>
          <w:sz w:val="24"/>
          <w:szCs w:val="24"/>
          <w:lang w:val="en-US"/>
        </w:rPr>
        <w:t xml:space="preserve"> </w:t>
      </w:r>
      <w:r>
        <w:rPr>
          <w:sz w:val="24"/>
          <w:szCs w:val="24"/>
          <w:lang w:val="en-US"/>
        </w:rPr>
        <w:t>C</w:t>
      </w:r>
      <w:proofErr w:type="spellStart"/>
      <w:r w:rsidRPr="00730FD1">
        <w:rPr>
          <w:sz w:val="24"/>
          <w:szCs w:val="24"/>
        </w:rPr>
        <w:t>hildren</w:t>
      </w:r>
      <w:proofErr w:type="spellEnd"/>
      <w:r w:rsidRPr="00730FD1">
        <w:rPr>
          <w:sz w:val="24"/>
          <w:szCs w:val="24"/>
        </w:rPr>
        <w:t xml:space="preserve"> with disability </w:t>
      </w:r>
      <w:r w:rsidR="0038672A">
        <w:rPr>
          <w:sz w:val="24"/>
          <w:szCs w:val="24"/>
        </w:rPr>
        <w:t xml:space="preserve">in NZ </w:t>
      </w:r>
      <w:r w:rsidRPr="00730FD1">
        <w:rPr>
          <w:sz w:val="24"/>
          <w:szCs w:val="24"/>
        </w:rPr>
        <w:t xml:space="preserve">are 1.5 times more likely </w:t>
      </w:r>
      <w:r>
        <w:rPr>
          <w:sz w:val="24"/>
          <w:szCs w:val="24"/>
        </w:rPr>
        <w:t>than other</w:t>
      </w:r>
      <w:r w:rsidR="00271AF2">
        <w:rPr>
          <w:sz w:val="24"/>
          <w:szCs w:val="24"/>
        </w:rPr>
        <w:t xml:space="preserve"> children</w:t>
      </w:r>
      <w:r>
        <w:rPr>
          <w:sz w:val="24"/>
          <w:szCs w:val="24"/>
        </w:rPr>
        <w:t xml:space="preserve"> </w:t>
      </w:r>
      <w:r w:rsidRPr="00730FD1">
        <w:rPr>
          <w:sz w:val="24"/>
          <w:szCs w:val="24"/>
        </w:rPr>
        <w:t xml:space="preserve">to </w:t>
      </w:r>
      <w:r>
        <w:rPr>
          <w:sz w:val="24"/>
          <w:szCs w:val="24"/>
        </w:rPr>
        <w:t xml:space="preserve">live with caregivers who </w:t>
      </w:r>
      <w:r w:rsidRPr="00730FD1">
        <w:rPr>
          <w:sz w:val="24"/>
          <w:szCs w:val="24"/>
        </w:rPr>
        <w:t>report not having enough</w:t>
      </w:r>
      <w:r w:rsidR="00253B38">
        <w:rPr>
          <w:sz w:val="24"/>
          <w:szCs w:val="24"/>
        </w:rPr>
        <w:t>. This is not the case</w:t>
      </w:r>
      <w:r w:rsidR="0038672A">
        <w:rPr>
          <w:sz w:val="24"/>
          <w:szCs w:val="24"/>
        </w:rPr>
        <w:t xml:space="preserve"> </w:t>
      </w:r>
      <w:r w:rsidR="00253B38">
        <w:rPr>
          <w:sz w:val="24"/>
          <w:szCs w:val="24"/>
        </w:rPr>
        <w:t xml:space="preserve">elsewhere, for example, </w:t>
      </w:r>
      <w:r w:rsidR="0038672A">
        <w:rPr>
          <w:sz w:val="24"/>
          <w:szCs w:val="24"/>
        </w:rPr>
        <w:t>in the UK</w:t>
      </w:r>
      <w:r w:rsidR="00253B38">
        <w:rPr>
          <w:sz w:val="24"/>
          <w:szCs w:val="24"/>
        </w:rPr>
        <w:t xml:space="preserve"> </w:t>
      </w:r>
      <w:r>
        <w:rPr>
          <w:sz w:val="24"/>
          <w:szCs w:val="24"/>
        </w:rPr>
        <w:t>(</w:t>
      </w:r>
      <w:proofErr w:type="spellStart"/>
      <w:r w:rsidR="00484E2D">
        <w:fldChar w:fldCharType="begin"/>
      </w:r>
      <w:r w:rsidR="00484E2D">
        <w:instrText xml:space="preserve"> HYPERLINK "https://www.cpag.org.nz/assets/Living%20Well%20Children%20with%20disability%20need%20far%20greater%20income%20support%20in%20Aotearoa%20Sept%202020%20%281%29.pdf" </w:instrText>
      </w:r>
      <w:r w:rsidR="00484E2D">
        <w:fldChar w:fldCharType="separate"/>
      </w:r>
      <w:r w:rsidR="00253B38">
        <w:rPr>
          <w:rStyle w:val="Hyperlink"/>
          <w:sz w:val="24"/>
          <w:szCs w:val="24"/>
        </w:rPr>
        <w:t>Ne</w:t>
      </w:r>
      <w:r w:rsidR="002303F2">
        <w:rPr>
          <w:rStyle w:val="Hyperlink"/>
          <w:sz w:val="24"/>
          <w:szCs w:val="24"/>
        </w:rPr>
        <w:t>u</w:t>
      </w:r>
      <w:r w:rsidR="00253B38">
        <w:rPr>
          <w:rStyle w:val="Hyperlink"/>
          <w:sz w:val="24"/>
          <w:szCs w:val="24"/>
        </w:rPr>
        <w:t>welt</w:t>
      </w:r>
      <w:proofErr w:type="spellEnd"/>
      <w:r w:rsidR="00253B38">
        <w:rPr>
          <w:rStyle w:val="Hyperlink"/>
          <w:sz w:val="24"/>
          <w:szCs w:val="24"/>
        </w:rPr>
        <w:t>-Kearns, Murray, Russell &amp; Lee, 2020</w:t>
      </w:r>
      <w:r w:rsidR="00484E2D">
        <w:rPr>
          <w:rStyle w:val="Hyperlink"/>
          <w:sz w:val="24"/>
          <w:szCs w:val="24"/>
        </w:rPr>
        <w:fldChar w:fldCharType="end"/>
      </w:r>
      <w:r>
        <w:rPr>
          <w:sz w:val="24"/>
          <w:szCs w:val="24"/>
        </w:rPr>
        <w:t>).</w:t>
      </w:r>
    </w:p>
    <w:p w14:paraId="71ABE1EA" w14:textId="13DA0DE7" w:rsidR="005808B1" w:rsidRDefault="005808B1" w:rsidP="005808B1">
      <w:pPr>
        <w:pStyle w:val="ListParagraph"/>
        <w:spacing w:before="120"/>
        <w:rPr>
          <w:b/>
          <w:bCs/>
          <w:sz w:val="20"/>
          <w:szCs w:val="20"/>
        </w:rPr>
      </w:pPr>
      <w:r>
        <w:rPr>
          <w:b/>
          <w:bCs/>
          <w:sz w:val="20"/>
          <w:szCs w:val="20"/>
        </w:rPr>
        <w:t xml:space="preserve">Fig 1: % </w:t>
      </w:r>
      <w:r w:rsidRPr="00982553">
        <w:rPr>
          <w:b/>
          <w:bCs/>
          <w:sz w:val="20"/>
          <w:szCs w:val="20"/>
        </w:rPr>
        <w:t>of all individuals in low-income households by age (AHC 50, moving line, relative) 2018</w:t>
      </w:r>
    </w:p>
    <w:p w14:paraId="6A06C6B8" w14:textId="77777777" w:rsidR="005808B1" w:rsidRDefault="005808B1" w:rsidP="005808B1">
      <w:pPr>
        <w:pStyle w:val="ListParagraph"/>
        <w:spacing w:before="120" w:after="120"/>
        <w:rPr>
          <w:b/>
          <w:bCs/>
          <w:sz w:val="24"/>
          <w:szCs w:val="24"/>
          <w:lang w:val="en-US"/>
        </w:rPr>
      </w:pPr>
      <w:r>
        <w:rPr>
          <w:noProof/>
          <w:lang w:eastAsia="en-NZ"/>
        </w:rPr>
        <w:drawing>
          <wp:inline distT="0" distB="0" distL="0" distR="0" wp14:anchorId="0EBF8882" wp14:editId="64E4A23D">
            <wp:extent cx="2550160" cy="1924050"/>
            <wp:effectExtent l="0" t="0" r="2540" b="0"/>
            <wp:docPr id="3" name="Chart 3">
              <a:extLst xmlns:a="http://schemas.openxmlformats.org/drawingml/2006/main">
                <a:ext uri="{FF2B5EF4-FFF2-40B4-BE49-F238E27FC236}">
                  <a16:creationId xmlns:a16="http://schemas.microsoft.com/office/drawing/2014/main" id="{F6FD3008-5747-46BC-B3B3-3CBCCD9C3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02633A" w14:textId="56C92560" w:rsidR="005808B1" w:rsidRPr="00434B57" w:rsidRDefault="005808B1" w:rsidP="005808B1">
      <w:pPr>
        <w:pStyle w:val="ListParagraph"/>
        <w:numPr>
          <w:ilvl w:val="0"/>
          <w:numId w:val="10"/>
        </w:numPr>
        <w:spacing w:before="120"/>
        <w:ind w:left="714" w:hanging="357"/>
        <w:contextualSpacing w:val="0"/>
        <w:rPr>
          <w:b/>
          <w:bCs/>
          <w:sz w:val="24"/>
          <w:szCs w:val="24"/>
          <w:lang w:val="en-US"/>
        </w:rPr>
      </w:pPr>
      <w:r w:rsidRPr="004F19CF">
        <w:rPr>
          <w:b/>
          <w:bCs/>
          <w:sz w:val="24"/>
          <w:szCs w:val="24"/>
          <w:lang w:val="en-US"/>
        </w:rPr>
        <w:t>Māori children, and other children of non-</w:t>
      </w:r>
      <w:proofErr w:type="spellStart"/>
      <w:r w:rsidRPr="004F19CF">
        <w:rPr>
          <w:b/>
          <w:bCs/>
          <w:sz w:val="24"/>
          <w:szCs w:val="24"/>
          <w:lang w:val="en-US"/>
        </w:rPr>
        <w:t>Pākehā</w:t>
      </w:r>
      <w:proofErr w:type="spellEnd"/>
      <w:r w:rsidRPr="004F19CF">
        <w:rPr>
          <w:b/>
          <w:bCs/>
          <w:sz w:val="24"/>
          <w:szCs w:val="24"/>
          <w:lang w:val="en-US"/>
        </w:rPr>
        <w:t xml:space="preserve"> ethnicity, are even more likely than </w:t>
      </w:r>
      <w:proofErr w:type="spellStart"/>
      <w:r w:rsidRPr="004F19CF">
        <w:rPr>
          <w:b/>
          <w:bCs/>
          <w:sz w:val="24"/>
          <w:szCs w:val="24"/>
          <w:lang w:val="en-US"/>
        </w:rPr>
        <w:t>Pākehā</w:t>
      </w:r>
      <w:proofErr w:type="spellEnd"/>
      <w:r w:rsidRPr="004F19CF">
        <w:rPr>
          <w:b/>
          <w:bCs/>
          <w:sz w:val="24"/>
          <w:szCs w:val="24"/>
          <w:lang w:val="en-US"/>
        </w:rPr>
        <w:t xml:space="preserve"> children to experience </w:t>
      </w:r>
      <w:r>
        <w:rPr>
          <w:b/>
          <w:bCs/>
          <w:sz w:val="24"/>
          <w:szCs w:val="24"/>
          <w:lang w:val="en-US"/>
        </w:rPr>
        <w:t xml:space="preserve">income </w:t>
      </w:r>
      <w:r w:rsidRPr="004F19CF">
        <w:rPr>
          <w:b/>
          <w:bCs/>
          <w:sz w:val="24"/>
          <w:szCs w:val="24"/>
          <w:lang w:val="en-US"/>
        </w:rPr>
        <w:t>poverty</w:t>
      </w:r>
      <w:r>
        <w:rPr>
          <w:b/>
          <w:bCs/>
          <w:sz w:val="24"/>
          <w:szCs w:val="24"/>
          <w:lang w:val="en-US"/>
        </w:rPr>
        <w:t xml:space="preserve"> </w:t>
      </w:r>
      <w:r>
        <w:rPr>
          <w:sz w:val="24"/>
          <w:szCs w:val="24"/>
          <w:lang w:val="en-US"/>
        </w:rPr>
        <w:t xml:space="preserve">(Fig 2; rates for </w:t>
      </w:r>
      <w:r w:rsidRPr="004F19CF">
        <w:rPr>
          <w:sz w:val="24"/>
          <w:szCs w:val="24"/>
          <w:lang w:val="en-US"/>
        </w:rPr>
        <w:t xml:space="preserve">MELAA </w:t>
      </w:r>
      <w:r>
        <w:rPr>
          <w:sz w:val="24"/>
          <w:szCs w:val="24"/>
          <w:lang w:val="en-US"/>
        </w:rPr>
        <w:t>&amp; “</w:t>
      </w:r>
      <w:r w:rsidRPr="004F19CF">
        <w:rPr>
          <w:sz w:val="24"/>
          <w:szCs w:val="24"/>
          <w:lang w:val="en-US"/>
        </w:rPr>
        <w:t>other</w:t>
      </w:r>
      <w:r>
        <w:rPr>
          <w:sz w:val="24"/>
          <w:szCs w:val="24"/>
          <w:lang w:val="en-US"/>
        </w:rPr>
        <w:t>”</w:t>
      </w:r>
      <w:r w:rsidRPr="004F19CF">
        <w:rPr>
          <w:sz w:val="24"/>
          <w:szCs w:val="24"/>
          <w:lang w:val="en-US"/>
        </w:rPr>
        <w:t xml:space="preserve"> ethnicities </w:t>
      </w:r>
      <w:r>
        <w:rPr>
          <w:sz w:val="24"/>
          <w:szCs w:val="24"/>
          <w:lang w:val="en-US"/>
        </w:rPr>
        <w:t xml:space="preserve">are likely highest but </w:t>
      </w:r>
      <w:r w:rsidRPr="004F19CF">
        <w:rPr>
          <w:sz w:val="24"/>
          <w:szCs w:val="24"/>
          <w:lang w:val="en-US"/>
        </w:rPr>
        <w:t xml:space="preserve">not shown, as sampling error is </w:t>
      </w:r>
      <w:r>
        <w:rPr>
          <w:sz w:val="24"/>
          <w:szCs w:val="24"/>
          <w:lang w:val="en-US"/>
        </w:rPr>
        <w:t xml:space="preserve">very </w:t>
      </w:r>
      <w:r w:rsidRPr="004F19CF">
        <w:rPr>
          <w:sz w:val="24"/>
          <w:szCs w:val="24"/>
          <w:lang w:val="en-US"/>
        </w:rPr>
        <w:t>high).</w:t>
      </w:r>
      <w:r w:rsidRPr="004F19CF">
        <w:rPr>
          <w:b/>
          <w:bCs/>
          <w:sz w:val="24"/>
          <w:szCs w:val="24"/>
          <w:lang w:val="en-US"/>
        </w:rPr>
        <w:t xml:space="preserve"> </w:t>
      </w:r>
      <w:r w:rsidRPr="004F19CF">
        <w:rPr>
          <w:sz w:val="24"/>
          <w:szCs w:val="24"/>
          <w:lang w:val="en-US"/>
        </w:rPr>
        <w:t xml:space="preserve">For Māori, this is an effect of multiple, ongoing breaches of </w:t>
      </w:r>
      <w:proofErr w:type="spellStart"/>
      <w:r w:rsidR="00A05E30">
        <w:rPr>
          <w:sz w:val="24"/>
          <w:szCs w:val="24"/>
          <w:lang w:val="en-US"/>
        </w:rPr>
        <w:t>T</w:t>
      </w:r>
      <w:r w:rsidRPr="004F19CF">
        <w:rPr>
          <w:sz w:val="24"/>
          <w:szCs w:val="24"/>
          <w:lang w:val="en-US"/>
        </w:rPr>
        <w:t>e</w:t>
      </w:r>
      <w:proofErr w:type="spellEnd"/>
      <w:r w:rsidRPr="004F19CF">
        <w:rPr>
          <w:sz w:val="24"/>
          <w:szCs w:val="24"/>
          <w:lang w:val="en-US"/>
        </w:rPr>
        <w:t xml:space="preserve"> </w:t>
      </w:r>
      <w:proofErr w:type="spellStart"/>
      <w:r w:rsidRPr="004F19CF">
        <w:rPr>
          <w:sz w:val="24"/>
          <w:szCs w:val="24"/>
          <w:lang w:val="en-US"/>
        </w:rPr>
        <w:t>Tiriti</w:t>
      </w:r>
      <w:proofErr w:type="spellEnd"/>
      <w:r w:rsidRPr="004F19CF">
        <w:rPr>
          <w:sz w:val="24"/>
          <w:szCs w:val="24"/>
          <w:lang w:val="en-US"/>
        </w:rPr>
        <w:t xml:space="preserve"> o Waitangi. For others as well as Māori, </w:t>
      </w:r>
      <w:r>
        <w:rPr>
          <w:sz w:val="24"/>
          <w:szCs w:val="24"/>
          <w:lang w:val="en-US"/>
        </w:rPr>
        <w:t xml:space="preserve">it is an </w:t>
      </w:r>
      <w:r w:rsidR="00EF692C">
        <w:rPr>
          <w:sz w:val="24"/>
          <w:szCs w:val="24"/>
          <w:lang w:val="en-US"/>
        </w:rPr>
        <w:t xml:space="preserve">issue of systemic discrimination and has effects on </w:t>
      </w:r>
      <w:r>
        <w:rPr>
          <w:sz w:val="24"/>
          <w:szCs w:val="24"/>
          <w:lang w:val="en-US"/>
        </w:rPr>
        <w:t xml:space="preserve">equity: </w:t>
      </w:r>
      <w:r w:rsidRPr="004F19CF">
        <w:rPr>
          <w:sz w:val="24"/>
          <w:szCs w:val="24"/>
          <w:lang w:val="en-US"/>
        </w:rPr>
        <w:t xml:space="preserve">entire communities </w:t>
      </w:r>
      <w:r>
        <w:rPr>
          <w:sz w:val="24"/>
          <w:szCs w:val="24"/>
          <w:lang w:val="en-US"/>
        </w:rPr>
        <w:t>will bear the burden of the potential lost due to poverty-impacted health and educational outcomes</w:t>
      </w:r>
      <w:r w:rsidRPr="004F19CF">
        <w:rPr>
          <w:sz w:val="24"/>
          <w:szCs w:val="24"/>
          <w:lang w:val="en-US"/>
        </w:rPr>
        <w:t>.</w:t>
      </w:r>
      <w:r>
        <w:rPr>
          <w:sz w:val="24"/>
          <w:szCs w:val="24"/>
          <w:lang w:val="en-US"/>
        </w:rPr>
        <w:t xml:space="preserve"> </w:t>
      </w:r>
    </w:p>
    <w:p w14:paraId="73A56E80" w14:textId="64BAB16B" w:rsidR="005808B1" w:rsidRPr="00434B57" w:rsidRDefault="005808B1" w:rsidP="005808B1">
      <w:pPr>
        <w:pStyle w:val="ListParagraph"/>
        <w:numPr>
          <w:ilvl w:val="0"/>
          <w:numId w:val="10"/>
        </w:numPr>
        <w:rPr>
          <w:b/>
          <w:bCs/>
          <w:sz w:val="24"/>
          <w:szCs w:val="24"/>
          <w:lang w:val="en-US"/>
        </w:rPr>
      </w:pPr>
      <w:r w:rsidRPr="00434B57">
        <w:rPr>
          <w:b/>
          <w:bCs/>
          <w:sz w:val="24"/>
          <w:szCs w:val="24"/>
          <w:lang w:val="en-US"/>
        </w:rPr>
        <w:t>Proportionally far more Pacific and Māori children suffer material hardship</w:t>
      </w:r>
      <w:r>
        <w:rPr>
          <w:sz w:val="24"/>
          <w:szCs w:val="24"/>
          <w:lang w:val="en-US"/>
        </w:rPr>
        <w:t xml:space="preserve"> than Asian and </w:t>
      </w:r>
      <w:proofErr w:type="spellStart"/>
      <w:r>
        <w:rPr>
          <w:sz w:val="24"/>
          <w:szCs w:val="24"/>
          <w:lang w:val="en-US"/>
        </w:rPr>
        <w:t>Pākehā</w:t>
      </w:r>
      <w:proofErr w:type="spellEnd"/>
      <w:r>
        <w:rPr>
          <w:sz w:val="24"/>
          <w:szCs w:val="24"/>
          <w:lang w:val="en-US"/>
        </w:rPr>
        <w:t xml:space="preserve"> children (Fig 3; MELAA rates are unclear). Pacific children suffer severe hardship</w:t>
      </w:r>
      <w:r w:rsidR="00E65AEA">
        <w:rPr>
          <w:sz w:val="24"/>
          <w:szCs w:val="24"/>
          <w:lang w:val="en-US"/>
        </w:rPr>
        <w:t xml:space="preserve"> (as defined by </w:t>
      </w:r>
      <w:proofErr w:type="spellStart"/>
      <w:r w:rsidR="00E65AEA">
        <w:rPr>
          <w:sz w:val="24"/>
          <w:szCs w:val="24"/>
          <w:lang w:val="en-US"/>
        </w:rPr>
        <w:t>StatsNZ</w:t>
      </w:r>
      <w:proofErr w:type="spellEnd"/>
      <w:r w:rsidR="00E65AEA">
        <w:rPr>
          <w:sz w:val="24"/>
          <w:szCs w:val="24"/>
          <w:lang w:val="en-US"/>
        </w:rPr>
        <w:t>)</w:t>
      </w:r>
      <w:r>
        <w:rPr>
          <w:sz w:val="24"/>
          <w:szCs w:val="24"/>
          <w:lang w:val="en-US"/>
        </w:rPr>
        <w:t xml:space="preserve"> at </w:t>
      </w:r>
      <w:r w:rsidR="00EF692C">
        <w:rPr>
          <w:sz w:val="24"/>
          <w:szCs w:val="24"/>
          <w:lang w:val="en-US"/>
        </w:rPr>
        <w:t>4</w:t>
      </w:r>
      <w:r>
        <w:rPr>
          <w:sz w:val="24"/>
          <w:szCs w:val="24"/>
          <w:lang w:val="en-US"/>
        </w:rPr>
        <w:t xml:space="preserve"> times the rate of the national average.</w:t>
      </w:r>
    </w:p>
    <w:p w14:paraId="2C8D1AD0" w14:textId="77777777" w:rsidR="005808B1" w:rsidRPr="00434B57" w:rsidRDefault="005808B1" w:rsidP="005808B1">
      <w:pPr>
        <w:rPr>
          <w:b/>
          <w:bCs/>
          <w:sz w:val="24"/>
          <w:szCs w:val="24"/>
          <w:lang w:val="en-US"/>
        </w:rPr>
      </w:pPr>
      <w:r>
        <w:rPr>
          <w:noProof/>
          <w:lang w:eastAsia="en-NZ"/>
        </w:rPr>
        <mc:AlternateContent>
          <mc:Choice Requires="wps">
            <w:drawing>
              <wp:anchor distT="0" distB="0" distL="114300" distR="114300" simplePos="0" relativeHeight="251696639" behindDoc="0" locked="0" layoutInCell="1" allowOverlap="1" wp14:anchorId="3230F526" wp14:editId="1B39775E">
                <wp:simplePos x="0" y="0"/>
                <wp:positionH relativeFrom="column">
                  <wp:posOffset>3355340</wp:posOffset>
                </wp:positionH>
                <wp:positionV relativeFrom="paragraph">
                  <wp:posOffset>20440</wp:posOffset>
                </wp:positionV>
                <wp:extent cx="2584174" cy="6679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84174" cy="667909"/>
                        </a:xfrm>
                        <a:prstGeom prst="rect">
                          <a:avLst/>
                        </a:prstGeom>
                        <a:noFill/>
                        <a:ln w="6350">
                          <a:noFill/>
                        </a:ln>
                      </wps:spPr>
                      <wps:txbx>
                        <w:txbxContent>
                          <w:p w14:paraId="703C0BB3" w14:textId="6E2CD3B2" w:rsidR="00484E2D" w:rsidRPr="00532AB2" w:rsidRDefault="00484E2D" w:rsidP="005808B1">
                            <w:pPr>
                              <w:spacing w:line="240" w:lineRule="auto"/>
                              <w:jc w:val="center"/>
                              <w:rPr>
                                <w:b/>
                                <w:bCs/>
                                <w:sz w:val="20"/>
                                <w:szCs w:val="20"/>
                              </w:rPr>
                            </w:pPr>
                            <w:r w:rsidRPr="003653CE">
                              <w:rPr>
                                <w:b/>
                                <w:bCs/>
                                <w:sz w:val="20"/>
                                <w:szCs w:val="20"/>
                              </w:rPr>
                              <w:t xml:space="preserve">Fig </w:t>
                            </w:r>
                            <w:r w:rsidRPr="00532AB2">
                              <w:rPr>
                                <w:b/>
                                <w:bCs/>
                                <w:sz w:val="20"/>
                                <w:szCs w:val="20"/>
                              </w:rPr>
                              <w:t xml:space="preserve">3: The </w:t>
                            </w:r>
                            <w:r w:rsidRPr="003653CE">
                              <w:rPr>
                                <w:b/>
                                <w:bCs/>
                                <w:sz w:val="20"/>
                                <w:szCs w:val="20"/>
                              </w:rPr>
                              <w:t>three</w:t>
                            </w:r>
                            <w:r w:rsidRPr="00532AB2">
                              <w:rPr>
                                <w:b/>
                                <w:bCs/>
                                <w:sz w:val="20"/>
                                <w:szCs w:val="20"/>
                              </w:rPr>
                              <w:t xml:space="preserve"> </w:t>
                            </w:r>
                            <w:r w:rsidRPr="003653CE">
                              <w:rPr>
                                <w:b/>
                                <w:bCs/>
                                <w:sz w:val="20"/>
                                <w:szCs w:val="20"/>
                              </w:rPr>
                              <w:t xml:space="preserve">official </w:t>
                            </w:r>
                            <w:r w:rsidRPr="00532AB2">
                              <w:rPr>
                                <w:b/>
                                <w:bCs/>
                                <w:sz w:val="20"/>
                                <w:szCs w:val="20"/>
                              </w:rPr>
                              <w:t xml:space="preserve">material hardship measures for children, by ethnicity, </w:t>
                            </w:r>
                            <w:r w:rsidRPr="003653CE">
                              <w:rPr>
                                <w:b/>
                                <w:bCs/>
                                <w:sz w:val="20"/>
                                <w:szCs w:val="20"/>
                              </w:rPr>
                              <w:t xml:space="preserve">as a proportion of rate for </w:t>
                            </w:r>
                            <w:r w:rsidRPr="00532AB2">
                              <w:rPr>
                                <w:b/>
                                <w:bCs/>
                                <w:sz w:val="20"/>
                                <w:szCs w:val="20"/>
                              </w:rPr>
                              <w:t xml:space="preserve">Māori </w:t>
                            </w:r>
                            <w:r w:rsidRPr="003653CE">
                              <w:rPr>
                                <w:b/>
                                <w:bCs/>
                                <w:sz w:val="20"/>
                                <w:szCs w:val="20"/>
                              </w:rPr>
                              <w:t>(</w:t>
                            </w:r>
                            <w:r w:rsidRPr="00532AB2">
                              <w:rPr>
                                <w:b/>
                                <w:bCs/>
                                <w:sz w:val="20"/>
                                <w:szCs w:val="20"/>
                              </w:rPr>
                              <w:t>= 1)</w:t>
                            </w:r>
                            <w:r>
                              <w:rPr>
                                <w:b/>
                                <w:bCs/>
                                <w:sz w:val="20"/>
                                <w:szCs w:val="20"/>
                              </w:rPr>
                              <w:t>, 2019</w:t>
                            </w:r>
                          </w:p>
                          <w:p w14:paraId="4A99CB30" w14:textId="77777777" w:rsidR="00484E2D" w:rsidRDefault="00484E2D" w:rsidP="005808B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30F526" id="_x0000_t202" coordsize="21600,21600" o:spt="202" path="m,l,21600r21600,l21600,xe">
                <v:stroke joinstyle="miter"/>
                <v:path gradientshapeok="t" o:connecttype="rect"/>
              </v:shapetype>
              <v:shape id="Text Box 13" o:spid="_x0000_s1026" type="#_x0000_t202" style="position:absolute;margin-left:264.2pt;margin-top:1.6pt;width:203.5pt;height:52.6pt;z-index:2516966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" filled="f" stroked="f" strokeweight=".5pt">
                <v:textbox>
                  <w:txbxContent>
                    <w:p w14:paraId="703C0BB3" w14:textId="6E2CD3B2" w:rsidR="00484E2D" w:rsidRPr="00532AB2" w:rsidRDefault="00484E2D" w:rsidP="005808B1">
                      <w:pPr>
                        <w:spacing w:line="240" w:lineRule="auto"/>
                        <w:jc w:val="center"/>
                        <w:rPr>
                          <w:b/>
                          <w:bCs/>
                          <w:sz w:val="20"/>
                          <w:szCs w:val="20"/>
                        </w:rPr>
                      </w:pPr>
                      <w:r w:rsidRPr="003653CE">
                        <w:rPr>
                          <w:b/>
                          <w:bCs/>
                          <w:sz w:val="20"/>
                          <w:szCs w:val="20"/>
                        </w:rPr>
                        <w:t xml:space="preserve">Fig </w:t>
                      </w:r>
                      <w:r w:rsidRPr="00532AB2">
                        <w:rPr>
                          <w:b/>
                          <w:bCs/>
                          <w:sz w:val="20"/>
                          <w:szCs w:val="20"/>
                        </w:rPr>
                        <w:t xml:space="preserve">3: The </w:t>
                      </w:r>
                      <w:r w:rsidRPr="003653CE">
                        <w:rPr>
                          <w:b/>
                          <w:bCs/>
                          <w:sz w:val="20"/>
                          <w:szCs w:val="20"/>
                        </w:rPr>
                        <w:t>three</w:t>
                      </w:r>
                      <w:r w:rsidRPr="00532AB2">
                        <w:rPr>
                          <w:b/>
                          <w:bCs/>
                          <w:sz w:val="20"/>
                          <w:szCs w:val="20"/>
                        </w:rPr>
                        <w:t xml:space="preserve"> </w:t>
                      </w:r>
                      <w:r w:rsidRPr="003653CE">
                        <w:rPr>
                          <w:b/>
                          <w:bCs/>
                          <w:sz w:val="20"/>
                          <w:szCs w:val="20"/>
                        </w:rPr>
                        <w:t xml:space="preserve">official </w:t>
                      </w:r>
                      <w:r w:rsidRPr="00532AB2">
                        <w:rPr>
                          <w:b/>
                          <w:bCs/>
                          <w:sz w:val="20"/>
                          <w:szCs w:val="20"/>
                        </w:rPr>
                        <w:t xml:space="preserve">material hardship measures for children, by ethnicity, </w:t>
                      </w:r>
                      <w:r w:rsidRPr="003653CE">
                        <w:rPr>
                          <w:b/>
                          <w:bCs/>
                          <w:sz w:val="20"/>
                          <w:szCs w:val="20"/>
                        </w:rPr>
                        <w:t xml:space="preserve">as a proportion of rate for </w:t>
                      </w:r>
                      <w:r w:rsidRPr="00532AB2">
                        <w:rPr>
                          <w:b/>
                          <w:bCs/>
                          <w:sz w:val="20"/>
                          <w:szCs w:val="20"/>
                        </w:rPr>
                        <w:t xml:space="preserve">Māori </w:t>
                      </w:r>
                      <w:r w:rsidRPr="003653CE">
                        <w:rPr>
                          <w:b/>
                          <w:bCs/>
                          <w:sz w:val="20"/>
                          <w:szCs w:val="20"/>
                        </w:rPr>
                        <w:t>(</w:t>
                      </w:r>
                      <w:r w:rsidRPr="00532AB2">
                        <w:rPr>
                          <w:b/>
                          <w:bCs/>
                          <w:sz w:val="20"/>
                          <w:szCs w:val="20"/>
                        </w:rPr>
                        <w:t>= 1)</w:t>
                      </w:r>
                      <w:r>
                        <w:rPr>
                          <w:b/>
                          <w:bCs/>
                          <w:sz w:val="20"/>
                          <w:szCs w:val="20"/>
                        </w:rPr>
                        <w:t>, 2019</w:t>
                      </w:r>
                    </w:p>
                    <w:p w14:paraId="4A99CB30" w14:textId="77777777" w:rsidR="00484E2D" w:rsidRDefault="00484E2D" w:rsidP="005808B1">
                      <w:pPr>
                        <w:jc w:val="center"/>
                      </w:pPr>
                    </w:p>
                  </w:txbxContent>
                </v:textbox>
              </v:shape>
            </w:pict>
          </mc:Fallback>
        </mc:AlternateContent>
      </w:r>
      <w:r>
        <w:rPr>
          <w:noProof/>
          <w:lang w:eastAsia="en-NZ"/>
        </w:rPr>
        <mc:AlternateContent>
          <mc:Choice Requires="wps">
            <w:drawing>
              <wp:anchor distT="0" distB="0" distL="114300" distR="114300" simplePos="0" relativeHeight="251695615" behindDoc="0" locked="0" layoutInCell="1" allowOverlap="1" wp14:anchorId="06A50C58" wp14:editId="04D7527B">
                <wp:simplePos x="0" y="0"/>
                <wp:positionH relativeFrom="margin">
                  <wp:align>left</wp:align>
                </wp:positionH>
                <wp:positionV relativeFrom="paragraph">
                  <wp:posOffset>12528</wp:posOffset>
                </wp:positionV>
                <wp:extent cx="3352800" cy="66790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52800" cy="667909"/>
                        </a:xfrm>
                        <a:prstGeom prst="rect">
                          <a:avLst/>
                        </a:prstGeom>
                        <a:noFill/>
                        <a:ln w="6350">
                          <a:noFill/>
                        </a:ln>
                      </wps:spPr>
                      <wps:txbx>
                        <w:txbxContent>
                          <w:p w14:paraId="0914BF57" w14:textId="050FF1FB" w:rsidR="00484E2D" w:rsidRPr="00532AB2" w:rsidRDefault="00484E2D" w:rsidP="005808B1">
                            <w:pPr>
                              <w:spacing w:line="240" w:lineRule="auto"/>
                              <w:jc w:val="center"/>
                              <w:rPr>
                                <w:b/>
                                <w:bCs/>
                                <w:sz w:val="20"/>
                                <w:szCs w:val="20"/>
                              </w:rPr>
                            </w:pPr>
                            <w:r w:rsidRPr="00532AB2">
                              <w:rPr>
                                <w:b/>
                                <w:bCs/>
                                <w:sz w:val="20"/>
                                <w:szCs w:val="20"/>
                              </w:rPr>
                              <w:t>Fig 2: The six official income poverty measures for children, by ethnicity, as a proportion of rate for Māori (= 1)</w:t>
                            </w:r>
                            <w:r>
                              <w:rPr>
                                <w:b/>
                                <w:bCs/>
                                <w:sz w:val="20"/>
                                <w:szCs w:val="20"/>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50C58" id="Text Box 12" o:spid="_x0000_s1027" type="#_x0000_t202" style="position:absolute;margin-left:0;margin-top:1pt;width:264pt;height:52.6pt;z-index:25169561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" filled="f" stroked="f" strokeweight=".5pt">
                <v:textbox>
                  <w:txbxContent>
                    <w:p w14:paraId="0914BF57" w14:textId="050FF1FB" w:rsidR="00484E2D" w:rsidRPr="00532AB2" w:rsidRDefault="00484E2D" w:rsidP="005808B1">
                      <w:pPr>
                        <w:spacing w:line="240" w:lineRule="auto"/>
                        <w:jc w:val="center"/>
                        <w:rPr>
                          <w:b/>
                          <w:bCs/>
                          <w:sz w:val="20"/>
                          <w:szCs w:val="20"/>
                        </w:rPr>
                      </w:pPr>
                      <w:r w:rsidRPr="00532AB2">
                        <w:rPr>
                          <w:b/>
                          <w:bCs/>
                          <w:sz w:val="20"/>
                          <w:szCs w:val="20"/>
                        </w:rPr>
                        <w:t>Fig 2: The six official income poverty measures for children, by ethnicity, as a proportion of rate for Māori (= 1)</w:t>
                      </w:r>
                      <w:r>
                        <w:rPr>
                          <w:b/>
                          <w:bCs/>
                          <w:sz w:val="20"/>
                          <w:szCs w:val="20"/>
                        </w:rPr>
                        <w:t>, 2019</w:t>
                      </w:r>
                    </w:p>
                  </w:txbxContent>
                </v:textbox>
                <w10:wrap anchorx="margin"/>
              </v:shape>
            </w:pict>
          </mc:Fallback>
        </mc:AlternateContent>
      </w:r>
    </w:p>
    <w:p w14:paraId="4D29E21E" w14:textId="0973C322" w:rsidR="00EF30D2" w:rsidRDefault="005808B1" w:rsidP="00271AF2">
      <w:pPr>
        <w:pStyle w:val="ListParagraph"/>
        <w:ind w:left="0"/>
        <w:contextualSpacing w:val="0"/>
        <w:rPr>
          <w:i/>
          <w:iCs/>
          <w:sz w:val="20"/>
          <w:szCs w:val="20"/>
          <w:lang w:val="en-US"/>
        </w:rPr>
      </w:pPr>
      <w:r w:rsidRPr="00AD6340">
        <w:rPr>
          <w:i/>
          <w:iCs/>
          <w:noProof/>
          <w:sz w:val="20"/>
          <w:szCs w:val="20"/>
          <w:lang w:eastAsia="en-NZ"/>
        </w:rPr>
        <w:drawing>
          <wp:inline distT="0" distB="0" distL="0" distR="0" wp14:anchorId="5383E93C" wp14:editId="0697979D">
            <wp:extent cx="3299460" cy="2434856"/>
            <wp:effectExtent l="0" t="0" r="0" b="3810"/>
            <wp:docPr id="7" name="Chart 7">
              <a:extLst xmlns:a="http://schemas.openxmlformats.org/drawingml/2006/main">
                <a:ext uri="{FF2B5EF4-FFF2-40B4-BE49-F238E27FC236}">
                  <a16:creationId xmlns:a16="http://schemas.microsoft.com/office/drawing/2014/main" id="{7A2F8347-69D3-4E27-B075-8CC22E5937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D6340">
        <w:rPr>
          <w:noProof/>
        </w:rPr>
        <w:t xml:space="preserve"> </w:t>
      </w:r>
      <w:r>
        <w:rPr>
          <w:noProof/>
          <w:lang w:eastAsia="en-NZ"/>
        </w:rPr>
        <w:drawing>
          <wp:inline distT="0" distB="0" distL="0" distR="0" wp14:anchorId="00A01C55" wp14:editId="196BA87F">
            <wp:extent cx="2299335" cy="2402958"/>
            <wp:effectExtent l="0" t="0" r="5715" b="0"/>
            <wp:docPr id="11" name="Chart 11">
              <a:extLst xmlns:a="http://schemas.openxmlformats.org/drawingml/2006/main">
                <a:ext uri="{FF2B5EF4-FFF2-40B4-BE49-F238E27FC236}">
                  <a16:creationId xmlns:a16="http://schemas.microsoft.com/office/drawing/2014/main" id="{7096FC4C-7CCF-4BD1-9454-DE5171208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D6340">
        <w:rPr>
          <w:i/>
          <w:iCs/>
          <w:sz w:val="20"/>
          <w:szCs w:val="20"/>
          <w:lang w:val="en-US"/>
        </w:rPr>
        <w:br/>
      </w:r>
      <w:r>
        <w:rPr>
          <w:i/>
          <w:iCs/>
          <w:sz w:val="20"/>
          <w:szCs w:val="20"/>
          <w:lang w:val="en-US"/>
        </w:rPr>
        <w:t xml:space="preserve"> </w:t>
      </w:r>
      <w:r>
        <w:rPr>
          <w:i/>
          <w:iCs/>
          <w:sz w:val="20"/>
          <w:szCs w:val="20"/>
          <w:lang w:val="en-US"/>
        </w:rPr>
        <w:tab/>
      </w:r>
      <w:r w:rsidRPr="00AD6340">
        <w:rPr>
          <w:i/>
          <w:iCs/>
          <w:sz w:val="20"/>
          <w:szCs w:val="20"/>
          <w:lang w:val="en-US"/>
        </w:rPr>
        <w:t xml:space="preserve">Source: </w:t>
      </w:r>
      <w:proofErr w:type="spellStart"/>
      <w:r w:rsidRPr="00AD6340">
        <w:rPr>
          <w:i/>
          <w:iCs/>
          <w:sz w:val="20"/>
          <w:szCs w:val="20"/>
          <w:lang w:val="en-US"/>
        </w:rPr>
        <w:t>StatsNZ</w:t>
      </w:r>
      <w:proofErr w:type="spellEnd"/>
      <w:r w:rsidRPr="00AD6340">
        <w:rPr>
          <w:i/>
          <w:iCs/>
          <w:sz w:val="20"/>
          <w:szCs w:val="20"/>
          <w:lang w:val="en-US"/>
        </w:rPr>
        <w:t xml:space="preserve"> (2020)</w:t>
      </w:r>
      <w:r w:rsidR="00EF30D2">
        <w:rPr>
          <w:i/>
          <w:iCs/>
          <w:sz w:val="20"/>
          <w:szCs w:val="20"/>
          <w:lang w:val="en-US"/>
        </w:rPr>
        <w:br w:type="page"/>
      </w:r>
    </w:p>
    <w:p w14:paraId="5AD46673" w14:textId="4ED174C5" w:rsidR="00EF30D2" w:rsidRPr="001F5A9C" w:rsidRDefault="00EF30D2" w:rsidP="00EF30D2">
      <w:pPr>
        <w:pStyle w:val="Heading1"/>
        <w:spacing w:before="0" w:after="240"/>
        <w:rPr>
          <w:color w:val="538135" w:themeColor="accent6" w:themeShade="BF"/>
          <w:sz w:val="30"/>
          <w:szCs w:val="30"/>
          <w:lang w:val="en-US"/>
        </w:rPr>
      </w:pPr>
      <w:bookmarkStart w:id="2" w:name="_Appendix_3:_Since"/>
      <w:bookmarkEnd w:id="2"/>
      <w:r w:rsidRPr="001F5A9C">
        <w:rPr>
          <w:color w:val="538135" w:themeColor="accent6" w:themeShade="BF"/>
          <w:sz w:val="30"/>
          <w:szCs w:val="30"/>
          <w:lang w:val="en-US"/>
        </w:rPr>
        <w:lastRenderedPageBreak/>
        <w:t xml:space="preserve">Appendix 3: Since </w:t>
      </w:r>
      <w:r w:rsidRPr="001F5A9C">
        <w:rPr>
          <w:b/>
          <w:bCs/>
          <w:color w:val="538135" w:themeColor="accent6" w:themeShade="BF"/>
          <w:sz w:val="30"/>
          <w:szCs w:val="30"/>
          <w:lang w:val="en-US"/>
        </w:rPr>
        <w:t xml:space="preserve">COVID-19 </w:t>
      </w:r>
      <w:r w:rsidRPr="001F5A9C">
        <w:rPr>
          <w:color w:val="538135" w:themeColor="accent6" w:themeShade="BF"/>
          <w:sz w:val="30"/>
          <w:szCs w:val="30"/>
          <w:lang w:val="en-US"/>
        </w:rPr>
        <w:t xml:space="preserve">hit, rates of child poverty will have </w:t>
      </w:r>
      <w:r w:rsidRPr="001F5A9C">
        <w:rPr>
          <w:b/>
          <w:bCs/>
          <w:color w:val="538135" w:themeColor="accent6" w:themeShade="BF"/>
          <w:sz w:val="30"/>
          <w:szCs w:val="30"/>
          <w:lang w:val="en-US"/>
        </w:rPr>
        <w:t>increased</w:t>
      </w:r>
      <w:r w:rsidRPr="001F5A9C">
        <w:rPr>
          <w:color w:val="538135" w:themeColor="accent6" w:themeShade="BF"/>
          <w:sz w:val="30"/>
          <w:szCs w:val="30"/>
          <w:lang w:val="en-US"/>
        </w:rPr>
        <w:t>;</w:t>
      </w:r>
      <w:r w:rsidRPr="001F5A9C">
        <w:rPr>
          <w:color w:val="538135" w:themeColor="accent6" w:themeShade="BF"/>
          <w:sz w:val="30"/>
          <w:szCs w:val="30"/>
          <w:lang w:val="en-US"/>
        </w:rPr>
        <w:br/>
        <w:t>Reports indicate many already in poverty are in dire</w:t>
      </w:r>
      <w:r w:rsidRPr="001F5A9C">
        <w:rPr>
          <w:b/>
          <w:bCs/>
          <w:color w:val="538135" w:themeColor="accent6" w:themeShade="BF"/>
          <w:sz w:val="30"/>
          <w:szCs w:val="30"/>
          <w:lang w:val="en-US"/>
        </w:rPr>
        <w:t xml:space="preserve"> </w:t>
      </w:r>
      <w:r w:rsidRPr="001F5A9C">
        <w:rPr>
          <w:color w:val="538135" w:themeColor="accent6" w:themeShade="BF"/>
          <w:sz w:val="30"/>
          <w:szCs w:val="30"/>
          <w:lang w:val="en-US"/>
        </w:rPr>
        <w:t>situations</w:t>
      </w:r>
    </w:p>
    <w:p w14:paraId="3C05451E" w14:textId="726C90B2" w:rsidR="009D6781" w:rsidRPr="009D6781" w:rsidRDefault="00F01239" w:rsidP="005F4723">
      <w:pPr>
        <w:pStyle w:val="ListParagraph"/>
        <w:numPr>
          <w:ilvl w:val="0"/>
          <w:numId w:val="12"/>
        </w:numPr>
        <w:ind w:left="714" w:hanging="357"/>
        <w:contextualSpacing w:val="0"/>
        <w:rPr>
          <w:b/>
          <w:bCs/>
          <w:sz w:val="20"/>
          <w:szCs w:val="20"/>
          <w:lang w:val="en-US"/>
        </w:rPr>
      </w:pPr>
      <w:r w:rsidRPr="008563FB">
        <w:rPr>
          <w:b/>
          <w:bCs/>
          <w:sz w:val="24"/>
          <w:szCs w:val="24"/>
          <w:lang w:val="en-US"/>
        </w:rPr>
        <w:t>Material hardship</w:t>
      </w:r>
      <w:r>
        <w:rPr>
          <w:sz w:val="24"/>
          <w:szCs w:val="24"/>
          <w:lang w:val="en-US"/>
        </w:rPr>
        <w:t xml:space="preserve"> rates </w:t>
      </w:r>
      <w:r w:rsidR="008563FB">
        <w:rPr>
          <w:sz w:val="24"/>
          <w:szCs w:val="24"/>
          <w:lang w:val="en-US"/>
        </w:rPr>
        <w:t>are expected to</w:t>
      </w:r>
      <w:r>
        <w:rPr>
          <w:sz w:val="24"/>
          <w:szCs w:val="24"/>
          <w:lang w:val="en-US"/>
        </w:rPr>
        <w:t xml:space="preserve"> have increased sharply for children</w:t>
      </w:r>
      <w:r w:rsidR="008563FB">
        <w:rPr>
          <w:sz w:val="24"/>
          <w:szCs w:val="24"/>
          <w:lang w:val="en-US"/>
        </w:rPr>
        <w:t xml:space="preserve"> </w:t>
      </w:r>
      <w:r w:rsidR="008563FB">
        <w:rPr>
          <w:rFonts w:cstheme="minorHAnsi"/>
          <w:sz w:val="24"/>
          <w:szCs w:val="24"/>
        </w:rPr>
        <w:t xml:space="preserve">(Treasury, 2020, p21; </w:t>
      </w:r>
      <w:r w:rsidR="009A6ACE">
        <w:rPr>
          <w:rFonts w:cstheme="minorHAnsi"/>
          <w:sz w:val="24"/>
          <w:szCs w:val="24"/>
        </w:rPr>
        <w:t>Ward</w:t>
      </w:r>
      <w:r w:rsidR="008563FB">
        <w:rPr>
          <w:rFonts w:cstheme="minorHAnsi"/>
          <w:sz w:val="24"/>
          <w:szCs w:val="24"/>
        </w:rPr>
        <w:t>, 2020, p.7)</w:t>
      </w:r>
      <w:r>
        <w:rPr>
          <w:sz w:val="24"/>
          <w:szCs w:val="24"/>
          <w:lang w:val="en-US"/>
        </w:rPr>
        <w:t>, and income poverty rates (AHC, 50%, fixed line measure) will also have increased</w:t>
      </w:r>
      <w:r w:rsidR="008563FB">
        <w:rPr>
          <w:sz w:val="24"/>
          <w:szCs w:val="24"/>
          <w:lang w:val="en-US"/>
        </w:rPr>
        <w:t xml:space="preserve">  since the onset of the COVID-19 pandemic</w:t>
      </w:r>
      <w:r>
        <w:rPr>
          <w:sz w:val="24"/>
          <w:szCs w:val="24"/>
          <w:lang w:val="en-US"/>
        </w:rPr>
        <w:t>, although it is unclear how much they’ve increased by</w:t>
      </w:r>
      <w:r w:rsidR="005F4723">
        <w:rPr>
          <w:sz w:val="24"/>
          <w:szCs w:val="24"/>
          <w:lang w:val="en-US"/>
        </w:rPr>
        <w:t>: while</w:t>
      </w:r>
      <w:r>
        <w:rPr>
          <w:sz w:val="24"/>
          <w:szCs w:val="24"/>
          <w:lang w:val="en-US"/>
        </w:rPr>
        <w:t xml:space="preserve"> the unemployment rate is lower than expected</w:t>
      </w:r>
      <w:r w:rsidR="005F4723">
        <w:rPr>
          <w:sz w:val="24"/>
          <w:szCs w:val="24"/>
          <w:lang w:val="en-US"/>
        </w:rPr>
        <w:t xml:space="preserve">, the number of children in households receiving benefits increased </w:t>
      </w:r>
      <w:r w:rsidR="008563FB">
        <w:rPr>
          <w:sz w:val="24"/>
          <w:szCs w:val="24"/>
          <w:lang w:val="en-US"/>
        </w:rPr>
        <w:t xml:space="preserve">by </w:t>
      </w:r>
      <w:r w:rsidR="005F4723">
        <w:rPr>
          <w:sz w:val="24"/>
          <w:szCs w:val="24"/>
          <w:lang w:val="en-US"/>
        </w:rPr>
        <w:t>23,767 (12.6%) in the year to December 2020 to 211,165, and is now the highest since records began in September 2013 (MSD, 2020; 201</w:t>
      </w:r>
      <w:r w:rsidR="00D21BC7">
        <w:rPr>
          <w:sz w:val="24"/>
          <w:szCs w:val="24"/>
          <w:lang w:val="en-US"/>
        </w:rPr>
        <w:t>8b</w:t>
      </w:r>
      <w:r w:rsidR="005F4723">
        <w:rPr>
          <w:sz w:val="24"/>
          <w:szCs w:val="24"/>
          <w:lang w:val="en-US"/>
        </w:rPr>
        <w:t>)</w:t>
      </w:r>
      <w:r>
        <w:rPr>
          <w:sz w:val="24"/>
          <w:szCs w:val="24"/>
          <w:lang w:val="en-US"/>
        </w:rPr>
        <w:t xml:space="preserve">. </w:t>
      </w:r>
      <w:r w:rsidR="008248B9">
        <w:rPr>
          <w:sz w:val="24"/>
          <w:szCs w:val="24"/>
          <w:lang w:val="en-US"/>
        </w:rPr>
        <w:t>I</w:t>
      </w:r>
      <w:r w:rsidR="008248B9" w:rsidRPr="008248B9">
        <w:rPr>
          <w:sz w:val="24"/>
          <w:szCs w:val="24"/>
          <w:lang w:val="en-US"/>
        </w:rPr>
        <w:t xml:space="preserve">t is </w:t>
      </w:r>
      <w:r w:rsidR="008248B9">
        <w:rPr>
          <w:sz w:val="24"/>
          <w:szCs w:val="24"/>
          <w:lang w:val="en-US"/>
        </w:rPr>
        <w:t xml:space="preserve">also a </w:t>
      </w:r>
      <w:r w:rsidR="008248B9" w:rsidRPr="008248B9">
        <w:rPr>
          <w:sz w:val="24"/>
          <w:szCs w:val="24"/>
          <w:lang w:val="en-US"/>
        </w:rPr>
        <w:t xml:space="preserve">concern that Māori and Pacific unemployment rates </w:t>
      </w:r>
      <w:r w:rsidR="008248B9">
        <w:rPr>
          <w:sz w:val="24"/>
          <w:szCs w:val="24"/>
          <w:lang w:val="en-US"/>
        </w:rPr>
        <w:t>have increased (from 8.4% to 9% for M</w:t>
      </w:r>
      <w:proofErr w:type="spellStart"/>
      <w:r w:rsidR="008248B9">
        <w:rPr>
          <w:sz w:val="24"/>
          <w:szCs w:val="24"/>
          <w:lang w:val="mi-NZ"/>
        </w:rPr>
        <w:t>āori</w:t>
      </w:r>
      <w:proofErr w:type="spellEnd"/>
      <w:r w:rsidR="008248B9" w:rsidRPr="008248B9">
        <w:rPr>
          <w:sz w:val="24"/>
          <w:szCs w:val="24"/>
          <w:lang w:val="en-US"/>
        </w:rPr>
        <w:t xml:space="preserve">, </w:t>
      </w:r>
      <w:r w:rsidR="008248B9">
        <w:rPr>
          <w:sz w:val="24"/>
          <w:szCs w:val="24"/>
          <w:lang w:val="en-US"/>
        </w:rPr>
        <w:t xml:space="preserve">and from 7.2% to 9.6% for Pacific people – an increase of 20%) (Harris, 2021), </w:t>
      </w:r>
      <w:r w:rsidR="008248B9" w:rsidRPr="008248B9">
        <w:rPr>
          <w:sz w:val="24"/>
          <w:szCs w:val="24"/>
          <w:lang w:val="en-US"/>
        </w:rPr>
        <w:t xml:space="preserve">particularly as </w:t>
      </w:r>
      <w:r w:rsidR="008248B9">
        <w:rPr>
          <w:sz w:val="24"/>
          <w:szCs w:val="24"/>
          <w:lang w:val="en-US"/>
        </w:rPr>
        <w:t xml:space="preserve">Māori and Pacific communities </w:t>
      </w:r>
      <w:r w:rsidR="008248B9" w:rsidRPr="008248B9">
        <w:rPr>
          <w:sz w:val="24"/>
          <w:szCs w:val="24"/>
          <w:lang w:val="en-US"/>
        </w:rPr>
        <w:t>are already more likely to be disadvantaged than others</w:t>
      </w:r>
      <w:r w:rsidR="008248B9">
        <w:rPr>
          <w:sz w:val="24"/>
          <w:szCs w:val="24"/>
          <w:lang w:val="en-US"/>
        </w:rPr>
        <w:t>.</w:t>
      </w:r>
    </w:p>
    <w:p w14:paraId="429EB44B" w14:textId="40D77302" w:rsidR="009D6781" w:rsidRPr="009D6781" w:rsidRDefault="008563FB" w:rsidP="009D6781">
      <w:pPr>
        <w:pStyle w:val="ListParagraph"/>
        <w:ind w:left="714"/>
        <w:contextualSpacing w:val="0"/>
        <w:jc w:val="right"/>
        <w:rPr>
          <w:color w:val="538135" w:themeColor="accent6" w:themeShade="BF"/>
          <w:lang w:val="en-US"/>
        </w:rPr>
      </w:pPr>
      <w:r w:rsidRPr="009D6781">
        <w:rPr>
          <w:i/>
          <w:iCs/>
          <w:color w:val="538135" w:themeColor="accent6" w:themeShade="BF"/>
          <w:lang w:val="en-US"/>
        </w:rPr>
        <w:t xml:space="preserve"> </w:t>
      </w:r>
      <w:r w:rsidR="009D6781" w:rsidRPr="009D6781">
        <w:rPr>
          <w:i/>
          <w:iCs/>
          <w:color w:val="538135" w:themeColor="accent6" w:themeShade="BF"/>
          <w:lang w:val="en-US"/>
        </w:rPr>
        <w:t>T</w:t>
      </w:r>
      <w:r w:rsidRPr="009D6781">
        <w:rPr>
          <w:i/>
          <w:iCs/>
          <w:color w:val="538135" w:themeColor="accent6" w:themeShade="BF"/>
          <w:lang w:val="en-US"/>
        </w:rPr>
        <w:t xml:space="preserve">he </w:t>
      </w:r>
      <w:r w:rsidRPr="009D6781">
        <w:rPr>
          <w:b/>
          <w:bCs/>
          <w:i/>
          <w:iCs/>
          <w:color w:val="538135" w:themeColor="accent6" w:themeShade="BF"/>
          <w:lang w:val="en-US"/>
        </w:rPr>
        <w:t>most severe negative effects</w:t>
      </w:r>
      <w:r w:rsidRPr="009D6781">
        <w:rPr>
          <w:i/>
          <w:iCs/>
          <w:color w:val="538135" w:themeColor="accent6" w:themeShade="BF"/>
          <w:lang w:val="en-US"/>
        </w:rPr>
        <w:t xml:space="preserve"> </w:t>
      </w:r>
      <w:r w:rsidR="009D6781" w:rsidRPr="009D6781">
        <w:rPr>
          <w:i/>
          <w:iCs/>
          <w:color w:val="538135" w:themeColor="accent6" w:themeShade="BF"/>
          <w:lang w:val="en-US"/>
        </w:rPr>
        <w:t xml:space="preserve">[of the COVID-19 pandemic on child wellbeing] </w:t>
      </w:r>
      <w:r w:rsidRPr="009D6781">
        <w:rPr>
          <w:i/>
          <w:iCs/>
          <w:color w:val="538135" w:themeColor="accent6" w:themeShade="BF"/>
          <w:lang w:val="en-US"/>
        </w:rPr>
        <w:t xml:space="preserve">are likely to be felt by those who are </w:t>
      </w:r>
      <w:r w:rsidRPr="009D6781">
        <w:rPr>
          <w:b/>
          <w:bCs/>
          <w:i/>
          <w:iCs/>
          <w:color w:val="538135" w:themeColor="accent6" w:themeShade="BF"/>
          <w:lang w:val="en-US"/>
        </w:rPr>
        <w:t>already disadvantaged</w:t>
      </w:r>
      <w:r w:rsidRPr="009D6781">
        <w:rPr>
          <w:i/>
          <w:iCs/>
          <w:color w:val="538135" w:themeColor="accent6" w:themeShade="BF"/>
          <w:lang w:val="en-US"/>
        </w:rPr>
        <w:t>.</w:t>
      </w:r>
      <w:r w:rsidR="009D6781">
        <w:rPr>
          <w:i/>
          <w:iCs/>
          <w:color w:val="538135" w:themeColor="accent6" w:themeShade="BF"/>
          <w:lang w:val="en-US"/>
        </w:rPr>
        <w:br/>
      </w:r>
      <w:r w:rsidR="009D6781">
        <w:rPr>
          <w:color w:val="538135" w:themeColor="accent6" w:themeShade="BF"/>
          <w:lang w:val="en-US"/>
        </w:rPr>
        <w:t xml:space="preserve">- </w:t>
      </w:r>
      <w:r w:rsidR="009A6ACE">
        <w:rPr>
          <w:color w:val="538135" w:themeColor="accent6" w:themeShade="BF"/>
          <w:lang w:val="en-US"/>
        </w:rPr>
        <w:t xml:space="preserve">Briefing to the incoming Minister for Child Poverty Reduction </w:t>
      </w:r>
      <w:r w:rsidR="009D6781" w:rsidRPr="009D6781">
        <w:rPr>
          <w:color w:val="538135" w:themeColor="accent6" w:themeShade="BF"/>
          <w:lang w:val="en-US"/>
        </w:rPr>
        <w:t>(Ward, 2020)</w:t>
      </w:r>
    </w:p>
    <w:p w14:paraId="71060D7B" w14:textId="456BFF87" w:rsidR="00EF30D2" w:rsidRPr="00A90ADA" w:rsidRDefault="00EF30D2" w:rsidP="00EF30D2">
      <w:pPr>
        <w:pStyle w:val="ListParagraph"/>
        <w:numPr>
          <w:ilvl w:val="0"/>
          <w:numId w:val="12"/>
        </w:numPr>
        <w:ind w:left="714" w:hanging="357"/>
        <w:contextualSpacing w:val="0"/>
        <w:rPr>
          <w:b/>
          <w:bCs/>
          <w:sz w:val="24"/>
          <w:szCs w:val="24"/>
          <w:lang w:val="en-US"/>
        </w:rPr>
      </w:pPr>
      <w:r w:rsidRPr="00A90ADA">
        <w:rPr>
          <w:b/>
          <w:bCs/>
          <w:sz w:val="24"/>
          <w:szCs w:val="24"/>
          <w:lang w:val="en-US"/>
        </w:rPr>
        <w:t xml:space="preserve">Youth homelessness </w:t>
      </w:r>
      <w:r w:rsidRPr="00A90ADA">
        <w:rPr>
          <w:sz w:val="24"/>
          <w:szCs w:val="24"/>
          <w:lang w:val="en-US"/>
        </w:rPr>
        <w:t>appears to have increased dramatically</w:t>
      </w:r>
      <w:r>
        <w:rPr>
          <w:sz w:val="24"/>
          <w:szCs w:val="24"/>
          <w:lang w:val="en-US"/>
        </w:rPr>
        <w:t>; services are not currently designed to address this problem. F</w:t>
      </w:r>
      <w:r w:rsidRPr="00A90ADA">
        <w:rPr>
          <w:sz w:val="24"/>
          <w:szCs w:val="24"/>
          <w:lang w:val="en-US"/>
        </w:rPr>
        <w:t xml:space="preserve">or example, </w:t>
      </w:r>
      <w:proofErr w:type="spellStart"/>
      <w:r w:rsidRPr="00A90ADA">
        <w:rPr>
          <w:sz w:val="24"/>
          <w:szCs w:val="24"/>
          <w:lang w:val="en-US"/>
        </w:rPr>
        <w:t>Lifewise</w:t>
      </w:r>
      <w:proofErr w:type="spellEnd"/>
      <w:r w:rsidRPr="00A90ADA">
        <w:rPr>
          <w:sz w:val="24"/>
          <w:szCs w:val="24"/>
          <w:lang w:val="en-US"/>
        </w:rPr>
        <w:t xml:space="preserve"> youth housing </w:t>
      </w:r>
      <w:r>
        <w:rPr>
          <w:sz w:val="24"/>
          <w:szCs w:val="24"/>
          <w:lang w:val="en-US"/>
        </w:rPr>
        <w:t>report</w:t>
      </w:r>
      <w:r w:rsidR="00A15CEF">
        <w:rPr>
          <w:sz w:val="24"/>
          <w:szCs w:val="24"/>
          <w:lang w:val="en-US"/>
        </w:rPr>
        <w:t>ed</w:t>
      </w:r>
      <w:r>
        <w:rPr>
          <w:sz w:val="24"/>
          <w:szCs w:val="24"/>
          <w:lang w:val="en-US"/>
        </w:rPr>
        <w:t xml:space="preserve"> </w:t>
      </w:r>
      <w:r w:rsidRPr="00A90ADA">
        <w:rPr>
          <w:sz w:val="24"/>
          <w:szCs w:val="24"/>
          <w:lang w:val="en-US"/>
        </w:rPr>
        <w:t xml:space="preserve">nearly 120 </w:t>
      </w:r>
      <w:r>
        <w:rPr>
          <w:sz w:val="24"/>
          <w:szCs w:val="24"/>
          <w:lang w:val="en-US"/>
        </w:rPr>
        <w:t xml:space="preserve">people requesting support over </w:t>
      </w:r>
      <w:r w:rsidR="00A15CEF">
        <w:rPr>
          <w:sz w:val="24"/>
          <w:szCs w:val="24"/>
          <w:lang w:val="en-US"/>
        </w:rPr>
        <w:t>winter</w:t>
      </w:r>
      <w:r>
        <w:rPr>
          <w:sz w:val="24"/>
          <w:szCs w:val="24"/>
          <w:lang w:val="en-US"/>
        </w:rPr>
        <w:t xml:space="preserve">, of which they could only house four, having to turn 89 away due to lack of resourcing, and monitor the rest. </w:t>
      </w:r>
      <w:proofErr w:type="spellStart"/>
      <w:r>
        <w:rPr>
          <w:sz w:val="24"/>
          <w:szCs w:val="24"/>
          <w:lang w:val="en-US"/>
        </w:rPr>
        <w:t>Lifewise</w:t>
      </w:r>
      <w:proofErr w:type="spellEnd"/>
      <w:r>
        <w:rPr>
          <w:sz w:val="24"/>
          <w:szCs w:val="24"/>
          <w:lang w:val="en-US"/>
        </w:rPr>
        <w:t xml:space="preserve"> also reports 16 and 17 year olds living on the streets after being turned away from Work and Income (</w:t>
      </w:r>
      <w:hyperlink r:id="rId19" w:history="1">
        <w:r w:rsidR="001A2EA4">
          <w:rPr>
            <w:rStyle w:val="Hyperlink"/>
            <w:sz w:val="24"/>
            <w:szCs w:val="24"/>
            <w:lang w:val="en-US"/>
          </w:rPr>
          <w:t>Corlett</w:t>
        </w:r>
        <w:r w:rsidRPr="00A90ADA">
          <w:rPr>
            <w:rStyle w:val="Hyperlink"/>
            <w:sz w:val="24"/>
            <w:szCs w:val="24"/>
            <w:lang w:val="en-US"/>
          </w:rPr>
          <w:t>, 2020</w:t>
        </w:r>
      </w:hyperlink>
      <w:r>
        <w:rPr>
          <w:sz w:val="24"/>
          <w:szCs w:val="24"/>
          <w:lang w:val="en-US"/>
        </w:rPr>
        <w:t xml:space="preserve">; see also </w:t>
      </w:r>
      <w:hyperlink r:id="rId20" w:history="1">
        <w:r w:rsidRPr="00546F32">
          <w:rPr>
            <w:rStyle w:val="Hyperlink"/>
            <w:rFonts w:cstheme="minorHAnsi"/>
            <w:sz w:val="24"/>
            <w:szCs w:val="24"/>
          </w:rPr>
          <w:t xml:space="preserve">Manaaki </w:t>
        </w:r>
        <w:proofErr w:type="spellStart"/>
        <w:r w:rsidRPr="00546F32">
          <w:rPr>
            <w:rStyle w:val="Hyperlink"/>
            <w:rFonts w:cstheme="minorHAnsi"/>
            <w:sz w:val="24"/>
            <w:szCs w:val="24"/>
          </w:rPr>
          <w:t>Rangatahi</w:t>
        </w:r>
        <w:proofErr w:type="spellEnd"/>
        <w:r w:rsidRPr="00546F32">
          <w:rPr>
            <w:rStyle w:val="Hyperlink"/>
            <w:rFonts w:cstheme="minorHAnsi"/>
            <w:sz w:val="24"/>
            <w:szCs w:val="24"/>
          </w:rPr>
          <w:t>, 2020</w:t>
        </w:r>
      </w:hyperlink>
      <w:r>
        <w:rPr>
          <w:sz w:val="24"/>
          <w:szCs w:val="24"/>
          <w:lang w:val="en-US"/>
        </w:rPr>
        <w:t>).</w:t>
      </w:r>
    </w:p>
    <w:p w14:paraId="10401D53" w14:textId="77777777" w:rsidR="00EF30D2" w:rsidRDefault="00EF30D2" w:rsidP="00EF30D2">
      <w:pPr>
        <w:pStyle w:val="ListParagraph"/>
        <w:numPr>
          <w:ilvl w:val="0"/>
          <w:numId w:val="12"/>
        </w:numPr>
        <w:ind w:left="714" w:hanging="357"/>
        <w:contextualSpacing w:val="0"/>
        <w:rPr>
          <w:rFonts w:cstheme="minorHAnsi"/>
          <w:sz w:val="24"/>
          <w:szCs w:val="24"/>
        </w:rPr>
      </w:pPr>
      <w:r>
        <w:rPr>
          <w:b/>
          <w:bCs/>
          <w:sz w:val="24"/>
          <w:szCs w:val="24"/>
          <w:lang w:val="en-US"/>
        </w:rPr>
        <w:t xml:space="preserve">Educational inequity </w:t>
      </w:r>
      <w:r w:rsidRPr="00546F32">
        <w:rPr>
          <w:sz w:val="24"/>
          <w:szCs w:val="24"/>
          <w:lang w:val="en-US"/>
        </w:rPr>
        <w:t>– already high –</w:t>
      </w:r>
      <w:r>
        <w:rPr>
          <w:b/>
          <w:bCs/>
          <w:sz w:val="24"/>
          <w:szCs w:val="24"/>
          <w:lang w:val="en-US"/>
        </w:rPr>
        <w:t xml:space="preserve"> </w:t>
      </w:r>
      <w:r w:rsidRPr="00546F32">
        <w:rPr>
          <w:sz w:val="24"/>
          <w:szCs w:val="24"/>
          <w:lang w:val="en-US"/>
        </w:rPr>
        <w:t>is likely to have been increased</w:t>
      </w:r>
      <w:r>
        <w:rPr>
          <w:b/>
          <w:bCs/>
          <w:sz w:val="24"/>
          <w:szCs w:val="24"/>
          <w:lang w:val="en-US"/>
        </w:rPr>
        <w:t xml:space="preserve"> </w:t>
      </w:r>
      <w:r>
        <w:rPr>
          <w:sz w:val="24"/>
          <w:szCs w:val="24"/>
          <w:lang w:val="en-US"/>
        </w:rPr>
        <w:t xml:space="preserve">by COVID-related poverty, according to anecdotal reports: more </w:t>
      </w:r>
      <w:r w:rsidRPr="00546F32">
        <w:rPr>
          <w:rFonts w:cstheme="minorHAnsi"/>
          <w:sz w:val="24"/>
          <w:szCs w:val="24"/>
        </w:rPr>
        <w:t xml:space="preserve">young people </w:t>
      </w:r>
      <w:r>
        <w:rPr>
          <w:rFonts w:cstheme="minorHAnsi"/>
          <w:sz w:val="24"/>
          <w:szCs w:val="24"/>
        </w:rPr>
        <w:t xml:space="preserve">may be </w:t>
      </w:r>
      <w:r w:rsidRPr="00546F32">
        <w:rPr>
          <w:rFonts w:cstheme="minorHAnsi"/>
          <w:sz w:val="24"/>
          <w:szCs w:val="24"/>
        </w:rPr>
        <w:t>having to leave school to work (</w:t>
      </w:r>
      <w:hyperlink r:id="rId21" w:history="1">
        <w:r w:rsidRPr="00546F32">
          <w:rPr>
            <w:rStyle w:val="Hyperlink"/>
            <w:rFonts w:cstheme="minorHAnsi"/>
            <w:sz w:val="24"/>
            <w:szCs w:val="24"/>
          </w:rPr>
          <w:t>1news, 2020</w:t>
        </w:r>
      </w:hyperlink>
      <w:r w:rsidRPr="00546F32">
        <w:rPr>
          <w:rFonts w:cstheme="minorHAnsi"/>
          <w:sz w:val="24"/>
          <w:szCs w:val="24"/>
        </w:rPr>
        <w:t>)  – a pathway that can lead to lifelong precarious work and further intergenerational poverty (</w:t>
      </w:r>
      <w:proofErr w:type="spellStart"/>
      <w:r w:rsidR="00484E2D">
        <w:fldChar w:fldCharType="begin"/>
      </w:r>
      <w:r w:rsidR="00484E2D">
        <w:instrText xml:space="preserve"> HYPERLINK "http://www.maramatanga.ac.nz/sites/default/files/teArotahi_19-0502%20Rua.pdf" </w:instrText>
      </w:r>
      <w:r w:rsidR="00484E2D">
        <w:fldChar w:fldCharType="separate"/>
      </w:r>
      <w:r w:rsidRPr="00546F32">
        <w:rPr>
          <w:rStyle w:val="Hyperlink"/>
          <w:rFonts w:cstheme="minorHAnsi"/>
          <w:sz w:val="24"/>
          <w:szCs w:val="24"/>
        </w:rPr>
        <w:t>Rua</w:t>
      </w:r>
      <w:proofErr w:type="spellEnd"/>
      <w:r>
        <w:rPr>
          <w:rStyle w:val="Hyperlink"/>
          <w:rFonts w:cstheme="minorHAnsi"/>
          <w:sz w:val="24"/>
          <w:szCs w:val="24"/>
        </w:rPr>
        <w:t xml:space="preserve"> et al</w:t>
      </w:r>
      <w:r w:rsidRPr="00546F32">
        <w:rPr>
          <w:rStyle w:val="Hyperlink"/>
          <w:rFonts w:cstheme="minorHAnsi"/>
          <w:sz w:val="24"/>
          <w:szCs w:val="24"/>
        </w:rPr>
        <w:t>, 2019</w:t>
      </w:r>
      <w:r w:rsidR="00484E2D">
        <w:rPr>
          <w:rStyle w:val="Hyperlink"/>
          <w:rFonts w:cstheme="minorHAnsi"/>
          <w:sz w:val="24"/>
          <w:szCs w:val="24"/>
        </w:rPr>
        <w:fldChar w:fldCharType="end"/>
      </w:r>
      <w:r w:rsidRPr="00546F32">
        <w:rPr>
          <w:rFonts w:cstheme="minorHAnsi"/>
          <w:sz w:val="24"/>
          <w:szCs w:val="24"/>
        </w:rPr>
        <w:t>)</w:t>
      </w:r>
      <w:r>
        <w:rPr>
          <w:rFonts w:cstheme="minorHAnsi"/>
          <w:sz w:val="24"/>
          <w:szCs w:val="24"/>
        </w:rPr>
        <w:t xml:space="preserve"> – and others may be working longer hours while struggling to keep up at school, including during lockdowns (supermarket workers are ‘essential’ workers for example). Digital </w:t>
      </w:r>
      <w:r w:rsidRPr="00546F32">
        <w:rPr>
          <w:rFonts w:cstheme="minorHAnsi"/>
          <w:sz w:val="24"/>
          <w:szCs w:val="24"/>
        </w:rPr>
        <w:t xml:space="preserve">exclusion </w:t>
      </w:r>
      <w:r>
        <w:rPr>
          <w:rFonts w:cstheme="minorHAnsi"/>
          <w:sz w:val="24"/>
          <w:szCs w:val="24"/>
        </w:rPr>
        <w:t xml:space="preserve">remains a deep and ongoing concern </w:t>
      </w:r>
      <w:r w:rsidRPr="00546F32">
        <w:rPr>
          <w:rFonts w:cstheme="minorHAnsi"/>
          <w:sz w:val="24"/>
          <w:szCs w:val="24"/>
        </w:rPr>
        <w:t>(</w:t>
      </w:r>
      <w:hyperlink r:id="rId22" w:history="1">
        <w:r w:rsidRPr="00546F32">
          <w:rPr>
            <w:rStyle w:val="Hyperlink"/>
            <w:rFonts w:cstheme="minorHAnsi"/>
            <w:sz w:val="24"/>
            <w:szCs w:val="24"/>
          </w:rPr>
          <w:t>Biddle, 2020</w:t>
        </w:r>
      </w:hyperlink>
      <w:r w:rsidRPr="00546F32">
        <w:rPr>
          <w:rFonts w:cstheme="minorHAnsi"/>
          <w:sz w:val="24"/>
          <w:szCs w:val="24"/>
        </w:rPr>
        <w:t>)</w:t>
      </w:r>
      <w:r>
        <w:rPr>
          <w:rFonts w:cstheme="minorHAnsi"/>
          <w:sz w:val="24"/>
          <w:szCs w:val="24"/>
        </w:rPr>
        <w:t>.</w:t>
      </w:r>
      <w:r w:rsidRPr="00546F32">
        <w:rPr>
          <w:rFonts w:cstheme="minorHAnsi"/>
          <w:sz w:val="24"/>
          <w:szCs w:val="24"/>
        </w:rPr>
        <w:t xml:space="preserve"> </w:t>
      </w:r>
    </w:p>
    <w:p w14:paraId="06B1B386" w14:textId="6A677581" w:rsidR="005A3ACA" w:rsidRDefault="00EF30D2" w:rsidP="00EF30D2">
      <w:pPr>
        <w:pStyle w:val="ListParagraph"/>
        <w:numPr>
          <w:ilvl w:val="0"/>
          <w:numId w:val="12"/>
        </w:numPr>
        <w:rPr>
          <w:rFonts w:cstheme="minorHAnsi"/>
          <w:sz w:val="24"/>
          <w:szCs w:val="24"/>
        </w:rPr>
      </w:pPr>
      <w:r w:rsidRPr="00031634">
        <w:rPr>
          <w:rFonts w:cstheme="minorHAnsi"/>
          <w:b/>
          <w:bCs/>
          <w:sz w:val="24"/>
          <w:szCs w:val="24"/>
        </w:rPr>
        <w:t xml:space="preserve">Food insecurity </w:t>
      </w:r>
      <w:r w:rsidRPr="00031634">
        <w:rPr>
          <w:rFonts w:cstheme="minorHAnsi"/>
          <w:sz w:val="24"/>
          <w:szCs w:val="24"/>
        </w:rPr>
        <w:t>and</w:t>
      </w:r>
      <w:r w:rsidRPr="00031634">
        <w:rPr>
          <w:rFonts w:cstheme="minorHAnsi"/>
          <w:b/>
          <w:bCs/>
          <w:sz w:val="24"/>
          <w:szCs w:val="24"/>
        </w:rPr>
        <w:t xml:space="preserve"> rheumatic fever</w:t>
      </w:r>
      <w:r w:rsidRPr="00546F32">
        <w:rPr>
          <w:rFonts w:cstheme="minorHAnsi"/>
          <w:sz w:val="24"/>
          <w:szCs w:val="24"/>
        </w:rPr>
        <w:t xml:space="preserve"> – a </w:t>
      </w:r>
      <w:r>
        <w:rPr>
          <w:rFonts w:cstheme="minorHAnsi"/>
          <w:sz w:val="24"/>
          <w:szCs w:val="24"/>
        </w:rPr>
        <w:t xml:space="preserve">childhood </w:t>
      </w:r>
      <w:r w:rsidRPr="00546F32">
        <w:rPr>
          <w:rFonts w:cstheme="minorHAnsi"/>
          <w:sz w:val="24"/>
          <w:szCs w:val="24"/>
        </w:rPr>
        <w:t xml:space="preserve">disease of deprivation </w:t>
      </w:r>
      <w:r>
        <w:rPr>
          <w:rFonts w:cstheme="minorHAnsi"/>
          <w:sz w:val="24"/>
          <w:szCs w:val="24"/>
        </w:rPr>
        <w:t xml:space="preserve">– have also increased dramatically in 2020 </w:t>
      </w:r>
      <w:r w:rsidRPr="00546F32">
        <w:rPr>
          <w:rFonts w:cstheme="minorHAnsi"/>
          <w:sz w:val="24"/>
          <w:szCs w:val="24"/>
        </w:rPr>
        <w:t>(</w:t>
      </w:r>
      <w:hyperlink r:id="rId23" w:history="1">
        <w:r w:rsidRPr="00546F32">
          <w:rPr>
            <w:rStyle w:val="Hyperlink"/>
            <w:rFonts w:cstheme="minorHAnsi"/>
            <w:sz w:val="24"/>
            <w:szCs w:val="24"/>
          </w:rPr>
          <w:t>Martin, 2020</w:t>
        </w:r>
      </w:hyperlink>
      <w:r>
        <w:rPr>
          <w:rStyle w:val="Hyperlink"/>
          <w:rFonts w:cstheme="minorHAnsi"/>
          <w:sz w:val="24"/>
          <w:szCs w:val="24"/>
        </w:rPr>
        <w:t xml:space="preserve">; </w:t>
      </w:r>
      <w:hyperlink r:id="rId24" w:history="1">
        <w:r w:rsidRPr="00CF6CC5">
          <w:rPr>
            <w:rStyle w:val="Hyperlink"/>
            <w:rFonts w:cstheme="minorHAnsi"/>
            <w:sz w:val="24"/>
            <w:szCs w:val="24"/>
          </w:rPr>
          <w:t>TVNZ, 2020</w:t>
        </w:r>
      </w:hyperlink>
      <w:r>
        <w:rPr>
          <w:rStyle w:val="Hyperlink"/>
          <w:rFonts w:cstheme="minorHAnsi"/>
          <w:sz w:val="24"/>
          <w:szCs w:val="24"/>
        </w:rPr>
        <w:t xml:space="preserve">; </w:t>
      </w:r>
      <w:hyperlink r:id="rId25" w:history="1">
        <w:r w:rsidRPr="00546F32">
          <w:rPr>
            <w:rStyle w:val="Hyperlink"/>
            <w:rFonts w:cstheme="minorHAnsi"/>
            <w:sz w:val="24"/>
            <w:szCs w:val="24"/>
          </w:rPr>
          <w:t>Quinn, 2020</w:t>
        </w:r>
      </w:hyperlink>
      <w:r w:rsidR="00E6372D">
        <w:rPr>
          <w:rStyle w:val="Hyperlink"/>
          <w:rFonts w:cstheme="minorHAnsi"/>
          <w:sz w:val="24"/>
          <w:szCs w:val="24"/>
        </w:rPr>
        <w:t>b</w:t>
      </w:r>
      <w:r w:rsidRPr="00546F32">
        <w:rPr>
          <w:rFonts w:cstheme="minorHAnsi"/>
          <w:sz w:val="24"/>
          <w:szCs w:val="24"/>
        </w:rPr>
        <w:t xml:space="preserve">). </w:t>
      </w:r>
    </w:p>
    <w:p w14:paraId="57BBAB61" w14:textId="77777777" w:rsidR="005A3ACA" w:rsidRDefault="005A3ACA">
      <w:pPr>
        <w:rPr>
          <w:rFonts w:cstheme="minorHAnsi"/>
          <w:sz w:val="24"/>
          <w:szCs w:val="24"/>
        </w:rPr>
      </w:pPr>
      <w:r>
        <w:rPr>
          <w:rFonts w:cstheme="minorHAnsi"/>
          <w:sz w:val="24"/>
          <w:szCs w:val="24"/>
        </w:rPr>
        <w:br w:type="page"/>
      </w:r>
    </w:p>
    <w:p w14:paraId="357500CF" w14:textId="27219B39" w:rsidR="00EF30D2" w:rsidRDefault="005A3ACA" w:rsidP="005A3ACA">
      <w:pPr>
        <w:pStyle w:val="Heading1"/>
        <w:rPr>
          <w:color w:val="538135" w:themeColor="accent6" w:themeShade="BF"/>
        </w:rPr>
      </w:pPr>
      <w:bookmarkStart w:id="3" w:name="_Appendix_4:_CPAG"/>
      <w:bookmarkEnd w:id="3"/>
      <w:r w:rsidRPr="005A3ACA">
        <w:rPr>
          <w:color w:val="538135" w:themeColor="accent6" w:themeShade="BF"/>
        </w:rPr>
        <w:lastRenderedPageBreak/>
        <w:t>Appendix 4:</w:t>
      </w:r>
      <w:r>
        <w:rPr>
          <w:color w:val="538135" w:themeColor="accent6" w:themeShade="BF"/>
        </w:rPr>
        <w:t xml:space="preserve"> CPAG Initial Response to the Health &amp; Disability System Review </w:t>
      </w:r>
    </w:p>
    <w:p w14:paraId="7EB6D574" w14:textId="77777777" w:rsidR="005A3ACA" w:rsidRDefault="005A3ACA" w:rsidP="005A3ACA">
      <w:pPr>
        <w:spacing w:after="120"/>
        <w:rPr>
          <w:color w:val="000000" w:themeColor="text1"/>
        </w:rPr>
      </w:pPr>
    </w:p>
    <w:p w14:paraId="5CDF68E2" w14:textId="77777777" w:rsidR="005A3ACA" w:rsidRDefault="005A3ACA" w:rsidP="005A3ACA">
      <w:pPr>
        <w:spacing w:after="120"/>
        <w:rPr>
          <w:color w:val="000000" w:themeColor="text1"/>
        </w:rPr>
      </w:pPr>
    </w:p>
    <w:p w14:paraId="4992F6A6" w14:textId="4727CC8F" w:rsidR="005A3ACA" w:rsidRDefault="005A3ACA" w:rsidP="005A3ACA">
      <w:pPr>
        <w:spacing w:after="120"/>
        <w:rPr>
          <w:color w:val="000000" w:themeColor="text1"/>
        </w:rPr>
      </w:pPr>
      <w:r>
        <w:rPr>
          <w:color w:val="000000" w:themeColor="text1"/>
        </w:rPr>
        <w:t>1 September 2020</w:t>
      </w:r>
    </w:p>
    <w:p w14:paraId="260D2C9A" w14:textId="01C78544" w:rsidR="005A3ACA" w:rsidRDefault="005A3ACA" w:rsidP="005A3ACA">
      <w:pPr>
        <w:spacing w:after="120"/>
        <w:rPr>
          <w:color w:val="000000" w:themeColor="text1"/>
        </w:rPr>
      </w:pPr>
    </w:p>
    <w:p w14:paraId="5E50290A" w14:textId="77777777" w:rsidR="005A3ACA" w:rsidRDefault="005A3ACA" w:rsidP="005A3ACA">
      <w:pPr>
        <w:spacing w:after="120"/>
        <w:rPr>
          <w:color w:val="000000" w:themeColor="text1"/>
        </w:rPr>
      </w:pPr>
    </w:p>
    <w:p w14:paraId="6274D1CE" w14:textId="77777777" w:rsidR="005A3ACA" w:rsidRDefault="005A3ACA" w:rsidP="005A3ACA">
      <w:pPr>
        <w:spacing w:after="120"/>
        <w:rPr>
          <w:color w:val="000000" w:themeColor="text1"/>
        </w:rPr>
      </w:pPr>
      <w:r>
        <w:rPr>
          <w:color w:val="000000" w:themeColor="text1"/>
        </w:rPr>
        <w:t xml:space="preserve">Hon Chris </w:t>
      </w:r>
      <w:proofErr w:type="spellStart"/>
      <w:r>
        <w:rPr>
          <w:color w:val="000000" w:themeColor="text1"/>
        </w:rPr>
        <w:t>Hipkins</w:t>
      </w:r>
      <w:proofErr w:type="spellEnd"/>
    </w:p>
    <w:p w14:paraId="36A1BF14" w14:textId="77777777" w:rsidR="005A3ACA" w:rsidRDefault="005A3ACA" w:rsidP="005A3ACA">
      <w:pPr>
        <w:spacing w:after="120"/>
        <w:rPr>
          <w:color w:val="000000" w:themeColor="text1"/>
        </w:rPr>
      </w:pPr>
      <w:r>
        <w:rPr>
          <w:color w:val="000000" w:themeColor="text1"/>
        </w:rPr>
        <w:t>Minister of Health</w:t>
      </w:r>
    </w:p>
    <w:p w14:paraId="64D458B4" w14:textId="77777777" w:rsidR="005A3ACA" w:rsidRDefault="005A3ACA" w:rsidP="005A3ACA">
      <w:pPr>
        <w:spacing w:after="120"/>
        <w:rPr>
          <w:b/>
          <w:color w:val="000000" w:themeColor="text1"/>
        </w:rPr>
      </w:pPr>
    </w:p>
    <w:p w14:paraId="762C23AD" w14:textId="44434C56" w:rsidR="005A3ACA" w:rsidRDefault="005A3ACA" w:rsidP="005A3ACA">
      <w:pPr>
        <w:spacing w:after="120"/>
        <w:rPr>
          <w:b/>
          <w:color w:val="000000" w:themeColor="text1"/>
        </w:rPr>
      </w:pPr>
      <w:r>
        <w:rPr>
          <w:b/>
          <w:color w:val="000000" w:themeColor="text1"/>
        </w:rPr>
        <w:t>Re: Child Poverty Action Group (CPAG) response to Health and Disability System Review Final Report March 2020</w:t>
      </w:r>
    </w:p>
    <w:p w14:paraId="166193A5" w14:textId="77777777" w:rsidR="005A3ACA" w:rsidRDefault="005A3ACA" w:rsidP="005A3ACA">
      <w:pPr>
        <w:spacing w:after="120"/>
        <w:rPr>
          <w:color w:val="000000" w:themeColor="text1"/>
        </w:rPr>
      </w:pPr>
      <w:r>
        <w:rPr>
          <w:color w:val="000000" w:themeColor="text1"/>
        </w:rPr>
        <w:t>We are writing to you as our new Minister of Health looking at this Report through the eyes of children living in poverty – we do not believe that there is enough in the Report to improve their health and disability outcomes. In fact there is barely any reference at all to issues around child poverty and inadequate attention to the multiple challenges for families with disability.</w:t>
      </w:r>
    </w:p>
    <w:p w14:paraId="3869D4B8" w14:textId="77777777" w:rsidR="005A3ACA" w:rsidRDefault="005A3ACA" w:rsidP="005A3ACA">
      <w:pPr>
        <w:spacing w:after="120"/>
        <w:rPr>
          <w:rStyle w:val="Strong"/>
        </w:rPr>
      </w:pPr>
      <w:r>
        <w:rPr>
          <w:color w:val="000000" w:themeColor="text1"/>
        </w:rPr>
        <w:t>This is a complex review and commentators have given a range of responses.</w:t>
      </w:r>
      <w:r>
        <w:rPr>
          <w:b/>
          <w:color w:val="000000" w:themeColor="text1"/>
        </w:rPr>
        <w:t xml:space="preserve"> </w:t>
      </w:r>
      <w:r>
        <w:t xml:space="preserve">The suggested high level structural changes make sense, but will have little impact on children without more substantive constructive changes at lower levels. </w:t>
      </w:r>
      <w:r w:rsidRPr="009B3E40">
        <w:t xml:space="preserve">As </w:t>
      </w:r>
      <w:r w:rsidRPr="00A15CEF">
        <w:rPr>
          <w:rStyle w:val="Strong"/>
          <w:b w:val="0"/>
          <w:color w:val="000000" w:themeColor="text1"/>
        </w:rPr>
        <w:t>Associate Professor Tim Tenbensel in Health Systems at the University of Auckland notes, the devil is in the detail</w:t>
      </w:r>
      <w:r>
        <w:rPr>
          <w:rStyle w:val="Strong"/>
          <w:color w:val="000000" w:themeColor="text1"/>
        </w:rPr>
        <w:t xml:space="preserve"> </w:t>
      </w:r>
      <w:hyperlink r:id="rId26" w:history="1">
        <w:r>
          <w:rPr>
            <w:rStyle w:val="Hyperlink"/>
            <w:color w:val="000000" w:themeColor="text1"/>
          </w:rPr>
          <w:t>https://www.policycommons.ac.nz/2020/06/23/health-system-changes-no-small-task/</w:t>
        </w:r>
      </w:hyperlink>
      <w:r>
        <w:rPr>
          <w:rStyle w:val="Strong"/>
          <w:color w:val="000000" w:themeColor="text1"/>
        </w:rPr>
        <w:t>.</w:t>
      </w:r>
    </w:p>
    <w:p w14:paraId="4F125E06" w14:textId="77777777" w:rsidR="005A3ACA" w:rsidRDefault="005A3ACA" w:rsidP="005A3ACA">
      <w:pPr>
        <w:spacing w:after="120"/>
        <w:rPr>
          <w:rFonts w:eastAsia="Times New Roman"/>
        </w:rPr>
      </w:pPr>
      <w:r>
        <w:rPr>
          <w:color w:val="000000" w:themeColor="text1"/>
        </w:rPr>
        <w:t>A</w:t>
      </w:r>
      <w:r>
        <w:rPr>
          <w:rFonts w:eastAsia="Times New Roman"/>
          <w:color w:val="000000" w:themeColor="text1"/>
        </w:rPr>
        <w:t xml:space="preserve">fter introducing some interesting broad ideas that may have benefit (a focus on equity particularly for Māori, creation of Health NZ, increasing digital capacity), the report is then short on detail about how any of the proposed changes will actually be implemented and operationalised and what the cost equations for change will be. </w:t>
      </w:r>
    </w:p>
    <w:p w14:paraId="0EADFB74" w14:textId="77777777" w:rsidR="005A3ACA" w:rsidRDefault="005A3ACA" w:rsidP="005A3ACA">
      <w:pPr>
        <w:spacing w:after="120"/>
        <w:rPr>
          <w:color w:val="000000" w:themeColor="text1"/>
        </w:rPr>
      </w:pPr>
      <w:r>
        <w:t xml:space="preserve">Given the decline in real dollars for health under the National government, we applaud the recommendation for a guaranteed annual adjustment to Vote: Health to ensure continuation of existing services. </w:t>
      </w:r>
      <w:r>
        <w:rPr>
          <w:rFonts w:eastAsia="Times New Roman"/>
          <w:color w:val="000000" w:themeColor="text1"/>
        </w:rPr>
        <w:t>While there is a stated focus on communities and population health, it is very unclear how this is going to be actioned and how. The funding and accountability level is to be at the DHB level, but funding tensions between primary, secondary and tertiary level needs to be solved.</w:t>
      </w:r>
    </w:p>
    <w:p w14:paraId="43943A80" w14:textId="77777777" w:rsidR="005A3ACA" w:rsidRDefault="005A3ACA" w:rsidP="005A3ACA">
      <w:pPr>
        <w:spacing w:after="120"/>
        <w:rPr>
          <w:rFonts w:eastAsia="Times New Roman"/>
          <w:color w:val="000000"/>
          <w:lang w:eastAsia="en-GB"/>
        </w:rPr>
      </w:pPr>
      <w:r>
        <w:rPr>
          <w:rFonts w:eastAsia="Times New Roman"/>
          <w:color w:val="000000"/>
          <w:lang w:eastAsia="en-GB"/>
        </w:rPr>
        <w:t xml:space="preserve">The Report does not give appropriate recognition of the many positive aspects of the current system such as the zero fees for under 14 year consultations, the increasingly integrated nature of well child and immunisation services, and the recent attention to mental health in the health sector with potential impact on families in poverty. </w:t>
      </w:r>
    </w:p>
    <w:p w14:paraId="28952488" w14:textId="77777777" w:rsidR="005A3ACA" w:rsidRDefault="005A3ACA" w:rsidP="005A3ACA">
      <w:pPr>
        <w:spacing w:after="120"/>
        <w:rPr>
          <w:rFonts w:eastAsia="Times New Roman"/>
          <w:color w:val="000000"/>
          <w:lang w:eastAsia="en-GB"/>
        </w:rPr>
      </w:pPr>
      <w:r>
        <w:rPr>
          <w:rFonts w:eastAsia="Times New Roman"/>
          <w:color w:val="000000"/>
          <w:lang w:eastAsia="en-GB"/>
        </w:rPr>
        <w:t xml:space="preserve">New innovations and opportunities should take time, be based on evidence and evaluated, but this is not made clear. There are risks that change and change  processes can actually lose some of the positive gains and create more roadblocks and hardship. This needs careful consideration. There is an even more pressing need for incremental innovation rather than radical restructuring in the light of the COVID-19 pandemic. While the work of the review took place prior to this event , it is important that Government recognises its very significant impact on  health sector working. </w:t>
      </w:r>
    </w:p>
    <w:p w14:paraId="7CA73BB0" w14:textId="77777777" w:rsidR="005A3ACA" w:rsidRDefault="005A3ACA" w:rsidP="005A3ACA">
      <w:pPr>
        <w:spacing w:after="120"/>
        <w:rPr>
          <w:color w:val="000000" w:themeColor="text1"/>
        </w:rPr>
      </w:pPr>
    </w:p>
    <w:p w14:paraId="36A9B750" w14:textId="77777777" w:rsidR="005A3ACA" w:rsidRDefault="005A3ACA" w:rsidP="005A3ACA">
      <w:pPr>
        <w:spacing w:after="120"/>
        <w:rPr>
          <w:b/>
          <w:i/>
          <w:color w:val="000000" w:themeColor="text1"/>
        </w:rPr>
      </w:pPr>
      <w:r>
        <w:rPr>
          <w:b/>
          <w:i/>
          <w:color w:val="000000" w:themeColor="text1"/>
        </w:rPr>
        <w:lastRenderedPageBreak/>
        <w:t>Will this Report help children in poverty?</w:t>
      </w:r>
    </w:p>
    <w:p w14:paraId="27EA52F4" w14:textId="77777777" w:rsidR="005A3ACA" w:rsidRDefault="005A3ACA" w:rsidP="005A3ACA">
      <w:pPr>
        <w:spacing w:after="120"/>
        <w:rPr>
          <w:b/>
          <w:color w:val="000000" w:themeColor="text1"/>
        </w:rPr>
      </w:pPr>
      <w:r>
        <w:rPr>
          <w:b/>
          <w:color w:val="000000" w:themeColor="text1"/>
        </w:rPr>
        <w:t>Child rights</w:t>
      </w:r>
    </w:p>
    <w:p w14:paraId="637D1AC7" w14:textId="77777777" w:rsidR="005A3ACA" w:rsidRDefault="005A3ACA" w:rsidP="005A3ACA">
      <w:pPr>
        <w:spacing w:after="120"/>
        <w:rPr>
          <w:color w:val="000000" w:themeColor="text1"/>
        </w:rPr>
      </w:pPr>
      <w:r>
        <w:rPr>
          <w:color w:val="000000" w:themeColor="text1"/>
        </w:rPr>
        <w:t>We opened our submission on the Review in May 2019 with a statement on child rights, but these are not mentioned in the Report:</w:t>
      </w:r>
    </w:p>
    <w:p w14:paraId="517930B7" w14:textId="77777777" w:rsidR="005A3ACA" w:rsidRDefault="005A3ACA" w:rsidP="005A3ACA">
      <w:pPr>
        <w:autoSpaceDE w:val="0"/>
        <w:autoSpaceDN w:val="0"/>
        <w:adjustRightInd w:val="0"/>
        <w:spacing w:after="120"/>
        <w:ind w:left="720"/>
        <w:rPr>
          <w:color w:val="000000" w:themeColor="text1"/>
        </w:rPr>
      </w:pPr>
      <w:r>
        <w:rPr>
          <w:color w:val="000000" w:themeColor="text1"/>
        </w:rPr>
        <w:t xml:space="preserve">Under the United Nations Convention on the Rights of the Child, New Zealand must recognise: </w:t>
      </w:r>
    </w:p>
    <w:p w14:paraId="314EAFF4" w14:textId="77777777" w:rsidR="005A3ACA" w:rsidRDefault="005A3ACA" w:rsidP="005A3ACA">
      <w:pPr>
        <w:numPr>
          <w:ilvl w:val="0"/>
          <w:numId w:val="40"/>
        </w:numPr>
        <w:autoSpaceDE w:val="0"/>
        <w:autoSpaceDN w:val="0"/>
        <w:adjustRightInd w:val="0"/>
        <w:spacing w:after="120" w:line="240" w:lineRule="auto"/>
        <w:ind w:left="720"/>
        <w:rPr>
          <w:color w:val="000000" w:themeColor="text1"/>
        </w:rPr>
      </w:pPr>
      <w:r>
        <w:rPr>
          <w:color w:val="000000" w:themeColor="text1"/>
        </w:rPr>
        <w:t xml:space="preserve">the right of the child to the highest attainable standard of health and to facilities for the treatment of illness and rehabilitation of health (Article 24); </w:t>
      </w:r>
    </w:p>
    <w:p w14:paraId="32C0E474" w14:textId="77777777" w:rsidR="005A3ACA" w:rsidRDefault="005A3ACA" w:rsidP="005A3ACA">
      <w:pPr>
        <w:numPr>
          <w:ilvl w:val="0"/>
          <w:numId w:val="40"/>
        </w:numPr>
        <w:autoSpaceDE w:val="0"/>
        <w:autoSpaceDN w:val="0"/>
        <w:adjustRightInd w:val="0"/>
        <w:spacing w:after="120" w:line="240" w:lineRule="auto"/>
        <w:ind w:left="720"/>
        <w:rPr>
          <w:color w:val="000000" w:themeColor="text1"/>
        </w:rPr>
      </w:pPr>
      <w:r>
        <w:rPr>
          <w:color w:val="000000" w:themeColor="text1"/>
        </w:rPr>
        <w:t xml:space="preserve">the right of the disabled child to enjoy a full and decent life, in conditions which ensure dignity, promote self-reliance and facilitate the child’s active participation in the community (Article 23); and </w:t>
      </w:r>
    </w:p>
    <w:p w14:paraId="2D09148D" w14:textId="77777777" w:rsidR="005A3ACA" w:rsidRDefault="005A3ACA" w:rsidP="005A3ACA">
      <w:pPr>
        <w:numPr>
          <w:ilvl w:val="0"/>
          <w:numId w:val="40"/>
        </w:numPr>
        <w:autoSpaceDE w:val="0"/>
        <w:autoSpaceDN w:val="0"/>
        <w:adjustRightInd w:val="0"/>
        <w:spacing w:after="120" w:line="240" w:lineRule="auto"/>
        <w:ind w:left="720"/>
        <w:rPr>
          <w:color w:val="000000" w:themeColor="text1"/>
        </w:rPr>
      </w:pPr>
      <w:r>
        <w:rPr>
          <w:color w:val="000000" w:themeColor="text1"/>
        </w:rPr>
        <w:t>the right of every child to a standard of living adequate for the child’s physical, mental, spiritual, moral and social development (Article 27). “</w:t>
      </w:r>
    </w:p>
    <w:p w14:paraId="506639F7" w14:textId="77777777" w:rsidR="005A3ACA" w:rsidRDefault="005A3ACA" w:rsidP="005A3ACA">
      <w:pPr>
        <w:spacing w:before="100" w:beforeAutospacing="1" w:after="120"/>
        <w:rPr>
          <w:rFonts w:eastAsia="Times New Roman"/>
          <w:color w:val="000000" w:themeColor="text1"/>
          <w:lang w:eastAsia="en-NZ"/>
        </w:rPr>
      </w:pPr>
      <w:r>
        <w:rPr>
          <w:rFonts w:eastAsia="Times New Roman"/>
          <w:color w:val="000000" w:themeColor="text1"/>
          <w:lang w:eastAsia="en-NZ"/>
        </w:rPr>
        <w:t xml:space="preserve">Clare Breen of University of Waikato’s view is that </w:t>
      </w:r>
      <w:r>
        <w:rPr>
          <w:rFonts w:eastAsia="Times New Roman"/>
          <w:i/>
          <w:color w:val="000000" w:themeColor="text1"/>
          <w:lang w:eastAsia="en-NZ"/>
        </w:rPr>
        <w:t>“The Health and Disability System Review a partial path to recovery. However, the prescription for change neglects to include a key element for the sustained good health of Aotearoa New Zealand's health care system, and that is its failure to make any mention of the right to health.”</w:t>
      </w:r>
      <w:r>
        <w:rPr>
          <w:rFonts w:eastAsia="Times New Roman"/>
          <w:color w:val="000000" w:themeColor="text1"/>
          <w:lang w:eastAsia="en-NZ"/>
        </w:rPr>
        <w:t xml:space="preserve"> Law Professor </w:t>
      </w:r>
      <w:hyperlink r:id="rId27" w:history="1">
        <w:r>
          <w:rPr>
            <w:rStyle w:val="Hyperlink"/>
            <w:color w:val="000000" w:themeColor="text1"/>
          </w:rPr>
          <w:t>https://www.nzherald.co.nz/opinion/news/article.cfm?c_id=466&amp;objectid=12340630</w:t>
        </w:r>
      </w:hyperlink>
    </w:p>
    <w:p w14:paraId="7CCAA346" w14:textId="77777777" w:rsidR="005A3ACA" w:rsidRDefault="005A3ACA" w:rsidP="005A3ACA">
      <w:pPr>
        <w:spacing w:after="120"/>
        <w:rPr>
          <w:b/>
          <w:color w:val="000000" w:themeColor="text1"/>
        </w:rPr>
      </w:pPr>
    </w:p>
    <w:p w14:paraId="04E6BFE0" w14:textId="77777777" w:rsidR="005A3ACA" w:rsidRDefault="005A3ACA" w:rsidP="005A3ACA">
      <w:pPr>
        <w:spacing w:after="120"/>
        <w:rPr>
          <w:b/>
          <w:color w:val="000000" w:themeColor="text1"/>
        </w:rPr>
      </w:pPr>
      <w:r>
        <w:rPr>
          <w:b/>
          <w:color w:val="000000" w:themeColor="text1"/>
        </w:rPr>
        <w:t>Disability</w:t>
      </w:r>
    </w:p>
    <w:p w14:paraId="235BA934" w14:textId="77777777" w:rsidR="005A3ACA" w:rsidRDefault="005A3ACA" w:rsidP="005A3ACA">
      <w:pPr>
        <w:spacing w:after="120"/>
        <w:rPr>
          <w:color w:val="000000" w:themeColor="text1"/>
          <w:lang w:val="en-US"/>
        </w:rPr>
      </w:pPr>
      <w:r>
        <w:rPr>
          <w:color w:val="000000" w:themeColor="text1"/>
        </w:rPr>
        <w:t>CPAG notes with concern that although disabled people make up 24 percent of New Zealand's population, and that Māori are far more likely to have a disability than any other ethnicity, there was no representation of disabled people or Māori disabled people on the steering committee or review panel, nor even an advisory group for disability for the Report. A</w:t>
      </w:r>
      <w:proofErr w:type="spellStart"/>
      <w:r>
        <w:rPr>
          <w:color w:val="000000" w:themeColor="text1"/>
          <w:lang w:val="en-US"/>
        </w:rPr>
        <w:t>lmost</w:t>
      </w:r>
      <w:proofErr w:type="spellEnd"/>
      <w:r>
        <w:rPr>
          <w:color w:val="000000" w:themeColor="text1"/>
          <w:lang w:val="en-US"/>
        </w:rPr>
        <w:t xml:space="preserve"> 12 percent of all children and young people under 20 are directly affected by disability and the number of children indirectly affected is even greater if we consider those who are raised by parents with disabilities. </w:t>
      </w:r>
    </w:p>
    <w:p w14:paraId="0E76E58B" w14:textId="77777777" w:rsidR="005A3ACA" w:rsidRDefault="005A3ACA" w:rsidP="005A3ACA">
      <w:pPr>
        <w:autoSpaceDE w:val="0"/>
        <w:autoSpaceDN w:val="0"/>
        <w:adjustRightInd w:val="0"/>
        <w:spacing w:after="120"/>
        <w:rPr>
          <w:color w:val="000000" w:themeColor="text1"/>
          <w:lang w:val="en-US"/>
        </w:rPr>
      </w:pPr>
      <w:r>
        <w:rPr>
          <w:color w:val="000000" w:themeColor="text1"/>
          <w:lang w:val="en-US"/>
        </w:rPr>
        <w:t>The Report states: “</w:t>
      </w:r>
      <w:r>
        <w:rPr>
          <w:color w:val="000000" w:themeColor="text1"/>
        </w:rPr>
        <w:t>Disabled New Zealanders report lower life satisfaction on average, being more likely to live in low-income households, and having poorer outcomes across health, economic and social indicators. Disabled people aged 15-64 years are half as likely to be employed compared to non-disabled people of the same age. Disabled children are more likely to be in households that have low incomes and that report having just enough or not enough money.”</w:t>
      </w:r>
    </w:p>
    <w:p w14:paraId="0250BB13" w14:textId="77777777" w:rsidR="005A3ACA" w:rsidRDefault="005A3ACA" w:rsidP="005A3ACA">
      <w:pPr>
        <w:autoSpaceDE w:val="0"/>
        <w:autoSpaceDN w:val="0"/>
        <w:adjustRightInd w:val="0"/>
        <w:spacing w:after="120"/>
        <w:rPr>
          <w:color w:val="000000" w:themeColor="text1"/>
          <w:lang w:val="en-US"/>
        </w:rPr>
      </w:pPr>
      <w:r>
        <w:rPr>
          <w:color w:val="000000" w:themeColor="text1"/>
          <w:lang w:val="en-US"/>
        </w:rPr>
        <w:t xml:space="preserve">Given the lack of involvement of disabled people in the report, it is not surprising that the report’s recommendations for disability are weak and have been poorly received by the Disability Sector. While the current disability services require greater consistency, coordination and funding, there is no clear strategic direction proposed to achieve this and little indication of what level of increased funding might be required to produce any improvement in current service levels. We strongly support the need for the disability support system to include thought and action beyond the health system and recognize the impact of broader social determinants. </w:t>
      </w:r>
    </w:p>
    <w:p w14:paraId="6E257681" w14:textId="77777777" w:rsidR="005A3ACA" w:rsidRDefault="005A3ACA" w:rsidP="005A3ACA">
      <w:pPr>
        <w:pStyle w:val="NormalWeb"/>
        <w:spacing w:beforeAutospacing="0" w:after="120" w:afterAutospacing="0"/>
        <w:ind w:left="720"/>
        <w:rPr>
          <w:rFonts w:ascii="Calibri" w:hAnsi="Calibri"/>
          <w:i/>
          <w:color w:val="000000" w:themeColor="text1"/>
          <w:sz w:val="22"/>
          <w:szCs w:val="22"/>
        </w:rPr>
      </w:pPr>
      <w:r>
        <w:rPr>
          <w:rFonts w:ascii="Calibri" w:hAnsi="Calibri"/>
          <w:i/>
          <w:color w:val="000000" w:themeColor="text1"/>
          <w:sz w:val="22"/>
          <w:szCs w:val="22"/>
        </w:rPr>
        <w:t xml:space="preserve">“Disabled people, families and support groups alike say it is time for the disability support system to move away from the health system to include things like housing, education, employment and transport. They want to abandon what they say is a two-tiered system which arbitrarily discriminates on funding depending on the cause of disability.” </w:t>
      </w:r>
      <w:hyperlink r:id="rId28" w:history="1">
        <w:r>
          <w:rPr>
            <w:rStyle w:val="Hyperlink"/>
            <w:rFonts w:ascii="Calibri" w:hAnsi="Calibri"/>
            <w:i/>
            <w:color w:val="000000" w:themeColor="text1"/>
            <w:sz w:val="22"/>
            <w:szCs w:val="22"/>
          </w:rPr>
          <w:t>https://www.rnz.co.nz/news/national/419956/disability-sector-calls-for-separate-ministry-support-unshackled-from-health-system</w:t>
        </w:r>
      </w:hyperlink>
    </w:p>
    <w:p w14:paraId="2E403252" w14:textId="77777777" w:rsidR="005A3ACA" w:rsidRDefault="005A3ACA" w:rsidP="005A3ACA">
      <w:pPr>
        <w:pStyle w:val="NormalWeb"/>
        <w:spacing w:after="120" w:afterAutospacing="0"/>
        <w:rPr>
          <w:rFonts w:ascii="Calibri" w:hAnsi="Calibri"/>
          <w:b/>
          <w:color w:val="000000" w:themeColor="text1"/>
          <w:sz w:val="22"/>
          <w:szCs w:val="22"/>
        </w:rPr>
      </w:pPr>
    </w:p>
    <w:p w14:paraId="6FD73D24" w14:textId="77777777" w:rsidR="005A3ACA" w:rsidRDefault="005A3ACA" w:rsidP="005A3ACA">
      <w:pPr>
        <w:pStyle w:val="NormalWeb"/>
        <w:spacing w:after="120" w:afterAutospacing="0"/>
        <w:rPr>
          <w:rFonts w:ascii="Calibri" w:hAnsi="Calibri"/>
          <w:b/>
          <w:color w:val="000000" w:themeColor="text1"/>
          <w:sz w:val="22"/>
          <w:szCs w:val="22"/>
        </w:rPr>
      </w:pPr>
      <w:r>
        <w:rPr>
          <w:rFonts w:ascii="Calibri" w:hAnsi="Calibri"/>
          <w:b/>
          <w:color w:val="000000" w:themeColor="text1"/>
          <w:sz w:val="22"/>
          <w:szCs w:val="22"/>
        </w:rPr>
        <w:t>Māori health</w:t>
      </w:r>
    </w:p>
    <w:p w14:paraId="2F51879D" w14:textId="77777777" w:rsidR="005A3ACA" w:rsidRDefault="005A3ACA" w:rsidP="005A3ACA">
      <w:pPr>
        <w:autoSpaceDE w:val="0"/>
        <w:autoSpaceDN w:val="0"/>
        <w:adjustRightInd w:val="0"/>
        <w:spacing w:after="120"/>
        <w:rPr>
          <w:rFonts w:ascii="Calibri" w:hAnsi="Calibri"/>
          <w:color w:val="000000" w:themeColor="text1"/>
        </w:rPr>
      </w:pPr>
      <w:r>
        <w:rPr>
          <w:color w:val="000000" w:themeColor="text1"/>
          <w:lang w:val="en-US"/>
        </w:rPr>
        <w:t>CPAG notes that M</w:t>
      </w:r>
      <w:r>
        <w:rPr>
          <w:color w:val="000000" w:themeColor="text1"/>
        </w:rPr>
        <w:t>ā</w:t>
      </w:r>
      <w:proofErr w:type="spellStart"/>
      <w:r>
        <w:rPr>
          <w:color w:val="000000" w:themeColor="text1"/>
          <w:lang w:val="en-US"/>
        </w:rPr>
        <w:t>ori</w:t>
      </w:r>
      <w:proofErr w:type="spellEnd"/>
      <w:r>
        <w:rPr>
          <w:color w:val="000000" w:themeColor="text1"/>
          <w:lang w:val="en-US"/>
        </w:rPr>
        <w:t xml:space="preserve"> views have been under-represented in the Report.</w:t>
      </w:r>
      <w:r>
        <w:rPr>
          <w:rFonts w:eastAsia="Times New Roman"/>
          <w:color w:val="000000" w:themeColor="text1"/>
        </w:rPr>
        <w:t xml:space="preserve"> Although the Report recommends </w:t>
      </w:r>
      <w:r>
        <w:t xml:space="preserve">greater recognition of </w:t>
      </w:r>
      <w:proofErr w:type="spellStart"/>
      <w:r>
        <w:t>Te</w:t>
      </w:r>
      <w:proofErr w:type="spellEnd"/>
      <w:r>
        <w:t xml:space="preserve"> </w:t>
      </w:r>
      <w:proofErr w:type="spellStart"/>
      <w:r>
        <w:t>Tiriti</w:t>
      </w:r>
      <w:proofErr w:type="spellEnd"/>
      <w:r>
        <w:t xml:space="preserve"> and equity as a priority</w:t>
      </w:r>
      <w:r>
        <w:rPr>
          <w:rFonts w:eastAsia="Times New Roman"/>
          <w:color w:val="000000" w:themeColor="text1"/>
        </w:rPr>
        <w:t xml:space="preserve"> f</w:t>
      </w:r>
      <w:r>
        <w:rPr>
          <w:color w:val="000000" w:themeColor="text1"/>
        </w:rPr>
        <w:t>or Māori, and states “there is evidence that inadequate access to services, poorer quality of care, and a failure of health services to improve outcomes for Māori can and do lead to inequities in health outcomes”, there is insufficient in the Report to address these issues. Rates of acute rheumatic fever in Māori children are 25 times higher and bronchiectasis (serious lung scarring) 6 times greater than European/</w:t>
      </w:r>
      <w:proofErr w:type="spellStart"/>
      <w:r>
        <w:rPr>
          <w:color w:val="000000" w:themeColor="text1"/>
        </w:rPr>
        <w:t>Pākehā</w:t>
      </w:r>
      <w:proofErr w:type="spellEnd"/>
      <w:r>
        <w:rPr>
          <w:color w:val="000000" w:themeColor="text1"/>
        </w:rPr>
        <w:t xml:space="preserve"> children. There is no section of the Report which addresses their needs.</w:t>
      </w:r>
    </w:p>
    <w:p w14:paraId="65CC5D7C" w14:textId="77777777" w:rsidR="005A3ACA" w:rsidRDefault="005A3ACA" w:rsidP="005A3ACA">
      <w:pPr>
        <w:autoSpaceDE w:val="0"/>
        <w:autoSpaceDN w:val="0"/>
        <w:adjustRightInd w:val="0"/>
        <w:spacing w:after="120"/>
        <w:rPr>
          <w:color w:val="4A4A49"/>
        </w:rPr>
      </w:pPr>
      <w:r>
        <w:rPr>
          <w:color w:val="000000" w:themeColor="text1"/>
          <w:lang w:val="en-US"/>
        </w:rPr>
        <w:t xml:space="preserve">The Report </w:t>
      </w:r>
      <w:r>
        <w:rPr>
          <w:color w:val="000000" w:themeColor="text1"/>
        </w:rPr>
        <w:t xml:space="preserve">proposes that: “The health and disability system needs a clear accountability framework with stronger leadership at all levels, more distinct focus and a better reflection of </w:t>
      </w:r>
      <w:proofErr w:type="spellStart"/>
      <w:r>
        <w:rPr>
          <w:color w:val="000000" w:themeColor="text1"/>
        </w:rPr>
        <w:t>Te</w:t>
      </w:r>
      <w:proofErr w:type="spellEnd"/>
      <w:r>
        <w:rPr>
          <w:color w:val="000000" w:themeColor="text1"/>
        </w:rPr>
        <w:t xml:space="preserve"> </w:t>
      </w:r>
      <w:proofErr w:type="spellStart"/>
      <w:r>
        <w:rPr>
          <w:color w:val="000000" w:themeColor="text1"/>
        </w:rPr>
        <w:t>Tiriti</w:t>
      </w:r>
      <w:proofErr w:type="spellEnd"/>
      <w:r>
        <w:rPr>
          <w:color w:val="000000" w:themeColor="text1"/>
        </w:rPr>
        <w:t xml:space="preserve"> principles.” </w:t>
      </w:r>
      <w:r>
        <w:rPr>
          <w:color w:val="000000"/>
        </w:rPr>
        <w:t xml:space="preserve">However, its recommendations are not sufficient to address the findings of the Māori Health Trends </w:t>
      </w:r>
      <w:r>
        <w:rPr>
          <w:color w:val="4A4A49"/>
        </w:rPr>
        <w:t>Report (Wai 2575).</w:t>
      </w:r>
      <w:r>
        <w:rPr>
          <w:color w:val="000000"/>
        </w:rPr>
        <w:t xml:space="preserve"> T</w:t>
      </w:r>
      <w:r>
        <w:rPr>
          <w:color w:val="4A4A49"/>
        </w:rPr>
        <w:t>he findings of Wai 2575 highlight the fact that there is systemic bias not only in our health system but also amongst those who determine health priorities and funding matters.</w:t>
      </w:r>
    </w:p>
    <w:p w14:paraId="6C2B5AE0" w14:textId="77777777" w:rsidR="005A3ACA" w:rsidRDefault="005A3ACA" w:rsidP="005A3ACA">
      <w:pPr>
        <w:autoSpaceDE w:val="0"/>
        <w:autoSpaceDN w:val="0"/>
        <w:adjustRightInd w:val="0"/>
        <w:spacing w:after="120"/>
      </w:pPr>
      <w:r>
        <w:rPr>
          <w:color w:val="000000" w:themeColor="text1"/>
        </w:rPr>
        <w:t>There are conflicting views in the sector as to whether a M</w:t>
      </w:r>
      <w:r>
        <w:rPr>
          <w:rFonts w:eastAsia="Times New Roman"/>
          <w:color w:val="000000" w:themeColor="text1"/>
        </w:rPr>
        <w:t>ā</w:t>
      </w:r>
      <w:r>
        <w:rPr>
          <w:color w:val="000000" w:themeColor="text1"/>
        </w:rPr>
        <w:t>ori Heath Authority will improve this situation. CPAG believes that ,if the decision is to proceed with a M</w:t>
      </w:r>
      <w:r>
        <w:rPr>
          <w:rFonts w:eastAsia="Times New Roman"/>
          <w:color w:val="000000" w:themeColor="text1"/>
        </w:rPr>
        <w:t>ā</w:t>
      </w:r>
      <w:r>
        <w:rPr>
          <w:color w:val="000000" w:themeColor="text1"/>
        </w:rPr>
        <w:t xml:space="preserve">ori Heath Authority, </w:t>
      </w:r>
      <w:r>
        <w:t xml:space="preserve">strong consideration should be given to the Authority having commissioning capacity. </w:t>
      </w:r>
    </w:p>
    <w:p w14:paraId="564A34BE" w14:textId="77777777" w:rsidR="005A3ACA" w:rsidRDefault="005A3ACA" w:rsidP="005A3ACA">
      <w:pPr>
        <w:autoSpaceDE w:val="0"/>
        <w:autoSpaceDN w:val="0"/>
        <w:adjustRightInd w:val="0"/>
        <w:spacing w:after="120"/>
        <w:rPr>
          <w:rStyle w:val="Hyperlink"/>
          <w:rFonts w:eastAsia="Times New Roman"/>
          <w:color w:val="000000" w:themeColor="text1"/>
        </w:rPr>
      </w:pPr>
      <w:r>
        <w:rPr>
          <w:color w:val="000000" w:themeColor="text1"/>
        </w:rPr>
        <w:t>The Health and Disability System Review Final Report</w:t>
      </w:r>
      <w:r>
        <w:rPr>
          <w:b/>
          <w:color w:val="000000" w:themeColor="text1"/>
        </w:rPr>
        <w:t xml:space="preserve"> </w:t>
      </w:r>
      <w:r>
        <w:rPr>
          <w:color w:val="000000" w:themeColor="text1"/>
        </w:rPr>
        <w:t>shows extraordinary racial bias that the majority view on the role of the M</w:t>
      </w:r>
      <w:r>
        <w:rPr>
          <w:rFonts w:eastAsia="Times New Roman"/>
          <w:color w:val="000000" w:themeColor="text1"/>
        </w:rPr>
        <w:t>ā</w:t>
      </w:r>
      <w:r>
        <w:rPr>
          <w:color w:val="000000" w:themeColor="text1"/>
        </w:rPr>
        <w:t xml:space="preserve">ori Heath Authority – i.e. that it should fund and commission services -- is presented as an </w:t>
      </w:r>
      <w:r>
        <w:rPr>
          <w:rFonts w:eastAsia="Times New Roman"/>
          <w:color w:val="000000" w:themeColor="text1"/>
        </w:rPr>
        <w:t xml:space="preserve">“alternate view” when it is signed by the majority (four) of the seven panel members and the entire six-person Māori Expert Advisory Group </w:t>
      </w:r>
      <w:hyperlink r:id="rId29" w:history="1">
        <w:r>
          <w:rPr>
            <w:rStyle w:val="Hyperlink"/>
            <w:color w:val="000000" w:themeColor="text1"/>
          </w:rPr>
          <w:t>https://www.racp.edu.au/news-and-events/media-releases/health-and-disability-system-review-m%C4%81ori-health-authority-proposal-rings-hollow/</w:t>
        </w:r>
      </w:hyperlink>
      <w:r>
        <w:rPr>
          <w:rStyle w:val="Hyperlink"/>
          <w:color w:val="000000" w:themeColor="text1"/>
        </w:rPr>
        <w:t xml:space="preserve"> . It is in fact the view of the other three members that is the alternate or “minority view” (the term used by the Tax Working Group for a view of three of the eight members).</w:t>
      </w:r>
    </w:p>
    <w:p w14:paraId="77D6301E" w14:textId="77777777" w:rsidR="005A3ACA" w:rsidRDefault="005A3ACA" w:rsidP="005A3ACA">
      <w:pPr>
        <w:autoSpaceDE w:val="0"/>
        <w:autoSpaceDN w:val="0"/>
        <w:adjustRightInd w:val="0"/>
        <w:spacing w:after="120"/>
        <w:rPr>
          <w:rStyle w:val="Hyperlink"/>
          <w:color w:val="000000" w:themeColor="text1"/>
        </w:rPr>
      </w:pPr>
      <w:r>
        <w:rPr>
          <w:rStyle w:val="Hyperlink"/>
          <w:color w:val="000000" w:themeColor="text1"/>
        </w:rPr>
        <w:t>CPAG supports the development of a</w:t>
      </w:r>
      <w:r>
        <w:rPr>
          <w:color w:val="4A4A49"/>
        </w:rPr>
        <w:t xml:space="preserve"> “comprehensive indigenous commissioning framework…. which uses every enabler and lever, at every level, to ensure the system successfully delivers improved health and wellbeing outcomes for </w:t>
      </w:r>
      <w:proofErr w:type="spellStart"/>
      <w:r>
        <w:rPr>
          <w:color w:val="4A4A49"/>
        </w:rPr>
        <w:t>whānau</w:t>
      </w:r>
      <w:proofErr w:type="spellEnd"/>
      <w:r>
        <w:rPr>
          <w:color w:val="4A4A49"/>
        </w:rPr>
        <w:t xml:space="preserve">. The commissioning framework should be </w:t>
      </w:r>
      <w:proofErr w:type="spellStart"/>
      <w:r>
        <w:rPr>
          <w:color w:val="4A4A49"/>
        </w:rPr>
        <w:t>Tiriti</w:t>
      </w:r>
      <w:proofErr w:type="spellEnd"/>
      <w:r>
        <w:rPr>
          <w:color w:val="4A4A49"/>
        </w:rPr>
        <w:t xml:space="preserve"> compliant and designed by, and with,  Māori as an active expression of rangatiratanga and mana </w:t>
      </w:r>
      <w:proofErr w:type="spellStart"/>
      <w:r>
        <w:rPr>
          <w:color w:val="4A4A49"/>
        </w:rPr>
        <w:t>motuhake</w:t>
      </w:r>
      <w:proofErr w:type="spellEnd"/>
      <w:r>
        <w:rPr>
          <w:color w:val="4A4A49"/>
        </w:rPr>
        <w:t xml:space="preserve">, in a way that is not possible within mainstream organisations, such as HNZ and DHBs, with broader population responsibilities. The time is right for action around a broader indigenous commissioning framework in Aotearoa/New Zealand, that could be world leading in addressing inequity at system and service levels”. We note that this view is also held by others including the Public Health Association, Royal Australasian College of Physicians, </w:t>
      </w:r>
      <w:r>
        <w:t xml:space="preserve">National Hauora Coalition, </w:t>
      </w:r>
      <w:proofErr w:type="spellStart"/>
      <w:r>
        <w:t>Te</w:t>
      </w:r>
      <w:proofErr w:type="spellEnd"/>
      <w:r>
        <w:t xml:space="preserve"> </w:t>
      </w:r>
      <w:proofErr w:type="spellStart"/>
      <w:r>
        <w:t>Kupenga</w:t>
      </w:r>
      <w:proofErr w:type="spellEnd"/>
      <w:r>
        <w:t xml:space="preserve"> Hauora Māori at the University of Auckland.</w:t>
      </w:r>
    </w:p>
    <w:p w14:paraId="6F00D998" w14:textId="77777777" w:rsidR="005A3ACA" w:rsidRDefault="005A3ACA" w:rsidP="005A3ACA">
      <w:pPr>
        <w:autoSpaceDE w:val="0"/>
        <w:autoSpaceDN w:val="0"/>
        <w:adjustRightInd w:val="0"/>
        <w:spacing w:after="120"/>
        <w:rPr>
          <w:rStyle w:val="Hyperlink"/>
          <w:color w:val="000000" w:themeColor="text1"/>
        </w:rPr>
      </w:pPr>
    </w:p>
    <w:p w14:paraId="0EA88F3D" w14:textId="77777777" w:rsidR="005A3ACA" w:rsidRDefault="005A3ACA" w:rsidP="005A3ACA">
      <w:pPr>
        <w:spacing w:after="120"/>
        <w:rPr>
          <w:b/>
        </w:rPr>
      </w:pPr>
      <w:r>
        <w:rPr>
          <w:b/>
          <w:color w:val="000000" w:themeColor="text1"/>
        </w:rPr>
        <w:t>Pacific people</w:t>
      </w:r>
    </w:p>
    <w:p w14:paraId="738BC3BD" w14:textId="77777777" w:rsidR="005A3ACA" w:rsidRDefault="005A3ACA" w:rsidP="005A3ACA">
      <w:pPr>
        <w:autoSpaceDE w:val="0"/>
        <w:autoSpaceDN w:val="0"/>
        <w:adjustRightInd w:val="0"/>
        <w:spacing w:after="120"/>
        <w:rPr>
          <w:color w:val="000000" w:themeColor="text1"/>
        </w:rPr>
      </w:pPr>
      <w:r>
        <w:rPr>
          <w:color w:val="000000" w:themeColor="text1"/>
        </w:rPr>
        <w:t xml:space="preserve">The Report states: “There are long-standing inequities in health outcomes between Pacific and non-Māori non-Pacific people in New Zealand. Inequities include shorter life expectancy, a higher amenable mortality rate, multimorbidity, and a higher rate of death from cancer compared with non-Māori non-Pacific people. Pacific peoples are disproportionately affected by intergenerational poverty, and are more likely to reside in high deprivation areas, live in crowded households, be unemployed, and have a lower median income than non-Māori non Pacific people. Pacific peoples live six years less than non-Māori non Pacific people, of which 3.3 years for females and 3.4 years for </w:t>
      </w:r>
      <w:r>
        <w:rPr>
          <w:color w:val="000000" w:themeColor="text1"/>
        </w:rPr>
        <w:lastRenderedPageBreak/>
        <w:t>males was potentially avoidable.” Rates of acute rheumatic fever in Pacific children are 50 times higher and bronchiectasis (serious lung scarring) 13 times greater than European/</w:t>
      </w:r>
      <w:proofErr w:type="spellStart"/>
      <w:r>
        <w:rPr>
          <w:color w:val="000000" w:themeColor="text1"/>
        </w:rPr>
        <w:t>Pākehā</w:t>
      </w:r>
      <w:proofErr w:type="spellEnd"/>
      <w:r>
        <w:rPr>
          <w:color w:val="000000" w:themeColor="text1"/>
        </w:rPr>
        <w:t xml:space="preserve"> children. In spite of these glaring inequities, there is no section of the Report which addresses the needs of Pacific families.</w:t>
      </w:r>
    </w:p>
    <w:p w14:paraId="53E12CC9" w14:textId="77777777" w:rsidR="005A3ACA" w:rsidRDefault="005A3ACA" w:rsidP="005A3ACA">
      <w:pPr>
        <w:spacing w:after="120"/>
        <w:rPr>
          <w:b/>
          <w:color w:val="000000" w:themeColor="text1"/>
          <w:highlight w:val="yellow"/>
        </w:rPr>
      </w:pPr>
    </w:p>
    <w:p w14:paraId="007FF011" w14:textId="77777777" w:rsidR="005A3ACA" w:rsidRDefault="005A3ACA" w:rsidP="005A3ACA">
      <w:pPr>
        <w:spacing w:after="120"/>
        <w:rPr>
          <w:b/>
          <w:color w:val="000000" w:themeColor="text1"/>
        </w:rPr>
      </w:pPr>
      <w:r>
        <w:rPr>
          <w:b/>
          <w:color w:val="000000" w:themeColor="text1"/>
        </w:rPr>
        <w:t>Other marginalised groups</w:t>
      </w:r>
    </w:p>
    <w:p w14:paraId="472975DF" w14:textId="77777777" w:rsidR="005A3ACA" w:rsidRDefault="005A3ACA" w:rsidP="005A3ACA">
      <w:pPr>
        <w:spacing w:after="120"/>
        <w:rPr>
          <w:color w:val="000000" w:themeColor="text1"/>
        </w:rPr>
      </w:pPr>
      <w:r>
        <w:rPr>
          <w:color w:val="000000" w:themeColor="text1"/>
        </w:rPr>
        <w:t>Refugee and migrant groups appear to be overlooked, in the Report, despite the language around the importance of equity. Specific pieces of work need to be done to include them and addre4ss their needs appropriately in making improvements in the Health and Disability System.</w:t>
      </w:r>
    </w:p>
    <w:p w14:paraId="1C9BC09C" w14:textId="77777777" w:rsidR="005A3ACA" w:rsidRDefault="005A3ACA" w:rsidP="005A3ACA">
      <w:pPr>
        <w:spacing w:after="120"/>
        <w:rPr>
          <w:color w:val="000000" w:themeColor="text1"/>
        </w:rPr>
      </w:pPr>
    </w:p>
    <w:p w14:paraId="1E38E263" w14:textId="77777777" w:rsidR="005A3ACA" w:rsidRDefault="005A3ACA" w:rsidP="005A3ACA">
      <w:pPr>
        <w:spacing w:after="120"/>
        <w:rPr>
          <w:b/>
          <w:color w:val="000000" w:themeColor="text1"/>
        </w:rPr>
      </w:pPr>
      <w:r>
        <w:rPr>
          <w:b/>
          <w:color w:val="000000" w:themeColor="text1"/>
        </w:rPr>
        <w:t>Population health and poverty</w:t>
      </w:r>
    </w:p>
    <w:p w14:paraId="0751AEE9" w14:textId="77777777" w:rsidR="005A3ACA" w:rsidRDefault="005A3ACA" w:rsidP="005A3ACA">
      <w:pPr>
        <w:spacing w:after="120"/>
        <w:rPr>
          <w:color w:val="000000" w:themeColor="text1"/>
        </w:rPr>
      </w:pPr>
      <w:r>
        <w:rPr>
          <w:color w:val="000000" w:themeColor="text1"/>
        </w:rPr>
        <w:t>CPAG welcomes the emphasis in the Report on population health such as:</w:t>
      </w:r>
    </w:p>
    <w:p w14:paraId="63AFC3EF" w14:textId="77777777" w:rsidR="005A3ACA" w:rsidRDefault="005A3ACA" w:rsidP="005A3ACA">
      <w:pPr>
        <w:autoSpaceDE w:val="0"/>
        <w:autoSpaceDN w:val="0"/>
        <w:adjustRightInd w:val="0"/>
        <w:spacing w:after="120"/>
        <w:rPr>
          <w:color w:val="000000" w:themeColor="text1"/>
        </w:rPr>
      </w:pPr>
      <w:r>
        <w:rPr>
          <w:color w:val="000000" w:themeColor="text1"/>
        </w:rPr>
        <w:t>“The health and disability system is not the main factor in determining health outcomes. If New Zealand does not significantly reduce intergenerational poverty and act on the social determinants of health, little that happens in the health and disability system would have a lasting impact.”</w:t>
      </w:r>
    </w:p>
    <w:p w14:paraId="68FC96DE" w14:textId="77777777" w:rsidR="005A3ACA" w:rsidRDefault="005A3ACA" w:rsidP="005A3ACA">
      <w:pPr>
        <w:autoSpaceDE w:val="0"/>
        <w:autoSpaceDN w:val="0"/>
        <w:adjustRightInd w:val="0"/>
        <w:spacing w:after="120"/>
        <w:rPr>
          <w:color w:val="000000" w:themeColor="text1"/>
        </w:rPr>
      </w:pPr>
      <w:r>
        <w:rPr>
          <w:color w:val="000000" w:themeColor="text1"/>
        </w:rPr>
        <w:t>“Inherent in a population health approach is an explicit focus on equity. Working to eliminate systematic inequities in health outcomes requires:</w:t>
      </w:r>
    </w:p>
    <w:p w14:paraId="3D34A3D5" w14:textId="77777777" w:rsidR="005A3ACA" w:rsidRDefault="005A3ACA" w:rsidP="005A3ACA">
      <w:pPr>
        <w:pStyle w:val="ListParagraph"/>
        <w:numPr>
          <w:ilvl w:val="0"/>
          <w:numId w:val="41"/>
        </w:numPr>
        <w:autoSpaceDE w:val="0"/>
        <w:autoSpaceDN w:val="0"/>
        <w:adjustRightInd w:val="0"/>
        <w:spacing w:after="120" w:line="240" w:lineRule="auto"/>
        <w:rPr>
          <w:color w:val="000000" w:themeColor="text1"/>
        </w:rPr>
      </w:pPr>
      <w:r>
        <w:rPr>
          <w:color w:val="000000" w:themeColor="text1"/>
        </w:rPr>
        <w:t>looking at which groups are most impacted</w:t>
      </w:r>
    </w:p>
    <w:p w14:paraId="277DEC69" w14:textId="77777777" w:rsidR="005A3ACA" w:rsidRDefault="005A3ACA" w:rsidP="005A3ACA">
      <w:pPr>
        <w:pStyle w:val="ListParagraph"/>
        <w:numPr>
          <w:ilvl w:val="0"/>
          <w:numId w:val="41"/>
        </w:numPr>
        <w:autoSpaceDE w:val="0"/>
        <w:autoSpaceDN w:val="0"/>
        <w:adjustRightInd w:val="0"/>
        <w:spacing w:after="120" w:line="240" w:lineRule="auto"/>
        <w:rPr>
          <w:color w:val="000000" w:themeColor="text1"/>
        </w:rPr>
      </w:pPr>
      <w:r>
        <w:rPr>
          <w:color w:val="000000" w:themeColor="text1"/>
        </w:rPr>
        <w:t>understanding how and where inequities are evident</w:t>
      </w:r>
    </w:p>
    <w:p w14:paraId="24E33D4E" w14:textId="77777777" w:rsidR="005A3ACA" w:rsidRDefault="005A3ACA" w:rsidP="005A3ACA">
      <w:pPr>
        <w:pStyle w:val="ListParagraph"/>
        <w:numPr>
          <w:ilvl w:val="0"/>
          <w:numId w:val="41"/>
        </w:numPr>
        <w:autoSpaceDE w:val="0"/>
        <w:autoSpaceDN w:val="0"/>
        <w:adjustRightInd w:val="0"/>
        <w:spacing w:after="120" w:line="240" w:lineRule="auto"/>
        <w:rPr>
          <w:color w:val="000000" w:themeColor="text1"/>
        </w:rPr>
      </w:pPr>
      <w:r>
        <w:rPr>
          <w:color w:val="000000" w:themeColor="text1"/>
        </w:rPr>
        <w:t>recognising the upstream factors (the social, economic and commercial determinants that underpin</w:t>
      </w:r>
    </w:p>
    <w:p w14:paraId="3CB3A5EA" w14:textId="77777777" w:rsidR="005A3ACA" w:rsidRDefault="005A3ACA" w:rsidP="005A3ACA">
      <w:pPr>
        <w:pStyle w:val="ListParagraph"/>
        <w:numPr>
          <w:ilvl w:val="0"/>
          <w:numId w:val="41"/>
        </w:numPr>
        <w:autoSpaceDE w:val="0"/>
        <w:autoSpaceDN w:val="0"/>
        <w:adjustRightInd w:val="0"/>
        <w:spacing w:after="120" w:line="240" w:lineRule="auto"/>
        <w:rPr>
          <w:color w:val="000000" w:themeColor="text1"/>
        </w:rPr>
      </w:pPr>
      <w:r>
        <w:rPr>
          <w:color w:val="000000" w:themeColor="text1"/>
        </w:rPr>
        <w:t>health inequity)</w:t>
      </w:r>
    </w:p>
    <w:p w14:paraId="52F0CDE9" w14:textId="77777777" w:rsidR="005A3ACA" w:rsidRDefault="005A3ACA" w:rsidP="005A3ACA">
      <w:pPr>
        <w:pStyle w:val="ListParagraph"/>
        <w:numPr>
          <w:ilvl w:val="0"/>
          <w:numId w:val="41"/>
        </w:numPr>
        <w:autoSpaceDE w:val="0"/>
        <w:autoSpaceDN w:val="0"/>
        <w:adjustRightInd w:val="0"/>
        <w:spacing w:after="120" w:line="240" w:lineRule="auto"/>
        <w:rPr>
          <w:color w:val="000000" w:themeColor="text1"/>
        </w:rPr>
      </w:pPr>
      <w:r>
        <w:rPr>
          <w:color w:val="000000" w:themeColor="text1"/>
        </w:rPr>
        <w:t>implementing comprehensive strategies to eliminate or ameliorate upstream factors</w:t>
      </w:r>
    </w:p>
    <w:p w14:paraId="7B183D8E" w14:textId="77777777" w:rsidR="005A3ACA" w:rsidRDefault="005A3ACA" w:rsidP="005A3ACA">
      <w:pPr>
        <w:pStyle w:val="ListParagraph"/>
        <w:numPr>
          <w:ilvl w:val="0"/>
          <w:numId w:val="41"/>
        </w:numPr>
        <w:spacing w:after="120" w:line="240" w:lineRule="auto"/>
        <w:rPr>
          <w:b/>
          <w:color w:val="000000" w:themeColor="text1"/>
        </w:rPr>
      </w:pPr>
      <w:r>
        <w:rPr>
          <w:color w:val="000000" w:themeColor="text1"/>
        </w:rPr>
        <w:t>an intelligent, equity driven and data informed health and disability system.”</w:t>
      </w:r>
    </w:p>
    <w:p w14:paraId="6BFE6F96" w14:textId="77777777" w:rsidR="005A3ACA" w:rsidRDefault="005A3ACA" w:rsidP="005A3ACA">
      <w:pPr>
        <w:spacing w:after="120"/>
      </w:pPr>
      <w:r>
        <w:rPr>
          <w:color w:val="000000" w:themeColor="text1"/>
        </w:rPr>
        <w:t>How these will be enacted is not clear. I</w:t>
      </w:r>
      <w:r>
        <w:t xml:space="preserve">f DHBs are to get the funding for regional population health programmes, this funding really does need to be ring fenced, otherwise the problem of hospital-dominated DHBs not giving greater priority to population health will continue. </w:t>
      </w:r>
    </w:p>
    <w:p w14:paraId="1B0BC934" w14:textId="77777777" w:rsidR="005A3ACA" w:rsidRDefault="005A3ACA" w:rsidP="005A3ACA">
      <w:pPr>
        <w:spacing w:after="120"/>
      </w:pPr>
      <w:r>
        <w:t>Child poverty could be improved if real actions occurred across each of these sectors as proposed: "Comprehensive and sustained action is required across multiple levels and multiple sectors, including health, transport, local government, housing, education and the natural environment, as well as commercial sectors such as the food and beverage industries". But it seems unlikely that the DHBs, Health NZ and/or the Ministry will have the power to influence these sectors in any substantive way.</w:t>
      </w:r>
    </w:p>
    <w:p w14:paraId="2E327F2C" w14:textId="77777777" w:rsidR="005A3ACA" w:rsidRDefault="005A3ACA" w:rsidP="005A3ACA">
      <w:pPr>
        <w:spacing w:after="120"/>
      </w:pPr>
    </w:p>
    <w:p w14:paraId="62458610" w14:textId="77777777" w:rsidR="005A3ACA" w:rsidRDefault="005A3ACA" w:rsidP="005A3ACA">
      <w:pPr>
        <w:spacing w:after="120"/>
        <w:rPr>
          <w:b/>
        </w:rPr>
      </w:pPr>
      <w:r>
        <w:rPr>
          <w:b/>
        </w:rPr>
        <w:t>Primary Care</w:t>
      </w:r>
    </w:p>
    <w:p w14:paraId="2034EDCE" w14:textId="77777777" w:rsidR="005A3ACA" w:rsidRDefault="005A3ACA" w:rsidP="005A3ACA">
      <w:pPr>
        <w:autoSpaceDE w:val="0"/>
        <w:autoSpaceDN w:val="0"/>
        <w:adjustRightInd w:val="0"/>
        <w:spacing w:after="120"/>
        <w:rPr>
          <w:rFonts w:eastAsia="Times New Roman"/>
          <w:color w:val="000000" w:themeColor="text1"/>
          <w:lang w:eastAsia="en-GB"/>
        </w:rPr>
      </w:pPr>
      <w:r>
        <w:rPr>
          <w:bCs/>
          <w:color w:val="000000" w:themeColor="text1"/>
        </w:rPr>
        <w:t xml:space="preserve">The great majority of child health services take place in primary care and community settings and it is here that a potential health sector contribution to alleviating child poverty can be best achieved. The report is again very light on detail about how the organisation of areas of care relevant to child health and poverty such as better coordination of maternity care can be achieved, where </w:t>
      </w:r>
      <w:r>
        <w:rPr>
          <w:rFonts w:eastAsia="Times New Roman"/>
          <w:color w:val="000000" w:themeColor="text1"/>
          <w:lang w:eastAsia="en-GB"/>
        </w:rPr>
        <w:t>general practice and primary care networks plays a crucial role.</w:t>
      </w:r>
    </w:p>
    <w:p w14:paraId="2993B115" w14:textId="77777777" w:rsidR="005A3ACA" w:rsidRDefault="005A3ACA" w:rsidP="005A3ACA">
      <w:pPr>
        <w:spacing w:after="120"/>
        <w:rPr>
          <w:rFonts w:eastAsia="Times New Roman"/>
          <w:lang w:eastAsia="en-GB"/>
        </w:rPr>
      </w:pPr>
      <w:r>
        <w:t>We support the recommendation to ring-fence Tier 1 services and emphasize localities. But p</w:t>
      </w:r>
      <w:r>
        <w:rPr>
          <w:rFonts w:eastAsia="Times New Roman"/>
          <w:lang w:eastAsia="en-GB"/>
        </w:rPr>
        <w:t xml:space="preserve">ractical recommendations are required as to how this would be achieved and how ‘funding creep’ from secondary care would be prevented. It is important that there is sufficient negotiation and </w:t>
      </w:r>
      <w:r>
        <w:rPr>
          <w:rFonts w:eastAsia="Times New Roman"/>
          <w:lang w:eastAsia="en-GB"/>
        </w:rPr>
        <w:lastRenderedPageBreak/>
        <w:t xml:space="preserve">discussion is achieved between the different members of the proposed Tier 1 grouping in relation to their activities that impact on child poverty and that current positive activities from different groups are not lost in any new grouping. </w:t>
      </w:r>
    </w:p>
    <w:p w14:paraId="21FD43C7" w14:textId="77777777" w:rsidR="005A3ACA" w:rsidRDefault="005A3ACA" w:rsidP="005A3ACA">
      <w:pPr>
        <w:spacing w:after="120"/>
      </w:pPr>
      <w:r>
        <w:t>General Practice remains at the core of Tier 1 services. However, General Practice itself received little mention, with no comment about the problems it currently faces, and how to solve them. These include:</w:t>
      </w:r>
    </w:p>
    <w:p w14:paraId="0C1DF845" w14:textId="77777777" w:rsidR="005A3ACA" w:rsidRDefault="005A3ACA" w:rsidP="005A3ACA">
      <w:pPr>
        <w:pStyle w:val="ListParagraph"/>
        <w:numPr>
          <w:ilvl w:val="0"/>
          <w:numId w:val="42"/>
        </w:numPr>
        <w:spacing w:after="120" w:line="240" w:lineRule="auto"/>
        <w:ind w:left="360"/>
      </w:pPr>
      <w:r>
        <w:t>access problems for children in low-income families – financial, transport, opening hours and location barriers:</w:t>
      </w:r>
    </w:p>
    <w:p w14:paraId="74CA33C6" w14:textId="77777777" w:rsidR="005A3ACA" w:rsidRDefault="005A3ACA" w:rsidP="005A3ACA">
      <w:pPr>
        <w:pStyle w:val="ListParagraph"/>
        <w:numPr>
          <w:ilvl w:val="0"/>
          <w:numId w:val="43"/>
        </w:numPr>
        <w:spacing w:after="120" w:line="240" w:lineRule="auto"/>
      </w:pPr>
      <w:r>
        <w:t>not enough general practices in some high needs areas, including closed lists</w:t>
      </w:r>
    </w:p>
    <w:p w14:paraId="0C31226D" w14:textId="77777777" w:rsidR="005A3ACA" w:rsidRDefault="005A3ACA" w:rsidP="005A3ACA">
      <w:pPr>
        <w:pStyle w:val="ListParagraph"/>
        <w:numPr>
          <w:ilvl w:val="0"/>
          <w:numId w:val="43"/>
        </w:numPr>
        <w:spacing w:after="120" w:line="240" w:lineRule="auto"/>
      </w:pPr>
      <w:r>
        <w:t>lack of extended after hours services</w:t>
      </w:r>
    </w:p>
    <w:p w14:paraId="54026DDD" w14:textId="77777777" w:rsidR="005A3ACA" w:rsidRDefault="005A3ACA" w:rsidP="005A3ACA">
      <w:pPr>
        <w:pStyle w:val="ListParagraph"/>
        <w:numPr>
          <w:ilvl w:val="0"/>
          <w:numId w:val="43"/>
        </w:numPr>
        <w:spacing w:after="120" w:line="240" w:lineRule="auto"/>
      </w:pPr>
      <w:r>
        <w:t>minimal or no ability to offer outreach services for those in high needs</w:t>
      </w:r>
    </w:p>
    <w:p w14:paraId="7C3D8EF3" w14:textId="77777777" w:rsidR="005A3ACA" w:rsidRDefault="005A3ACA" w:rsidP="005A3ACA">
      <w:pPr>
        <w:pStyle w:val="ListParagraph"/>
        <w:numPr>
          <w:ilvl w:val="0"/>
          <w:numId w:val="43"/>
        </w:numPr>
        <w:spacing w:after="120" w:line="240" w:lineRule="auto"/>
      </w:pPr>
      <w:r>
        <w:t xml:space="preserve">high costs for access to some </w:t>
      </w:r>
      <w:proofErr w:type="spellStart"/>
      <w:r>
        <w:t>after hours</w:t>
      </w:r>
      <w:proofErr w:type="spellEnd"/>
      <w:r>
        <w:t xml:space="preserve"> services,</w:t>
      </w:r>
    </w:p>
    <w:p w14:paraId="60A1EE0C" w14:textId="77777777" w:rsidR="005A3ACA" w:rsidRDefault="005A3ACA" w:rsidP="005A3ACA">
      <w:pPr>
        <w:pStyle w:val="ListParagraph"/>
        <w:numPr>
          <w:ilvl w:val="1"/>
          <w:numId w:val="44"/>
        </w:numPr>
        <w:spacing w:after="120" w:line="240" w:lineRule="auto"/>
      </w:pPr>
      <w:r>
        <w:t>Inappropriate overuse of ED services in some areas as a result</w:t>
      </w:r>
    </w:p>
    <w:p w14:paraId="3F36203F" w14:textId="77777777" w:rsidR="005A3ACA" w:rsidRDefault="005A3ACA" w:rsidP="005A3ACA">
      <w:pPr>
        <w:pStyle w:val="ListParagraph"/>
        <w:numPr>
          <w:ilvl w:val="0"/>
          <w:numId w:val="43"/>
        </w:numPr>
        <w:spacing w:after="120" w:line="240" w:lineRule="auto"/>
      </w:pPr>
      <w:r>
        <w:t>practices too far from families without no transport</w:t>
      </w:r>
    </w:p>
    <w:p w14:paraId="1A7FDB38" w14:textId="77777777" w:rsidR="005A3ACA" w:rsidRDefault="005A3ACA" w:rsidP="005A3ACA">
      <w:pPr>
        <w:pStyle w:val="ListParagraph"/>
        <w:numPr>
          <w:ilvl w:val="0"/>
          <w:numId w:val="43"/>
        </w:numPr>
        <w:spacing w:after="120" w:line="240" w:lineRule="auto"/>
      </w:pPr>
      <w:r>
        <w:t>long waiting times</w:t>
      </w:r>
    </w:p>
    <w:p w14:paraId="3609AE03" w14:textId="77777777" w:rsidR="005A3ACA" w:rsidRDefault="005A3ACA" w:rsidP="005A3ACA">
      <w:pPr>
        <w:pStyle w:val="ListParagraph"/>
        <w:numPr>
          <w:ilvl w:val="0"/>
          <w:numId w:val="43"/>
        </w:numPr>
        <w:spacing w:after="120" w:line="240" w:lineRule="auto"/>
      </w:pPr>
      <w:r>
        <w:t>high co-payments for poor parents living in high income areas</w:t>
      </w:r>
    </w:p>
    <w:p w14:paraId="2C658B8C" w14:textId="77777777" w:rsidR="005A3ACA" w:rsidRDefault="005A3ACA" w:rsidP="005A3ACA">
      <w:pPr>
        <w:pStyle w:val="ListParagraph"/>
        <w:numPr>
          <w:ilvl w:val="0"/>
          <w:numId w:val="43"/>
        </w:numPr>
        <w:spacing w:after="120" w:line="240" w:lineRule="auto"/>
      </w:pPr>
      <w:r>
        <w:t>family debt to the practice may delay presentation of children</w:t>
      </w:r>
    </w:p>
    <w:p w14:paraId="4EA74742" w14:textId="77777777" w:rsidR="005A3ACA" w:rsidRDefault="005A3ACA" w:rsidP="005A3ACA">
      <w:pPr>
        <w:pStyle w:val="ListParagraph"/>
        <w:numPr>
          <w:ilvl w:val="0"/>
          <w:numId w:val="43"/>
        </w:numPr>
        <w:spacing w:after="120" w:line="240" w:lineRule="auto"/>
      </w:pPr>
      <w:r>
        <w:t xml:space="preserve">lack of integration with other maternity services and </w:t>
      </w:r>
      <w:proofErr w:type="spellStart"/>
      <w:r>
        <w:t>wellchild</w:t>
      </w:r>
      <w:proofErr w:type="spellEnd"/>
      <w:r>
        <w:t>/</w:t>
      </w:r>
      <w:proofErr w:type="spellStart"/>
      <w:r>
        <w:t>tamariki</w:t>
      </w:r>
      <w:proofErr w:type="spellEnd"/>
      <w:r>
        <w:t xml:space="preserve"> </w:t>
      </w:r>
      <w:proofErr w:type="spellStart"/>
      <w:r>
        <w:t>ora</w:t>
      </w:r>
      <w:proofErr w:type="spellEnd"/>
      <w:r>
        <w:t xml:space="preserve"> services</w:t>
      </w:r>
    </w:p>
    <w:p w14:paraId="0265A12C" w14:textId="77777777" w:rsidR="005A3ACA" w:rsidRDefault="005A3ACA" w:rsidP="005A3ACA">
      <w:pPr>
        <w:pStyle w:val="ListParagraph"/>
        <w:numPr>
          <w:ilvl w:val="0"/>
          <w:numId w:val="42"/>
        </w:numPr>
        <w:spacing w:after="120" w:line="240" w:lineRule="auto"/>
        <w:ind w:left="360"/>
      </w:pPr>
      <w:r>
        <w:t>workforce needs</w:t>
      </w:r>
    </w:p>
    <w:p w14:paraId="0FE4C192" w14:textId="77777777" w:rsidR="005A3ACA" w:rsidRDefault="005A3ACA" w:rsidP="005A3ACA">
      <w:pPr>
        <w:pStyle w:val="ListParagraph"/>
        <w:numPr>
          <w:ilvl w:val="0"/>
          <w:numId w:val="45"/>
        </w:numPr>
        <w:spacing w:after="120" w:line="240" w:lineRule="auto"/>
      </w:pPr>
      <w:r>
        <w:t>sustainable work force</w:t>
      </w:r>
    </w:p>
    <w:p w14:paraId="55E2B470" w14:textId="77777777" w:rsidR="005A3ACA" w:rsidRDefault="005A3ACA" w:rsidP="005A3ACA">
      <w:pPr>
        <w:pStyle w:val="ListParagraph"/>
        <w:numPr>
          <w:ilvl w:val="1"/>
          <w:numId w:val="45"/>
        </w:numPr>
        <w:spacing w:after="120" w:line="240" w:lineRule="auto"/>
      </w:pPr>
      <w:r>
        <w:t>An aging general practitioner workforce</w:t>
      </w:r>
    </w:p>
    <w:p w14:paraId="75311895" w14:textId="77777777" w:rsidR="005A3ACA" w:rsidRDefault="005A3ACA" w:rsidP="005A3ACA">
      <w:pPr>
        <w:pStyle w:val="ListParagraph"/>
        <w:numPr>
          <w:ilvl w:val="0"/>
          <w:numId w:val="45"/>
        </w:numPr>
        <w:spacing w:after="120" w:line="240" w:lineRule="auto"/>
      </w:pPr>
      <w:r>
        <w:t>culturally appropriate practices</w:t>
      </w:r>
    </w:p>
    <w:p w14:paraId="7788FB8B" w14:textId="77777777" w:rsidR="005A3ACA" w:rsidRDefault="005A3ACA" w:rsidP="005A3ACA">
      <w:pPr>
        <w:pStyle w:val="ListParagraph"/>
        <w:numPr>
          <w:ilvl w:val="1"/>
          <w:numId w:val="45"/>
        </w:numPr>
        <w:spacing w:after="120" w:line="240" w:lineRule="auto"/>
      </w:pPr>
      <w:r>
        <w:t>inadequate number of Māori, Pacific and other diverse ethnic groups across the primary care workforce</w:t>
      </w:r>
    </w:p>
    <w:p w14:paraId="5D270798" w14:textId="77777777" w:rsidR="005A3ACA" w:rsidRDefault="005A3ACA" w:rsidP="005A3ACA">
      <w:pPr>
        <w:pStyle w:val="ListParagraph"/>
        <w:numPr>
          <w:ilvl w:val="0"/>
          <w:numId w:val="45"/>
        </w:numPr>
        <w:spacing w:after="120" w:line="240" w:lineRule="auto"/>
      </w:pPr>
      <w:r>
        <w:t>inadequate numbers of rural practices</w:t>
      </w:r>
    </w:p>
    <w:p w14:paraId="3D5B350D" w14:textId="77777777" w:rsidR="005A3ACA" w:rsidRDefault="005A3ACA" w:rsidP="005A3ACA">
      <w:pPr>
        <w:pStyle w:val="ListParagraph"/>
        <w:numPr>
          <w:ilvl w:val="0"/>
          <w:numId w:val="45"/>
        </w:numPr>
        <w:spacing w:after="120" w:line="240" w:lineRule="auto"/>
      </w:pPr>
      <w:r>
        <w:t>lack of continuity</w:t>
      </w:r>
    </w:p>
    <w:p w14:paraId="6F0EFD99" w14:textId="77777777" w:rsidR="005A3ACA" w:rsidRDefault="005A3ACA" w:rsidP="005A3ACA">
      <w:pPr>
        <w:pStyle w:val="ListParagraph"/>
        <w:numPr>
          <w:ilvl w:val="0"/>
          <w:numId w:val="45"/>
        </w:numPr>
        <w:spacing w:after="120" w:line="240" w:lineRule="auto"/>
      </w:pPr>
    </w:p>
    <w:p w14:paraId="2D23DA88" w14:textId="77777777" w:rsidR="005A3ACA" w:rsidRDefault="005A3ACA" w:rsidP="005A3ACA">
      <w:pPr>
        <w:pStyle w:val="ListParagraph"/>
        <w:numPr>
          <w:ilvl w:val="0"/>
          <w:numId w:val="42"/>
        </w:numPr>
        <w:spacing w:after="120" w:line="240" w:lineRule="auto"/>
        <w:ind w:left="360"/>
      </w:pPr>
      <w:r>
        <w:t>Practices with business models which tend to amplify the above issues</w:t>
      </w:r>
    </w:p>
    <w:p w14:paraId="5383684D" w14:textId="77777777" w:rsidR="005A3ACA" w:rsidRDefault="005A3ACA" w:rsidP="005A3ACA">
      <w:pPr>
        <w:pStyle w:val="ListParagraph"/>
        <w:numPr>
          <w:ilvl w:val="0"/>
          <w:numId w:val="42"/>
        </w:numPr>
        <w:spacing w:after="120" w:line="240" w:lineRule="auto"/>
        <w:ind w:left="360"/>
      </w:pPr>
      <w:r>
        <w:t xml:space="preserve">The role and place of PHOs and their interactions with DHBs.   </w:t>
      </w:r>
    </w:p>
    <w:p w14:paraId="73452417" w14:textId="77777777" w:rsidR="005A3ACA" w:rsidRDefault="005A3ACA" w:rsidP="005A3ACA">
      <w:pPr>
        <w:spacing w:after="120"/>
      </w:pPr>
    </w:p>
    <w:p w14:paraId="3E86898E" w14:textId="77777777" w:rsidR="005A3ACA" w:rsidRDefault="005A3ACA" w:rsidP="005A3ACA">
      <w:pPr>
        <w:autoSpaceDE w:val="0"/>
        <w:autoSpaceDN w:val="0"/>
        <w:adjustRightInd w:val="0"/>
        <w:spacing w:after="120"/>
        <w:rPr>
          <w:b/>
          <w:color w:val="000000" w:themeColor="text1"/>
        </w:rPr>
      </w:pPr>
      <w:r>
        <w:rPr>
          <w:b/>
          <w:color w:val="000000" w:themeColor="text1"/>
        </w:rPr>
        <w:t>Organisation</w:t>
      </w:r>
    </w:p>
    <w:p w14:paraId="4A57E886" w14:textId="77777777" w:rsidR="005A3ACA" w:rsidRDefault="005A3ACA" w:rsidP="005A3ACA">
      <w:pPr>
        <w:autoSpaceDE w:val="0"/>
        <w:autoSpaceDN w:val="0"/>
        <w:adjustRightInd w:val="0"/>
        <w:spacing w:after="120"/>
        <w:rPr>
          <w:color w:val="000000" w:themeColor="text1"/>
        </w:rPr>
      </w:pPr>
      <w:r>
        <w:rPr>
          <w:color w:val="000000" w:themeColor="text1"/>
        </w:rPr>
        <w:t>The report suggests that there is a lot to be reorganised – three instead of one peak health body, and there is no clear implementation pathway.</w:t>
      </w:r>
    </w:p>
    <w:p w14:paraId="298031A6" w14:textId="77777777" w:rsidR="005A3ACA" w:rsidRDefault="005A3ACA" w:rsidP="005A3ACA">
      <w:pPr>
        <w:spacing w:after="120"/>
        <w:rPr>
          <w:iCs/>
          <w:color w:val="000000" w:themeColor="text1"/>
        </w:rPr>
      </w:pPr>
      <w:r>
        <w:rPr>
          <w:color w:val="000000" w:themeColor="text1"/>
        </w:rPr>
        <w:t xml:space="preserve">The issue of national versus devolved services is complex, and may not work well if it is not set up appropriately.  There is support for </w:t>
      </w:r>
      <w:r>
        <w:rPr>
          <w:iCs/>
          <w:color w:val="000000" w:themeColor="text1"/>
        </w:rPr>
        <w:t xml:space="preserve">commissioning and delivering a range of integrated services on a locality basis, but funding needs to be ring fenced so that hospital deficits are not paid for through primary and population health services spending. </w:t>
      </w:r>
    </w:p>
    <w:p w14:paraId="35FD8665" w14:textId="77777777" w:rsidR="005A3ACA" w:rsidRDefault="005A3ACA" w:rsidP="005A3ACA">
      <w:pPr>
        <w:spacing w:after="120"/>
        <w:rPr>
          <w:rFonts w:eastAsia="Times New Roman"/>
          <w:color w:val="000000" w:themeColor="text1"/>
        </w:rPr>
      </w:pPr>
      <w:r>
        <w:rPr>
          <w:rFonts w:eastAsia="Times New Roman"/>
          <w:color w:val="000000" w:themeColor="text1"/>
        </w:rPr>
        <w:t xml:space="preserve">There are also concerns at a local community level what the role of existing organisations such as PHOs will be and also what, if any, would be the role or continuation of organisations with an existing national role that may be devolved </w:t>
      </w:r>
      <w:proofErr w:type="spellStart"/>
      <w:r>
        <w:rPr>
          <w:rFonts w:eastAsia="Times New Roman"/>
          <w:color w:val="000000" w:themeColor="text1"/>
        </w:rPr>
        <w:t>eg</w:t>
      </w:r>
      <w:proofErr w:type="spellEnd"/>
      <w:r>
        <w:rPr>
          <w:rFonts w:eastAsia="Times New Roman"/>
          <w:color w:val="000000" w:themeColor="text1"/>
        </w:rPr>
        <w:t xml:space="preserve"> Plunket. </w:t>
      </w:r>
    </w:p>
    <w:p w14:paraId="5A19A968" w14:textId="77777777" w:rsidR="005A3ACA" w:rsidRDefault="005A3ACA" w:rsidP="005A3ACA">
      <w:pPr>
        <w:spacing w:after="120"/>
      </w:pPr>
      <w:r>
        <w:t xml:space="preserve">We are disappointed in the recommendation to disestablish the </w:t>
      </w:r>
      <w:proofErr w:type="spellStart"/>
      <w:r>
        <w:t>Te</w:t>
      </w:r>
      <w:proofErr w:type="spellEnd"/>
      <w:r>
        <w:t xml:space="preserve"> </w:t>
      </w:r>
      <w:proofErr w:type="spellStart"/>
      <w:r>
        <w:t>Hiringa</w:t>
      </w:r>
      <w:proofErr w:type="spellEnd"/>
      <w:r>
        <w:t xml:space="preserve"> Hauora (Health Promotion Agency) as this could lead to further fragmentation of health promotion across the Ministry of Health, Māori Health Authority, </w:t>
      </w:r>
      <w:proofErr w:type="spellStart"/>
      <w:r>
        <w:t>HealthNZ</w:t>
      </w:r>
      <w:proofErr w:type="spellEnd"/>
      <w:r>
        <w:t xml:space="preserve">, DHBs, primary care, and NGOs. Critical health promotion work that is being carried out by </w:t>
      </w:r>
      <w:proofErr w:type="spellStart"/>
      <w:r>
        <w:t>Te</w:t>
      </w:r>
      <w:proofErr w:type="spellEnd"/>
      <w:r>
        <w:t xml:space="preserve"> </w:t>
      </w:r>
      <w:proofErr w:type="spellStart"/>
      <w:r>
        <w:t>Hiringa</w:t>
      </w:r>
      <w:proofErr w:type="spellEnd"/>
      <w:r>
        <w:t xml:space="preserve"> Hauora to address maternal smoking cessation and alcohol use, and promotion of childhood immunisations could also be disrupted.</w:t>
      </w:r>
    </w:p>
    <w:p w14:paraId="2584D705" w14:textId="77777777" w:rsidR="005A3ACA" w:rsidRDefault="005A3ACA" w:rsidP="005A3ACA">
      <w:pPr>
        <w:spacing w:after="120"/>
      </w:pPr>
      <w:r>
        <w:t xml:space="preserve">Reduction in the number of DHBs has merit, but localities such as Northland and Tai </w:t>
      </w:r>
      <w:proofErr w:type="spellStart"/>
      <w:r>
        <w:t>Rawhiti</w:t>
      </w:r>
      <w:proofErr w:type="spellEnd"/>
      <w:r>
        <w:t xml:space="preserve"> have their own unique communities and populations; if DHBs are going to merge, it is important to ensure </w:t>
      </w:r>
      <w:r>
        <w:lastRenderedPageBreak/>
        <w:t>the voice and the needs of these largely Māori communities are heard and have some agency over their strategic planning, functioning and resourcing.</w:t>
      </w:r>
    </w:p>
    <w:p w14:paraId="7439A54B" w14:textId="77777777" w:rsidR="005A3ACA" w:rsidRDefault="005A3ACA" w:rsidP="005A3ACA">
      <w:pPr>
        <w:spacing w:after="120"/>
        <w:rPr>
          <w:rFonts w:eastAsia="Times New Roman"/>
          <w:color w:val="000000" w:themeColor="text1"/>
        </w:rPr>
      </w:pPr>
      <w:r>
        <w:rPr>
          <w:rFonts w:eastAsia="Times New Roman"/>
          <w:color w:val="000000" w:themeColor="text1"/>
        </w:rPr>
        <w:t>If the funding and accountability is to sit at the DHB level, which is what this report is advocating, DHBs will need clear guidance  and  accountability as to how prioritise the competing needs of their populations. Given that DHBs are currently in significant deficit, direction and oversight will be required to ensure that urgent infrastructure and secondary service needs are not inappropriately prioritised over the needs of the disability sector, and longer term approaches to improving population health and resolving equity issues.</w:t>
      </w:r>
    </w:p>
    <w:p w14:paraId="62871D37" w14:textId="77777777" w:rsidR="005A3ACA" w:rsidRDefault="005A3ACA" w:rsidP="005A3ACA">
      <w:pPr>
        <w:spacing w:after="120"/>
      </w:pPr>
    </w:p>
    <w:p w14:paraId="7478A144" w14:textId="77777777" w:rsidR="005A3ACA" w:rsidRDefault="005A3ACA" w:rsidP="005A3ACA">
      <w:pPr>
        <w:spacing w:after="120"/>
        <w:rPr>
          <w:b/>
          <w:color w:val="000000" w:themeColor="text1"/>
        </w:rPr>
      </w:pPr>
      <w:r>
        <w:rPr>
          <w:b/>
          <w:color w:val="000000" w:themeColor="text1"/>
        </w:rPr>
        <w:t>Child poverty and child health</w:t>
      </w:r>
    </w:p>
    <w:p w14:paraId="52CFA92F" w14:textId="77777777" w:rsidR="005A3ACA" w:rsidRDefault="005A3ACA" w:rsidP="005A3ACA">
      <w:pPr>
        <w:spacing w:after="120"/>
        <w:rPr>
          <w:color w:val="000000" w:themeColor="text1"/>
        </w:rPr>
      </w:pPr>
      <w:r>
        <w:rPr>
          <w:color w:val="000000" w:themeColor="text1"/>
        </w:rPr>
        <w:t>There is some commentary in the Report about how health is adversely affected by poverty/socioeconomic deprivation/determinants of health (although little focus on poverty mentioned only seven times).  It is pleasing that the Review proposes “increased ethnicity and socioeconomic deprivation weighting within the population-based funding formula”.</w:t>
      </w:r>
    </w:p>
    <w:p w14:paraId="039A571B" w14:textId="77777777" w:rsidR="005A3ACA" w:rsidRDefault="005A3ACA" w:rsidP="005A3ACA">
      <w:pPr>
        <w:spacing w:after="120"/>
        <w:rPr>
          <w:color w:val="000000" w:themeColor="text1"/>
        </w:rPr>
      </w:pPr>
      <w:r>
        <w:rPr>
          <w:color w:val="000000" w:themeColor="text1"/>
        </w:rPr>
        <w:t xml:space="preserve">Intergenerational poverty is mentioned, but child poverty is not directly mentioned anywhere in the report, even though children are disproportionately affected by poverty compared with other age groups, with high health and disability consequences. </w:t>
      </w:r>
    </w:p>
    <w:p w14:paraId="530C50EB" w14:textId="77777777" w:rsidR="005A3ACA" w:rsidRDefault="005A3ACA" w:rsidP="005A3ACA">
      <w:pPr>
        <w:autoSpaceDE w:val="0"/>
        <w:autoSpaceDN w:val="0"/>
        <w:adjustRightInd w:val="0"/>
        <w:spacing w:after="120"/>
        <w:rPr>
          <w:rFonts w:eastAsia="Times New Roman"/>
          <w:color w:val="000000" w:themeColor="text1"/>
          <w:lang w:eastAsia="en-GB"/>
        </w:rPr>
      </w:pPr>
      <w:r>
        <w:rPr>
          <w:color w:val="000000" w:themeColor="text1"/>
        </w:rPr>
        <w:t xml:space="preserve">While the Report states that “the first 1,000 days of a child’s life is a crucial time for development that sets the stage for physical and mental wellbeing throughout life” there is little in the Report that would focus on this concern to address the shortcomings in the current system. </w:t>
      </w:r>
      <w:r>
        <w:rPr>
          <w:rFonts w:eastAsia="Times New Roman"/>
          <w:color w:val="000000" w:themeColor="text1"/>
          <w:lang w:eastAsia="en-GB"/>
        </w:rPr>
        <w:t xml:space="preserve">While locality organisation of maternal and child health services has the potential to enhance community agency and local innovation, there are dangers of further fragmentation and losing out in locality-competing demands unless carefully designed. </w:t>
      </w:r>
    </w:p>
    <w:p w14:paraId="1A89245C" w14:textId="77777777" w:rsidR="005A3ACA" w:rsidRDefault="005A3ACA" w:rsidP="005A3ACA">
      <w:pPr>
        <w:spacing w:after="120"/>
        <w:rPr>
          <w:rFonts w:eastAsia="Times New Roman"/>
          <w:color w:val="000000" w:themeColor="text1"/>
        </w:rPr>
      </w:pPr>
    </w:p>
    <w:p w14:paraId="1A44A0DC" w14:textId="77777777" w:rsidR="005A3ACA" w:rsidRDefault="005A3ACA" w:rsidP="005A3ACA">
      <w:pPr>
        <w:spacing w:after="120"/>
        <w:rPr>
          <w:rFonts w:eastAsia="Times New Roman"/>
          <w:color w:val="000000" w:themeColor="text1"/>
        </w:rPr>
      </w:pPr>
      <w:r>
        <w:rPr>
          <w:rFonts w:eastAsia="Times New Roman"/>
          <w:color w:val="000000" w:themeColor="text1"/>
        </w:rPr>
        <w:t>We believe that fully addressing the issues we have raised here will help to improve the poor health and disability outcomes for children living in poverty.</w:t>
      </w:r>
    </w:p>
    <w:p w14:paraId="55DBDDAE" w14:textId="77777777" w:rsidR="005A3ACA" w:rsidRDefault="005A3ACA" w:rsidP="005A3ACA">
      <w:pPr>
        <w:spacing w:after="120"/>
        <w:rPr>
          <w:color w:val="000000" w:themeColor="text1"/>
        </w:rPr>
      </w:pPr>
    </w:p>
    <w:p w14:paraId="6ED43A2B" w14:textId="77777777" w:rsidR="005A3ACA" w:rsidRDefault="005A3ACA" w:rsidP="005A3ACA">
      <w:pPr>
        <w:spacing w:after="120"/>
        <w:rPr>
          <w:color w:val="000000" w:themeColor="text1"/>
        </w:rPr>
      </w:pPr>
      <w:r>
        <w:rPr>
          <w:color w:val="000000" w:themeColor="text1"/>
        </w:rPr>
        <w:t>Yours faithfully</w:t>
      </w:r>
    </w:p>
    <w:p w14:paraId="5EC87B48" w14:textId="77777777" w:rsidR="005A3ACA" w:rsidRDefault="005A3ACA" w:rsidP="005A3ACA">
      <w:pPr>
        <w:spacing w:after="0"/>
        <w:rPr>
          <w:color w:val="000000" w:themeColor="text1"/>
        </w:rPr>
      </w:pPr>
      <w:r>
        <w:rPr>
          <w:color w:val="000000" w:themeColor="text1"/>
        </w:rPr>
        <w:t>Professor Innes Asher</w:t>
      </w:r>
    </w:p>
    <w:p w14:paraId="4C2E5624" w14:textId="77777777" w:rsidR="005A3ACA" w:rsidRDefault="005A3ACA" w:rsidP="005A3ACA">
      <w:pPr>
        <w:spacing w:after="0"/>
        <w:rPr>
          <w:color w:val="000000" w:themeColor="text1"/>
        </w:rPr>
      </w:pPr>
      <w:r>
        <w:rPr>
          <w:color w:val="000000" w:themeColor="text1"/>
        </w:rPr>
        <w:t>Associate Professor Nikki Turner</w:t>
      </w:r>
    </w:p>
    <w:p w14:paraId="28AB8CE1" w14:textId="77777777" w:rsidR="005A3ACA" w:rsidRDefault="005A3ACA" w:rsidP="005A3ACA">
      <w:pPr>
        <w:spacing w:after="0"/>
        <w:rPr>
          <w:color w:val="000000" w:themeColor="text1"/>
        </w:rPr>
      </w:pPr>
      <w:r>
        <w:rPr>
          <w:color w:val="000000" w:themeColor="text1"/>
        </w:rPr>
        <w:t>Professor Tony Dowell</w:t>
      </w:r>
    </w:p>
    <w:p w14:paraId="5848597F" w14:textId="77777777" w:rsidR="005A3ACA" w:rsidRDefault="005A3ACA" w:rsidP="005A3ACA">
      <w:pPr>
        <w:spacing w:after="0"/>
        <w:rPr>
          <w:color w:val="000000" w:themeColor="text1"/>
        </w:rPr>
      </w:pPr>
      <w:r>
        <w:rPr>
          <w:color w:val="000000" w:themeColor="text1"/>
        </w:rPr>
        <w:t>Honorary Professor Toni Ashton</w:t>
      </w:r>
    </w:p>
    <w:p w14:paraId="6A9E3B18" w14:textId="77777777" w:rsidR="005A3ACA" w:rsidRDefault="005A3ACA" w:rsidP="005A3ACA">
      <w:pPr>
        <w:spacing w:after="120"/>
        <w:rPr>
          <w:color w:val="000000" w:themeColor="text1"/>
        </w:rPr>
      </w:pPr>
      <w:r>
        <w:rPr>
          <w:color w:val="000000" w:themeColor="text1"/>
        </w:rPr>
        <w:t>on behalf of Child Poverty Action Group</w:t>
      </w:r>
    </w:p>
    <w:p w14:paraId="4F4C8EFB" w14:textId="77777777" w:rsidR="005A3ACA" w:rsidRPr="005A3ACA" w:rsidRDefault="005A3ACA" w:rsidP="005A3ACA"/>
    <w:p w14:paraId="66A551A4" w14:textId="3DEDA73A" w:rsidR="00D54986" w:rsidRPr="002303F2" w:rsidRDefault="00D54986">
      <w:pPr>
        <w:rPr>
          <w:rFonts w:cstheme="minorHAnsi"/>
          <w:sz w:val="24"/>
          <w:szCs w:val="24"/>
        </w:rPr>
      </w:pPr>
      <w:r>
        <w:rPr>
          <w:sz w:val="36"/>
          <w:szCs w:val="36"/>
          <w:lang w:val="en-US"/>
        </w:rPr>
        <w:br w:type="page"/>
      </w:r>
    </w:p>
    <w:p w14:paraId="327CDBB6" w14:textId="4C68AC43" w:rsidR="007D7FC9" w:rsidRPr="007D7FC9" w:rsidRDefault="007D7FC9">
      <w:pPr>
        <w:rPr>
          <w:sz w:val="36"/>
          <w:szCs w:val="36"/>
          <w:lang w:val="en-US"/>
        </w:rPr>
      </w:pPr>
      <w:r w:rsidRPr="007D7FC9">
        <w:rPr>
          <w:sz w:val="36"/>
          <w:szCs w:val="36"/>
          <w:lang w:val="en-US"/>
        </w:rPr>
        <w:lastRenderedPageBreak/>
        <w:t>References</w:t>
      </w:r>
    </w:p>
    <w:p w14:paraId="64F54FCD" w14:textId="77777777" w:rsidR="00D54986" w:rsidRPr="00493F9A" w:rsidRDefault="00D54986" w:rsidP="00493F9A">
      <w:pPr>
        <w:pStyle w:val="ListParagraph"/>
        <w:spacing w:after="40" w:line="240" w:lineRule="auto"/>
        <w:ind w:left="270" w:hanging="180"/>
        <w:contextualSpacing w:val="0"/>
        <w:rPr>
          <w:rFonts w:ascii="Calibri" w:hAnsi="Calibri" w:cs="Calibri"/>
        </w:rPr>
      </w:pPr>
      <w:r w:rsidRPr="00493F9A">
        <w:rPr>
          <w:rFonts w:ascii="Calibri" w:hAnsi="Calibri" w:cs="Calibri"/>
        </w:rPr>
        <w:t xml:space="preserve">1news (2020) “Children's Commissioner says too many Kiwi kids leaving school to help </w:t>
      </w:r>
      <w:proofErr w:type="spellStart"/>
      <w:r w:rsidRPr="00493F9A">
        <w:rPr>
          <w:rFonts w:ascii="Calibri" w:hAnsi="Calibri" w:cs="Calibri"/>
        </w:rPr>
        <w:t>whānau</w:t>
      </w:r>
      <w:proofErr w:type="spellEnd"/>
      <w:r w:rsidRPr="00493F9A">
        <w:rPr>
          <w:rFonts w:ascii="Calibri" w:hAnsi="Calibri" w:cs="Calibri"/>
        </w:rPr>
        <w:t xml:space="preserve"> with Covid-19 financial burdens” 19 August 2020, TVNZ. </w:t>
      </w:r>
      <w:hyperlink r:id="rId30" w:history="1">
        <w:r w:rsidRPr="00493F9A">
          <w:rPr>
            <w:rStyle w:val="Hyperlink"/>
            <w:rFonts w:ascii="Calibri" w:hAnsi="Calibri" w:cs="Calibri"/>
          </w:rPr>
          <w:t>https://www.tvnz.co.nz/one-news/new-zealand/childrenscommissioner-says-too-many-kiwi-kids-leaving-school-help-wh-nau-covid-19-financial-burdens</w:t>
        </w:r>
      </w:hyperlink>
      <w:r w:rsidRPr="00493F9A">
        <w:rPr>
          <w:rFonts w:ascii="Calibri" w:hAnsi="Calibri" w:cs="Calibri"/>
        </w:rPr>
        <w:t xml:space="preserve">  </w:t>
      </w:r>
    </w:p>
    <w:p w14:paraId="03C02CC4" w14:textId="50AA517B" w:rsidR="00D54986" w:rsidRPr="00493F9A" w:rsidRDefault="00D54986" w:rsidP="00493F9A">
      <w:pPr>
        <w:pStyle w:val="ListParagraph"/>
        <w:spacing w:after="40" w:line="240" w:lineRule="auto"/>
        <w:ind w:left="270" w:hanging="180"/>
        <w:contextualSpacing w:val="0"/>
        <w:rPr>
          <w:rFonts w:ascii="Calibri" w:hAnsi="Calibri" w:cs="Calibri"/>
        </w:rPr>
      </w:pPr>
      <w:r w:rsidRPr="00493F9A">
        <w:rPr>
          <w:rFonts w:ascii="Calibri" w:hAnsi="Calibri" w:cs="Calibri"/>
        </w:rPr>
        <w:t xml:space="preserve">Biddle, D.L. (2020) “The </w:t>
      </w:r>
      <w:proofErr w:type="spellStart"/>
      <w:r w:rsidRPr="00493F9A">
        <w:rPr>
          <w:rFonts w:ascii="Calibri" w:hAnsi="Calibri" w:cs="Calibri"/>
        </w:rPr>
        <w:t>Covid</w:t>
      </w:r>
      <w:proofErr w:type="spellEnd"/>
      <w:r w:rsidRPr="00493F9A">
        <w:rPr>
          <w:rFonts w:ascii="Calibri" w:hAnsi="Calibri" w:cs="Calibri"/>
        </w:rPr>
        <w:t xml:space="preserve"> Diaries: Kia Aroha College, the students forgotten during lockdown” 16 August 2020, Stuff. </w:t>
      </w:r>
      <w:hyperlink r:id="rId31" w:history="1">
        <w:r w:rsidRPr="00493F9A">
          <w:rPr>
            <w:rStyle w:val="Hyperlink"/>
            <w:rFonts w:ascii="Calibri" w:hAnsi="Calibri" w:cs="Calibri"/>
          </w:rPr>
          <w:t>https://www.stuff.co.nz/national/122188758/the-covid-diaries-kia-aroha-college-the-students-forgottenduring-lockdown</w:t>
        </w:r>
      </w:hyperlink>
    </w:p>
    <w:p w14:paraId="3104C555" w14:textId="4352D9A2" w:rsidR="001A2EA4" w:rsidRPr="00493F9A" w:rsidRDefault="001A2EA4" w:rsidP="00493F9A">
      <w:pPr>
        <w:pStyle w:val="ListParagraph"/>
        <w:spacing w:after="40" w:line="240" w:lineRule="auto"/>
        <w:ind w:left="270" w:hanging="180"/>
        <w:contextualSpacing w:val="0"/>
        <w:rPr>
          <w:rFonts w:ascii="Calibri" w:hAnsi="Calibri" w:cs="Calibri"/>
        </w:rPr>
      </w:pPr>
      <w:r w:rsidRPr="00493F9A">
        <w:rPr>
          <w:rFonts w:ascii="Calibri" w:hAnsi="Calibri" w:cs="Calibri"/>
        </w:rPr>
        <w:t>Corlett, E. (2020) Homeless youth 'not able to get the support they need'. RNZ.</w:t>
      </w:r>
      <w:r w:rsidR="008A77F2">
        <w:rPr>
          <w:rFonts w:ascii="Calibri" w:hAnsi="Calibri" w:cs="Calibri"/>
        </w:rPr>
        <w:t xml:space="preserve"> </w:t>
      </w:r>
      <w:hyperlink r:id="rId32" w:history="1">
        <w:r w:rsidRPr="00493F9A">
          <w:rPr>
            <w:rStyle w:val="Hyperlink"/>
            <w:rFonts w:ascii="Calibri" w:hAnsi="Calibri" w:cs="Calibri"/>
          </w:rPr>
          <w:t>https://www.rnz.co.nz/news/national/428193/homeless-youth-not-able-to-get-the-support-they-need</w:t>
        </w:r>
      </w:hyperlink>
      <w:r w:rsidRPr="00493F9A">
        <w:rPr>
          <w:rFonts w:ascii="Calibri" w:hAnsi="Calibri" w:cs="Calibri"/>
        </w:rPr>
        <w:t xml:space="preserve"> </w:t>
      </w:r>
    </w:p>
    <w:p w14:paraId="55890B4F" w14:textId="464E8C25" w:rsidR="00AA6260" w:rsidRPr="00493F9A" w:rsidRDefault="00AA6260" w:rsidP="00AA6260">
      <w:pPr>
        <w:shd w:val="clear" w:color="auto" w:fill="FFFFFF"/>
        <w:spacing w:after="40" w:line="240" w:lineRule="auto"/>
        <w:ind w:left="270" w:hanging="180"/>
        <w:rPr>
          <w:rFonts w:ascii="Calibri" w:eastAsia="Times New Roman" w:hAnsi="Calibri" w:cs="Calibri"/>
          <w:lang w:eastAsia="en-NZ"/>
        </w:rPr>
      </w:pPr>
      <w:r>
        <w:rPr>
          <w:rFonts w:ascii="Calibri" w:eastAsia="Times New Roman" w:hAnsi="Calibri" w:cs="Calibri"/>
          <w:lang w:eastAsia="en-NZ"/>
        </w:rPr>
        <w:t xml:space="preserve">CPAG (2020) </w:t>
      </w:r>
      <w:r w:rsidRPr="00493F9A">
        <w:rPr>
          <w:rFonts w:ascii="Calibri" w:eastAsia="Times New Roman" w:hAnsi="Calibri" w:cs="Calibri"/>
          <w:lang w:eastAsia="en-NZ"/>
        </w:rPr>
        <w:t xml:space="preserve"> ‘</w:t>
      </w:r>
      <w:r w:rsidRPr="00687A23">
        <w:rPr>
          <w:rFonts w:ascii="Calibri" w:eastAsia="Times New Roman" w:hAnsi="Calibri" w:cs="Calibri"/>
          <w:lang w:eastAsia="en-NZ"/>
        </w:rPr>
        <w:t>Sheltering our children from COVID-19 fallout:</w:t>
      </w:r>
      <w:r>
        <w:rPr>
          <w:rFonts w:ascii="Calibri" w:eastAsia="Times New Roman" w:hAnsi="Calibri" w:cs="Calibri"/>
          <w:lang w:eastAsia="en-NZ"/>
        </w:rPr>
        <w:t xml:space="preserve"> </w:t>
      </w:r>
      <w:r w:rsidRPr="00687A23">
        <w:rPr>
          <w:rFonts w:ascii="Calibri" w:eastAsia="Times New Roman" w:hAnsi="Calibri" w:cs="Calibri"/>
          <w:lang w:eastAsia="en-NZ"/>
        </w:rPr>
        <w:t>New Zealand must raise incomes for the financially</w:t>
      </w:r>
      <w:r>
        <w:rPr>
          <w:rFonts w:ascii="Calibri" w:eastAsia="Times New Roman" w:hAnsi="Calibri" w:cs="Calibri"/>
          <w:lang w:eastAsia="en-NZ"/>
        </w:rPr>
        <w:t xml:space="preserve"> </w:t>
      </w:r>
      <w:r w:rsidRPr="00687A23">
        <w:rPr>
          <w:rFonts w:ascii="Calibri" w:eastAsia="Times New Roman" w:hAnsi="Calibri" w:cs="Calibri"/>
          <w:lang w:eastAsia="en-NZ"/>
        </w:rPr>
        <w:t>vulnerable instead of cutting their incomes on 1 October</w:t>
      </w:r>
      <w:r>
        <w:rPr>
          <w:rFonts w:ascii="Calibri" w:eastAsia="Times New Roman" w:hAnsi="Calibri" w:cs="Calibri"/>
          <w:lang w:eastAsia="en-NZ"/>
        </w:rPr>
        <w:t xml:space="preserve"> </w:t>
      </w:r>
      <w:r w:rsidRPr="00687A23">
        <w:rPr>
          <w:rFonts w:ascii="Calibri" w:eastAsia="Times New Roman" w:hAnsi="Calibri" w:cs="Calibri"/>
          <w:lang w:eastAsia="en-NZ"/>
        </w:rPr>
        <w:t>2020 as planned</w:t>
      </w:r>
      <w:r w:rsidRPr="00493F9A">
        <w:rPr>
          <w:rFonts w:ascii="Calibri" w:eastAsia="Times New Roman" w:hAnsi="Calibri" w:cs="Calibri"/>
          <w:lang w:eastAsia="en-NZ"/>
        </w:rPr>
        <w:t>. Child Poverty Action Group</w:t>
      </w:r>
      <w:r w:rsidR="008A77F2">
        <w:rPr>
          <w:rFonts w:ascii="Calibri" w:eastAsia="Times New Roman" w:hAnsi="Calibri" w:cs="Calibri"/>
          <w:lang w:eastAsia="en-NZ"/>
        </w:rPr>
        <w:t xml:space="preserve"> </w:t>
      </w:r>
      <w:hyperlink r:id="rId33" w:history="1">
        <w:r w:rsidR="008A77F2" w:rsidRPr="00AA03CF">
          <w:rPr>
            <w:rStyle w:val="Hyperlink"/>
          </w:rPr>
          <w:t>https://www.cpag.org.nz/assets/Sheltering%20Our%20Children%20from%20COVID19%20Fallout%2028%20Aug.pdf</w:t>
        </w:r>
      </w:hyperlink>
      <w:r>
        <w:t xml:space="preserve"> </w:t>
      </w:r>
    </w:p>
    <w:p w14:paraId="27A957F8" w14:textId="282BEDD2" w:rsidR="00AA6260" w:rsidRDefault="00AA6260" w:rsidP="00493F9A">
      <w:pPr>
        <w:pStyle w:val="ListParagraph"/>
        <w:spacing w:after="40" w:line="240" w:lineRule="auto"/>
        <w:ind w:left="270" w:hanging="180"/>
        <w:contextualSpacing w:val="0"/>
        <w:rPr>
          <w:rFonts w:ascii="Calibri" w:hAnsi="Calibri" w:cs="Calibri"/>
        </w:rPr>
      </w:pPr>
      <w:r>
        <w:rPr>
          <w:rFonts w:ascii="Calibri" w:hAnsi="Calibri" w:cs="Calibri"/>
        </w:rPr>
        <w:t xml:space="preserve">Cure Kids (2020). </w:t>
      </w:r>
      <w:r w:rsidR="00293982">
        <w:t xml:space="preserve">State of Child Health in Aotearoa New Zealand. Cure Kids. </w:t>
      </w:r>
      <w:hyperlink r:id="rId34" w:history="1">
        <w:r w:rsidR="00293982" w:rsidRPr="00AA03CF">
          <w:rPr>
            <w:rStyle w:val="Hyperlink"/>
          </w:rPr>
          <w:t>https://curekids.org.nz/wp-content/uploads/2020/11/Cure-Kids_State-of-Child-Health-Report_2020_FINAL.pdf</w:t>
        </w:r>
      </w:hyperlink>
      <w:r w:rsidR="00293982">
        <w:t xml:space="preserve"> </w:t>
      </w:r>
    </w:p>
    <w:p w14:paraId="510ACB59" w14:textId="2CA46253" w:rsidR="00D54986" w:rsidRPr="00493F9A" w:rsidRDefault="00D54986" w:rsidP="00493F9A">
      <w:pPr>
        <w:pStyle w:val="ListParagraph"/>
        <w:spacing w:after="40" w:line="240" w:lineRule="auto"/>
        <w:ind w:left="270" w:hanging="180"/>
        <w:contextualSpacing w:val="0"/>
        <w:rPr>
          <w:rFonts w:ascii="Calibri" w:hAnsi="Calibri" w:cs="Calibri"/>
          <w:lang w:val="en-US"/>
        </w:rPr>
      </w:pPr>
      <w:r w:rsidRPr="00493F9A">
        <w:rPr>
          <w:rFonts w:ascii="Calibri" w:hAnsi="Calibri" w:cs="Calibri"/>
        </w:rPr>
        <w:t xml:space="preserve">Fallow, </w:t>
      </w:r>
      <w:r w:rsidR="00685C06" w:rsidRPr="00493F9A">
        <w:rPr>
          <w:rFonts w:ascii="Calibri" w:hAnsi="Calibri" w:cs="Calibri"/>
        </w:rPr>
        <w:t>B. (</w:t>
      </w:r>
      <w:r w:rsidRPr="00493F9A">
        <w:rPr>
          <w:rFonts w:ascii="Calibri" w:hAnsi="Calibri" w:cs="Calibri"/>
        </w:rPr>
        <w:t>2020</w:t>
      </w:r>
      <w:r w:rsidR="00685C06" w:rsidRPr="00493F9A">
        <w:rPr>
          <w:rFonts w:ascii="Calibri" w:hAnsi="Calibri" w:cs="Calibri"/>
        </w:rPr>
        <w:t>)</w:t>
      </w:r>
      <w:r w:rsidR="00293982">
        <w:rPr>
          <w:rFonts w:ascii="Calibri" w:hAnsi="Calibri" w:cs="Calibri"/>
        </w:rPr>
        <w:t>.</w:t>
      </w:r>
      <w:r w:rsidR="00685C06" w:rsidRPr="00493F9A">
        <w:rPr>
          <w:rFonts w:ascii="Calibri" w:hAnsi="Calibri" w:cs="Calibri"/>
        </w:rPr>
        <w:t xml:space="preserve"> “Government could help the kids - and hit the landlords” NZ Herald. </w:t>
      </w:r>
      <w:hyperlink r:id="rId35" w:history="1">
        <w:r w:rsidR="008A77F2" w:rsidRPr="00AA03CF">
          <w:rPr>
            <w:rStyle w:val="Hyperlink"/>
            <w:rFonts w:ascii="Calibri" w:hAnsi="Calibri" w:cs="Calibri"/>
          </w:rPr>
          <w:t>https://www.nzherald.co.nz/business/brian-fallow-government-could-help-the-kids-and-hit-the-landlords/Q7ZSYTMNESB5GD64R5EGO7WT6E/</w:t>
        </w:r>
      </w:hyperlink>
      <w:r w:rsidR="008A77F2">
        <w:rPr>
          <w:rFonts w:ascii="Calibri" w:hAnsi="Calibri" w:cs="Calibri"/>
        </w:rPr>
        <w:t xml:space="preserve"> </w:t>
      </w:r>
      <w:r w:rsidR="00685C06" w:rsidRPr="00493F9A">
        <w:rPr>
          <w:rFonts w:ascii="Calibri" w:hAnsi="Calibri" w:cs="Calibri"/>
        </w:rPr>
        <w:t xml:space="preserve"> </w:t>
      </w:r>
    </w:p>
    <w:p w14:paraId="46479414" w14:textId="4B5AA844" w:rsidR="00293982" w:rsidRDefault="00293982" w:rsidP="00493F9A">
      <w:pPr>
        <w:pStyle w:val="ListParagraph"/>
        <w:spacing w:after="40" w:line="240" w:lineRule="auto"/>
        <w:ind w:left="270" w:hanging="180"/>
        <w:contextualSpacing w:val="0"/>
      </w:pPr>
      <w:r>
        <w:t>H&amp;DSR (2020).</w:t>
      </w:r>
      <w:r w:rsidR="00311B60">
        <w:t xml:space="preserve"> Health and Disability System Review – Final Report – </w:t>
      </w:r>
      <w:proofErr w:type="spellStart"/>
      <w:r w:rsidR="00311B60">
        <w:t>Pūrongo</w:t>
      </w:r>
      <w:proofErr w:type="spellEnd"/>
      <w:r w:rsidR="00311B60">
        <w:t xml:space="preserve"> </w:t>
      </w:r>
      <w:proofErr w:type="spellStart"/>
      <w:r w:rsidR="00311B60">
        <w:t>Whakamutunga</w:t>
      </w:r>
      <w:proofErr w:type="spellEnd"/>
      <w:r w:rsidR="00311B60">
        <w:t xml:space="preserve">. Wellington: HDSR. </w:t>
      </w:r>
      <w:hyperlink r:id="rId36" w:history="1">
        <w:r w:rsidR="00311B60" w:rsidRPr="00AA03CF">
          <w:rPr>
            <w:rStyle w:val="Hyperlink"/>
          </w:rPr>
          <w:t>https://systemreview.health.govt.nz/assets/Uploads/hdsr/health-disability-system-review-final-report.pdf</w:t>
        </w:r>
      </w:hyperlink>
      <w:r w:rsidR="00311B60">
        <w:t xml:space="preserve"> </w:t>
      </w:r>
    </w:p>
    <w:p w14:paraId="7555D9FD" w14:textId="47A33227" w:rsidR="008248B9" w:rsidRDefault="008248B9" w:rsidP="00493F9A">
      <w:pPr>
        <w:pStyle w:val="ListParagraph"/>
        <w:spacing w:after="40" w:line="240" w:lineRule="auto"/>
        <w:ind w:left="270" w:hanging="180"/>
        <w:contextualSpacing w:val="0"/>
      </w:pPr>
      <w:r>
        <w:t xml:space="preserve">Harris, C (2021). </w:t>
      </w:r>
      <w:r w:rsidRPr="008248B9">
        <w:t>Unemployment still higher for women, Maori: CTU</w:t>
      </w:r>
      <w:r>
        <w:t xml:space="preserve">. Stuff 3 February 2021. </w:t>
      </w:r>
      <w:hyperlink r:id="rId37" w:history="1">
        <w:r w:rsidRPr="00B82585">
          <w:rPr>
            <w:rStyle w:val="Hyperlink"/>
          </w:rPr>
          <w:t>https://www.stuff.co.nz/business/300221045/unemployment-still-higher-for-women-maori-ctu</w:t>
        </w:r>
      </w:hyperlink>
      <w:r>
        <w:t xml:space="preserve"> </w:t>
      </w:r>
    </w:p>
    <w:p w14:paraId="3748606A" w14:textId="640029F0" w:rsidR="00D54986" w:rsidRPr="00293982" w:rsidRDefault="00AF1720" w:rsidP="00493F9A">
      <w:pPr>
        <w:pStyle w:val="ListParagraph"/>
        <w:spacing w:after="40" w:line="240" w:lineRule="auto"/>
        <w:ind w:left="270" w:hanging="180"/>
        <w:contextualSpacing w:val="0"/>
        <w:rPr>
          <w:rFonts w:ascii="Calibri" w:hAnsi="Calibri" w:cs="Calibri"/>
          <w:i/>
          <w:iCs/>
          <w:sz w:val="20"/>
          <w:szCs w:val="20"/>
        </w:rPr>
      </w:pPr>
      <w:hyperlink r:id="rId38" w:history="1">
        <w:r w:rsidR="00D54986" w:rsidRPr="00493F9A">
          <w:rPr>
            <w:rStyle w:val="Hyperlink"/>
            <w:rFonts w:ascii="Calibri" w:hAnsi="Calibri" w:cs="Calibri"/>
          </w:rPr>
          <w:t>Humpage</w:t>
        </w:r>
        <w:r w:rsidR="00685C06" w:rsidRPr="00493F9A">
          <w:rPr>
            <w:rStyle w:val="Hyperlink"/>
            <w:rFonts w:ascii="Calibri" w:hAnsi="Calibri" w:cs="Calibri"/>
          </w:rPr>
          <w:t>, L.</w:t>
        </w:r>
        <w:r w:rsidR="00D54986" w:rsidRPr="00493F9A">
          <w:rPr>
            <w:rStyle w:val="Hyperlink"/>
            <w:rFonts w:ascii="Calibri" w:hAnsi="Calibri" w:cs="Calibri"/>
          </w:rPr>
          <w:t xml:space="preserve"> &amp; Neuwelt-Kearns, </w:t>
        </w:r>
        <w:r w:rsidR="00685C06" w:rsidRPr="00493F9A">
          <w:rPr>
            <w:rStyle w:val="Hyperlink"/>
            <w:rFonts w:ascii="Calibri" w:hAnsi="Calibri" w:cs="Calibri"/>
          </w:rPr>
          <w:t>C. (</w:t>
        </w:r>
        <w:r w:rsidR="00D54986" w:rsidRPr="00493F9A">
          <w:rPr>
            <w:rStyle w:val="Hyperlink"/>
            <w:rFonts w:ascii="Calibri" w:hAnsi="Calibri" w:cs="Calibri"/>
          </w:rPr>
          <w:t>2020</w:t>
        </w:r>
      </w:hyperlink>
      <w:r w:rsidR="00685C06" w:rsidRPr="00493F9A">
        <w:rPr>
          <w:rFonts w:ascii="Calibri" w:hAnsi="Calibri" w:cs="Calibri"/>
        </w:rPr>
        <w:t xml:space="preserve">) Income support in the wake of Covid-19: survey. University of Auckland, CPAG, AAAP and First Union. </w:t>
      </w:r>
      <w:hyperlink r:id="rId39" w:history="1">
        <w:r w:rsidR="00685C06" w:rsidRPr="00293982">
          <w:rPr>
            <w:rStyle w:val="Hyperlink"/>
            <w:rFonts w:ascii="Calibri" w:hAnsi="Calibri" w:cs="Calibri"/>
            <w:sz w:val="20"/>
            <w:szCs w:val="20"/>
          </w:rPr>
          <w:t>https://www.cpag.org.nz/assets/Covid%2019%20survey%20report%2012%20October%20final.pdf</w:t>
        </w:r>
      </w:hyperlink>
      <w:r w:rsidR="00685C06" w:rsidRPr="00293982">
        <w:rPr>
          <w:rFonts w:ascii="Calibri" w:hAnsi="Calibri" w:cs="Calibri"/>
          <w:sz w:val="20"/>
          <w:szCs w:val="20"/>
        </w:rPr>
        <w:t xml:space="preserve"> </w:t>
      </w:r>
    </w:p>
    <w:p w14:paraId="0B37A97F" w14:textId="77777777" w:rsidR="00685C06" w:rsidRPr="00493F9A" w:rsidRDefault="00685C06" w:rsidP="00493F9A">
      <w:pPr>
        <w:spacing w:after="40" w:line="240" w:lineRule="auto"/>
        <w:ind w:left="270" w:hanging="180"/>
        <w:rPr>
          <w:rFonts w:ascii="Calibri" w:hAnsi="Calibri" w:cs="Calibri"/>
        </w:rPr>
      </w:pPr>
      <w:r w:rsidRPr="00493F9A">
        <w:rPr>
          <w:rFonts w:ascii="Calibri" w:hAnsi="Calibri" w:cs="Calibri"/>
        </w:rPr>
        <w:t xml:space="preserve">Manaaki </w:t>
      </w:r>
      <w:proofErr w:type="spellStart"/>
      <w:r w:rsidRPr="00493F9A">
        <w:rPr>
          <w:rFonts w:ascii="Calibri" w:hAnsi="Calibri" w:cs="Calibri"/>
        </w:rPr>
        <w:t>Rangatahi</w:t>
      </w:r>
      <w:proofErr w:type="spellEnd"/>
      <w:r w:rsidRPr="00493F9A">
        <w:rPr>
          <w:rFonts w:ascii="Calibri" w:hAnsi="Calibri" w:cs="Calibri"/>
        </w:rPr>
        <w:t xml:space="preserve"> (2020) “Manaaki </w:t>
      </w:r>
      <w:proofErr w:type="spellStart"/>
      <w:r w:rsidRPr="00493F9A">
        <w:rPr>
          <w:rFonts w:ascii="Calibri" w:hAnsi="Calibri" w:cs="Calibri"/>
        </w:rPr>
        <w:t>Rangatahi</w:t>
      </w:r>
      <w:proofErr w:type="spellEnd"/>
      <w:r w:rsidRPr="00493F9A">
        <w:rPr>
          <w:rFonts w:ascii="Calibri" w:hAnsi="Calibri" w:cs="Calibri"/>
        </w:rPr>
        <w:t xml:space="preserve"> Finds Youth Left Out In The Cold” 18 August 2020, Scoop Media. </w:t>
      </w:r>
      <w:hyperlink r:id="rId40" w:history="1">
        <w:r w:rsidRPr="00493F9A">
          <w:rPr>
            <w:rStyle w:val="Hyperlink"/>
            <w:rFonts w:ascii="Calibri" w:hAnsi="Calibri" w:cs="Calibri"/>
          </w:rPr>
          <w:t>https://www.scoop.co.nz/stories/PO2008/S00227/manaaki-rangatahi-finds-youth-left-out-in-thecold.htm</w:t>
        </w:r>
      </w:hyperlink>
      <w:r w:rsidRPr="00493F9A">
        <w:rPr>
          <w:rFonts w:ascii="Calibri" w:hAnsi="Calibri" w:cs="Calibri"/>
        </w:rPr>
        <w:t xml:space="preserve">  </w:t>
      </w:r>
    </w:p>
    <w:p w14:paraId="2EE37461" w14:textId="49D2DFB2" w:rsidR="00685C06" w:rsidRDefault="00685C06" w:rsidP="00493F9A">
      <w:pPr>
        <w:spacing w:after="40" w:line="240" w:lineRule="auto"/>
        <w:ind w:left="270" w:hanging="180"/>
        <w:rPr>
          <w:rFonts w:ascii="Calibri" w:hAnsi="Calibri" w:cs="Calibri"/>
        </w:rPr>
      </w:pPr>
      <w:r w:rsidRPr="00493F9A">
        <w:rPr>
          <w:rFonts w:ascii="Calibri" w:hAnsi="Calibri" w:cs="Calibri"/>
        </w:rPr>
        <w:t xml:space="preserve">Martin, H. (2020) “Coronavirus: Auckland City Mission faces 175% rise in demand for food parcels” 10 August 2020. Stuff. </w:t>
      </w:r>
      <w:hyperlink r:id="rId41" w:history="1">
        <w:r w:rsidRPr="00493F9A">
          <w:rPr>
            <w:rStyle w:val="Hyperlink"/>
            <w:rFonts w:ascii="Calibri" w:hAnsi="Calibri" w:cs="Calibri"/>
          </w:rPr>
          <w:t>https://www.stuff.co.nz/national/300077507/coronavirus-auckland-city-mission-faces-175- rise-in-demand-for-food-parcels</w:t>
        </w:r>
      </w:hyperlink>
      <w:r w:rsidRPr="00493F9A">
        <w:rPr>
          <w:rFonts w:ascii="Calibri" w:hAnsi="Calibri" w:cs="Calibri"/>
        </w:rPr>
        <w:t xml:space="preserve"> </w:t>
      </w:r>
    </w:p>
    <w:p w14:paraId="39DC7BB8" w14:textId="1BE0CBF7" w:rsidR="00FC048A" w:rsidRPr="00493F9A" w:rsidRDefault="00FC048A" w:rsidP="00493F9A">
      <w:pPr>
        <w:spacing w:after="40" w:line="240" w:lineRule="auto"/>
        <w:ind w:left="270" w:hanging="180"/>
        <w:rPr>
          <w:rFonts w:ascii="Calibri" w:hAnsi="Calibri" w:cs="Calibri"/>
        </w:rPr>
      </w:pPr>
      <w:r>
        <w:rPr>
          <w:rFonts w:ascii="Calibri" w:hAnsi="Calibri" w:cs="Calibri"/>
        </w:rPr>
        <w:t xml:space="preserve">Ministry of Health (2020). National and DHB Immunisation Data, Webpage updated 19 Nov 2020. </w:t>
      </w:r>
      <w:r w:rsidRPr="00FC048A">
        <w:rPr>
          <w:rFonts w:ascii="Calibri" w:hAnsi="Calibri" w:cs="Calibri"/>
        </w:rPr>
        <w:t>https://www.health.govt.nz/our-work/preventative-health-wellness/immunisation/immunisation-coverage/national-and-dhb-immunisation-data</w:t>
      </w:r>
    </w:p>
    <w:p w14:paraId="16A1F229" w14:textId="6CBA1C6F" w:rsidR="00D21BC7" w:rsidRDefault="00D21BC7" w:rsidP="00FC048A">
      <w:pPr>
        <w:pStyle w:val="ListParagraph"/>
        <w:spacing w:after="40" w:line="240" w:lineRule="auto"/>
        <w:ind w:left="270" w:hanging="180"/>
        <w:contextualSpacing w:val="0"/>
        <w:rPr>
          <w:rFonts w:ascii="Calibri" w:hAnsi="Calibri" w:cs="Calibri"/>
        </w:rPr>
      </w:pPr>
      <w:r>
        <w:rPr>
          <w:rFonts w:ascii="Calibri" w:hAnsi="Calibri" w:cs="Calibri"/>
        </w:rPr>
        <w:t xml:space="preserve">MSD (2021) Benefit Fact Sheet National Level Data Tables, December 2020. Ministry of Social Development </w:t>
      </w:r>
      <w:hyperlink r:id="rId42" w:history="1">
        <w:r w:rsidRPr="00B82585">
          <w:rPr>
            <w:rStyle w:val="Hyperlink"/>
            <w:rFonts w:ascii="Calibri" w:hAnsi="Calibri" w:cs="Calibri"/>
          </w:rPr>
          <w:t>https://www.msd.govt.nz/about-msd-and-our-work/publications-resources/statistics/benefit/index.html</w:t>
        </w:r>
      </w:hyperlink>
      <w:r>
        <w:rPr>
          <w:rFonts w:ascii="Calibri" w:hAnsi="Calibri" w:cs="Calibri"/>
        </w:rPr>
        <w:t xml:space="preserve"> </w:t>
      </w:r>
    </w:p>
    <w:p w14:paraId="18C59A99" w14:textId="67E01696" w:rsidR="00FC048A" w:rsidRDefault="00FC048A" w:rsidP="00FC048A">
      <w:pPr>
        <w:pStyle w:val="ListParagraph"/>
        <w:spacing w:after="40" w:line="240" w:lineRule="auto"/>
        <w:ind w:left="270" w:hanging="180"/>
        <w:contextualSpacing w:val="0"/>
        <w:rPr>
          <w:rFonts w:ascii="Calibri" w:hAnsi="Calibri" w:cs="Calibri"/>
          <w:i/>
          <w:iCs/>
        </w:rPr>
      </w:pPr>
      <w:r w:rsidRPr="00493F9A">
        <w:rPr>
          <w:rFonts w:ascii="Calibri" w:hAnsi="Calibri" w:cs="Calibri"/>
        </w:rPr>
        <w:t>MSD (2018) “</w:t>
      </w:r>
      <w:hyperlink r:id="rId43" w:history="1">
        <w:r w:rsidRPr="00493F9A">
          <w:rPr>
            <w:rStyle w:val="Hyperlink"/>
            <w:rFonts w:ascii="Calibri" w:hAnsi="Calibri" w:cs="Calibri"/>
          </w:rPr>
          <w:t>Rapid Evidence Review (RER) on the impact of poverty on life course outcomes for children</w:t>
        </w:r>
      </w:hyperlink>
      <w:r w:rsidRPr="00493F9A">
        <w:rPr>
          <w:rFonts w:ascii="Calibri" w:hAnsi="Calibri" w:cs="Calibri"/>
        </w:rPr>
        <w:t>” Ministry of Social Development</w:t>
      </w:r>
      <w:r w:rsidRPr="00493F9A">
        <w:rPr>
          <w:rFonts w:ascii="Calibri" w:hAnsi="Calibri" w:cs="Calibri"/>
          <w:i/>
          <w:iCs/>
        </w:rPr>
        <w:t xml:space="preserve">. </w:t>
      </w:r>
      <w:hyperlink r:id="rId44" w:history="1">
        <w:r w:rsidRPr="00493F9A">
          <w:rPr>
            <w:rStyle w:val="Hyperlink"/>
            <w:rFonts w:ascii="Calibri" w:hAnsi="Calibri" w:cs="Calibri"/>
          </w:rPr>
          <w:t>https://www.msd.govt.nz/documents/about-msd-and-our-work/publications-resources/information-releases/weag-report-release/rapid-evidence-review-the-impact-of-poverty-on-life-course-outcomes-for-children-and-the-likely-effect-of-increasing-the-adequacy-of-welfare-benef.pdf</w:t>
        </w:r>
      </w:hyperlink>
      <w:r w:rsidRPr="00493F9A">
        <w:rPr>
          <w:rFonts w:ascii="Calibri" w:hAnsi="Calibri" w:cs="Calibri"/>
          <w:i/>
          <w:iCs/>
        </w:rPr>
        <w:t xml:space="preserve"> </w:t>
      </w:r>
    </w:p>
    <w:p w14:paraId="1ACF6704" w14:textId="7EBFF1DA" w:rsidR="00D21BC7" w:rsidRPr="00D21BC7" w:rsidRDefault="00D21BC7" w:rsidP="00FC048A">
      <w:pPr>
        <w:pStyle w:val="ListParagraph"/>
        <w:spacing w:after="40" w:line="240" w:lineRule="auto"/>
        <w:ind w:left="270" w:hanging="180"/>
        <w:contextualSpacing w:val="0"/>
        <w:rPr>
          <w:rFonts w:ascii="Calibri" w:hAnsi="Calibri" w:cs="Calibri"/>
        </w:rPr>
      </w:pPr>
      <w:r>
        <w:rPr>
          <w:rFonts w:ascii="Calibri" w:hAnsi="Calibri" w:cs="Calibri"/>
        </w:rPr>
        <w:lastRenderedPageBreak/>
        <w:t xml:space="preserve">MSD (2018b) Benefit Fact Sheet National Level Data Tables, December 2017. Ministry of Social Development </w:t>
      </w:r>
      <w:hyperlink r:id="rId45" w:history="1">
        <w:r w:rsidRPr="00B82585">
          <w:rPr>
            <w:rStyle w:val="Hyperlink"/>
            <w:rFonts w:ascii="Calibri" w:hAnsi="Calibri" w:cs="Calibri"/>
          </w:rPr>
          <w:t>https://www.msd.govt.nz/about-msd-and-our-work/publications-resources/statistics/benefit/archive-2017.html</w:t>
        </w:r>
      </w:hyperlink>
      <w:r>
        <w:rPr>
          <w:rFonts w:ascii="Calibri" w:hAnsi="Calibri" w:cs="Calibri"/>
        </w:rPr>
        <w:t xml:space="preserve"> </w:t>
      </w:r>
    </w:p>
    <w:p w14:paraId="74BEBC32" w14:textId="77777777" w:rsidR="00687A23" w:rsidRPr="00493F9A" w:rsidRDefault="00687A23" w:rsidP="00687A23">
      <w:pPr>
        <w:pStyle w:val="ListParagraph"/>
        <w:spacing w:after="40" w:line="240" w:lineRule="auto"/>
        <w:ind w:left="270" w:hanging="180"/>
        <w:contextualSpacing w:val="0"/>
        <w:rPr>
          <w:rFonts w:ascii="Calibri" w:hAnsi="Calibri" w:cs="Calibri"/>
        </w:rPr>
      </w:pPr>
      <w:proofErr w:type="spellStart"/>
      <w:r w:rsidRPr="00493F9A">
        <w:rPr>
          <w:rFonts w:ascii="Calibri" w:hAnsi="Calibri" w:cs="Calibri"/>
          <w:color w:val="222222"/>
          <w:shd w:val="clear" w:color="auto" w:fill="FFFFFF"/>
        </w:rPr>
        <w:t>Neuwelt</w:t>
      </w:r>
      <w:proofErr w:type="spellEnd"/>
      <w:r w:rsidRPr="00493F9A">
        <w:rPr>
          <w:rFonts w:ascii="Calibri" w:hAnsi="Calibri" w:cs="Calibri"/>
          <w:color w:val="222222"/>
          <w:shd w:val="clear" w:color="auto" w:fill="FFFFFF"/>
        </w:rPr>
        <w:t>-Kearns, Caitlin, Sam Murray, Jin Russell &amp; Jane Lee</w:t>
      </w:r>
      <w:r>
        <w:rPr>
          <w:rFonts w:ascii="Calibri" w:hAnsi="Calibri" w:cs="Calibri"/>
          <w:color w:val="222222"/>
          <w:shd w:val="clear" w:color="auto" w:fill="FFFFFF"/>
        </w:rPr>
        <w:t xml:space="preserve"> (2020)</w:t>
      </w:r>
      <w:r w:rsidRPr="00493F9A">
        <w:rPr>
          <w:rFonts w:ascii="Calibri" w:hAnsi="Calibri" w:cs="Calibri"/>
          <w:color w:val="222222"/>
          <w:shd w:val="clear" w:color="auto" w:fill="FFFFFF"/>
        </w:rPr>
        <w:t xml:space="preserve">. "‘Living well’? Children with disability need far greater income support in Aotearoa.” Child Poverty Action Group. </w:t>
      </w:r>
      <w:hyperlink r:id="rId46" w:history="1">
        <w:r w:rsidRPr="00493F9A">
          <w:rPr>
            <w:rStyle w:val="Hyperlink"/>
            <w:rFonts w:ascii="Calibri" w:hAnsi="Calibri" w:cs="Calibri"/>
            <w:shd w:val="clear" w:color="auto" w:fill="FFFFFF"/>
          </w:rPr>
          <w:t>https://www.cpag.org.nz/assets/Living%20Well%20Children%20with%20disability%20need%20far%20greater%20income%20support%20in%20Aotearoa%20Sept%202020%20%281%29.pdf</w:t>
        </w:r>
      </w:hyperlink>
      <w:r w:rsidRPr="00493F9A">
        <w:rPr>
          <w:rFonts w:ascii="Calibri" w:hAnsi="Calibri" w:cs="Calibri"/>
          <w:color w:val="222222"/>
          <w:shd w:val="clear" w:color="auto" w:fill="FFFFFF"/>
        </w:rPr>
        <w:t xml:space="preserve"> </w:t>
      </w:r>
    </w:p>
    <w:p w14:paraId="398DD9ED" w14:textId="77777777" w:rsidR="00F44281" w:rsidRDefault="00F44281" w:rsidP="00F44281">
      <w:pPr>
        <w:pStyle w:val="ListParagraph"/>
        <w:spacing w:after="40" w:line="240" w:lineRule="auto"/>
        <w:ind w:left="270" w:hanging="180"/>
        <w:contextualSpacing w:val="0"/>
        <w:rPr>
          <w:rFonts w:ascii="Calibri" w:hAnsi="Calibri" w:cs="Calibri"/>
        </w:rPr>
      </w:pPr>
      <w:hyperlink r:id="rId47" w:history="1">
        <w:r w:rsidRPr="00493F9A">
          <w:rPr>
            <w:rStyle w:val="Hyperlink"/>
            <w:rFonts w:ascii="Calibri" w:hAnsi="Calibri" w:cs="Calibri"/>
          </w:rPr>
          <w:t>Orchard, S. (2018</w:t>
        </w:r>
      </w:hyperlink>
      <w:r w:rsidRPr="00493F9A">
        <w:rPr>
          <w:rFonts w:ascii="Calibri" w:hAnsi="Calibri" w:cs="Calibri"/>
        </w:rPr>
        <w:t xml:space="preserve">) #We Are Beneficiaries Report. </w:t>
      </w:r>
      <w:hyperlink r:id="rId48" w:history="1">
        <w:r w:rsidRPr="00493F9A">
          <w:rPr>
            <w:rStyle w:val="Hyperlink"/>
            <w:rFonts w:ascii="Calibri" w:hAnsi="Calibri" w:cs="Calibri"/>
          </w:rPr>
          <w:t>http://www.thesamorchard.com/wp-content/uploads/2018/03/WAB-Report.pdf</w:t>
        </w:r>
      </w:hyperlink>
      <w:r w:rsidRPr="00493F9A">
        <w:rPr>
          <w:rFonts w:ascii="Calibri" w:hAnsi="Calibri" w:cs="Calibri"/>
        </w:rPr>
        <w:t xml:space="preserve"> </w:t>
      </w:r>
    </w:p>
    <w:p w14:paraId="4E584211" w14:textId="75CF1E41" w:rsidR="002E5712" w:rsidRDefault="002E5712" w:rsidP="00293982">
      <w:pPr>
        <w:spacing w:after="40" w:line="240" w:lineRule="auto"/>
        <w:ind w:left="270" w:hanging="180"/>
        <w:rPr>
          <w:rFonts w:ascii="Calibri" w:hAnsi="Calibri" w:cs="Calibri"/>
        </w:rPr>
      </w:pPr>
      <w:r w:rsidRPr="002E5712">
        <w:rPr>
          <w:rFonts w:ascii="Calibri" w:hAnsi="Calibri" w:cs="Calibri"/>
        </w:rPr>
        <w:t xml:space="preserve">Patterson, R., Durie, M., </w:t>
      </w:r>
      <w:proofErr w:type="spellStart"/>
      <w:r w:rsidRPr="002E5712">
        <w:rPr>
          <w:rFonts w:ascii="Calibri" w:hAnsi="Calibri" w:cs="Calibri"/>
        </w:rPr>
        <w:t>Disley</w:t>
      </w:r>
      <w:proofErr w:type="spellEnd"/>
      <w:r w:rsidRPr="002E5712">
        <w:rPr>
          <w:rFonts w:ascii="Calibri" w:hAnsi="Calibri" w:cs="Calibri"/>
        </w:rPr>
        <w:t xml:space="preserve">, B., </w:t>
      </w:r>
      <w:proofErr w:type="spellStart"/>
      <w:r w:rsidRPr="002E5712">
        <w:rPr>
          <w:rFonts w:ascii="Calibri" w:hAnsi="Calibri" w:cs="Calibri"/>
        </w:rPr>
        <w:t>Tiatia-Seath</w:t>
      </w:r>
      <w:proofErr w:type="spellEnd"/>
      <w:r w:rsidRPr="002E5712">
        <w:rPr>
          <w:rFonts w:ascii="Calibri" w:hAnsi="Calibri" w:cs="Calibri"/>
        </w:rPr>
        <w:t xml:space="preserve">, S., &amp; </w:t>
      </w:r>
      <w:proofErr w:type="spellStart"/>
      <w:r w:rsidRPr="002E5712">
        <w:rPr>
          <w:rFonts w:ascii="Calibri" w:hAnsi="Calibri" w:cs="Calibri"/>
        </w:rPr>
        <w:t>Tualamali'i</w:t>
      </w:r>
      <w:proofErr w:type="spellEnd"/>
      <w:r w:rsidRPr="002E5712">
        <w:rPr>
          <w:rFonts w:ascii="Calibri" w:hAnsi="Calibri" w:cs="Calibri"/>
        </w:rPr>
        <w:t xml:space="preserve">, J. (2018). He Ara </w:t>
      </w:r>
      <w:proofErr w:type="spellStart"/>
      <w:r w:rsidRPr="002E5712">
        <w:rPr>
          <w:rFonts w:ascii="Calibri" w:hAnsi="Calibri" w:cs="Calibri"/>
        </w:rPr>
        <w:t>Oranga</w:t>
      </w:r>
      <w:proofErr w:type="spellEnd"/>
      <w:r w:rsidRPr="002E5712">
        <w:rPr>
          <w:rFonts w:ascii="Calibri" w:hAnsi="Calibri" w:cs="Calibri"/>
        </w:rPr>
        <w:t xml:space="preserve">: Report of the </w:t>
      </w:r>
      <w:r>
        <w:rPr>
          <w:rFonts w:ascii="Calibri" w:hAnsi="Calibri" w:cs="Calibri"/>
        </w:rPr>
        <w:t>G</w:t>
      </w:r>
      <w:r w:rsidRPr="002E5712">
        <w:rPr>
          <w:rFonts w:ascii="Calibri" w:hAnsi="Calibri" w:cs="Calibri"/>
        </w:rPr>
        <w:t xml:space="preserve">overnment </w:t>
      </w:r>
      <w:r>
        <w:rPr>
          <w:rFonts w:ascii="Calibri" w:hAnsi="Calibri" w:cs="Calibri"/>
        </w:rPr>
        <w:t>I</w:t>
      </w:r>
      <w:r w:rsidRPr="002E5712">
        <w:rPr>
          <w:rFonts w:ascii="Calibri" w:hAnsi="Calibri" w:cs="Calibri"/>
        </w:rPr>
        <w:t xml:space="preserve">nquiry into </w:t>
      </w:r>
      <w:r>
        <w:rPr>
          <w:rFonts w:ascii="Calibri" w:hAnsi="Calibri" w:cs="Calibri"/>
        </w:rPr>
        <w:t>M</w:t>
      </w:r>
      <w:r w:rsidRPr="002E5712">
        <w:rPr>
          <w:rFonts w:ascii="Calibri" w:hAnsi="Calibri" w:cs="Calibri"/>
        </w:rPr>
        <w:t xml:space="preserve">ental </w:t>
      </w:r>
      <w:r>
        <w:rPr>
          <w:rFonts w:ascii="Calibri" w:hAnsi="Calibri" w:cs="Calibri"/>
        </w:rPr>
        <w:t>H</w:t>
      </w:r>
      <w:r w:rsidRPr="002E5712">
        <w:rPr>
          <w:rFonts w:ascii="Calibri" w:hAnsi="Calibri" w:cs="Calibri"/>
        </w:rPr>
        <w:t xml:space="preserve">ealth and </w:t>
      </w:r>
      <w:r>
        <w:rPr>
          <w:rFonts w:ascii="Calibri" w:hAnsi="Calibri" w:cs="Calibri"/>
        </w:rPr>
        <w:t>A</w:t>
      </w:r>
      <w:r w:rsidRPr="002E5712">
        <w:rPr>
          <w:rFonts w:ascii="Calibri" w:hAnsi="Calibri" w:cs="Calibri"/>
        </w:rPr>
        <w:t xml:space="preserve">ddiction. </w:t>
      </w:r>
      <w:hyperlink r:id="rId49" w:history="1">
        <w:r w:rsidRPr="00B82585">
          <w:rPr>
            <w:rStyle w:val="Hyperlink"/>
            <w:rFonts w:ascii="Calibri" w:hAnsi="Calibri" w:cs="Calibri"/>
          </w:rPr>
          <w:t>https://mentalhealth.inquiry.govt.nz/inquiry-report/he-ara-oranga/</w:t>
        </w:r>
      </w:hyperlink>
      <w:r>
        <w:rPr>
          <w:rFonts w:ascii="Calibri" w:hAnsi="Calibri" w:cs="Calibri"/>
        </w:rPr>
        <w:t xml:space="preserve"> </w:t>
      </w:r>
    </w:p>
    <w:p w14:paraId="379A1730" w14:textId="0DE96870" w:rsidR="008A77F2" w:rsidRDefault="008A77F2" w:rsidP="00293982">
      <w:pPr>
        <w:spacing w:after="40" w:line="240" w:lineRule="auto"/>
        <w:ind w:left="270" w:hanging="180"/>
        <w:rPr>
          <w:rFonts w:ascii="Calibri" w:hAnsi="Calibri" w:cs="Calibri"/>
        </w:rPr>
      </w:pPr>
      <w:r>
        <w:rPr>
          <w:rFonts w:ascii="Calibri" w:hAnsi="Calibri" w:cs="Calibri"/>
        </w:rPr>
        <w:t xml:space="preserve">Perry, B. (2019). </w:t>
      </w:r>
      <w:r w:rsidR="00293982" w:rsidRPr="00293982">
        <w:rPr>
          <w:rFonts w:ascii="Calibri" w:hAnsi="Calibri" w:cs="Calibri"/>
        </w:rPr>
        <w:t>Household incomes in New Zealand:</w:t>
      </w:r>
      <w:r w:rsidR="00293982">
        <w:rPr>
          <w:rFonts w:ascii="Calibri" w:hAnsi="Calibri" w:cs="Calibri"/>
        </w:rPr>
        <w:t xml:space="preserve"> </w:t>
      </w:r>
      <w:r w:rsidR="00293982" w:rsidRPr="00293982">
        <w:rPr>
          <w:rFonts w:ascii="Calibri" w:hAnsi="Calibri" w:cs="Calibri"/>
        </w:rPr>
        <w:t>Trends in indicators of inequality and hardship</w:t>
      </w:r>
      <w:r w:rsidR="00293982">
        <w:rPr>
          <w:rFonts w:ascii="Calibri" w:hAnsi="Calibri" w:cs="Calibri"/>
        </w:rPr>
        <w:t xml:space="preserve"> </w:t>
      </w:r>
      <w:r w:rsidR="00293982" w:rsidRPr="00293982">
        <w:rPr>
          <w:rFonts w:ascii="Calibri" w:hAnsi="Calibri" w:cs="Calibri"/>
        </w:rPr>
        <w:t>1982 to 2018</w:t>
      </w:r>
      <w:r w:rsidR="00293982">
        <w:rPr>
          <w:rFonts w:ascii="Calibri" w:hAnsi="Calibri" w:cs="Calibri"/>
        </w:rPr>
        <w:t xml:space="preserve">. Ministry of Social Development. From: </w:t>
      </w:r>
      <w:hyperlink r:id="rId50" w:history="1">
        <w:r w:rsidR="00293982" w:rsidRPr="00AA03CF">
          <w:rPr>
            <w:rStyle w:val="Hyperlink"/>
            <w:rFonts w:ascii="Calibri" w:hAnsi="Calibri" w:cs="Calibri"/>
          </w:rPr>
          <w:t>https://www.msd.govt.nz/about-msd-and-our-work/publications-resources/monitoring/household-incomes/household-incomes-1982-to-2018.html</w:t>
        </w:r>
      </w:hyperlink>
      <w:r w:rsidR="00293982">
        <w:rPr>
          <w:rFonts w:ascii="Calibri" w:hAnsi="Calibri" w:cs="Calibri"/>
        </w:rPr>
        <w:t xml:space="preserve"> </w:t>
      </w:r>
    </w:p>
    <w:p w14:paraId="3764D656" w14:textId="17FBF2B0" w:rsidR="00AA6260" w:rsidRPr="00493F9A" w:rsidRDefault="00AA6260" w:rsidP="00AA6260">
      <w:pPr>
        <w:spacing w:after="40" w:line="240" w:lineRule="auto"/>
        <w:ind w:left="270" w:hanging="180"/>
        <w:rPr>
          <w:rFonts w:ascii="Calibri" w:hAnsi="Calibri" w:cs="Calibri"/>
        </w:rPr>
      </w:pPr>
      <w:r w:rsidRPr="00493F9A">
        <w:rPr>
          <w:rFonts w:ascii="Calibri" w:hAnsi="Calibri" w:cs="Calibri"/>
        </w:rPr>
        <w:t xml:space="preserve">Poulton, R. et al., 2002. Association between children’s experience of socioeconomic disadvantage and adult health: a life-course study. Lancet, 360(9346), pp.1640–1645. </w:t>
      </w:r>
    </w:p>
    <w:p w14:paraId="1A607EB1" w14:textId="724576A9" w:rsidR="00E6372D" w:rsidRDefault="00E6372D" w:rsidP="00493F9A">
      <w:pPr>
        <w:spacing w:after="40" w:line="240" w:lineRule="auto"/>
        <w:ind w:left="270" w:hanging="180"/>
        <w:rPr>
          <w:rFonts w:ascii="Calibri" w:hAnsi="Calibri" w:cs="Calibri"/>
        </w:rPr>
      </w:pPr>
      <w:r>
        <w:rPr>
          <w:rFonts w:ascii="Calibri" w:hAnsi="Calibri" w:cs="Calibri"/>
        </w:rPr>
        <w:t>Quinn R. (2020a). “</w:t>
      </w:r>
      <w:r w:rsidRPr="00E6372D">
        <w:rPr>
          <w:rFonts w:ascii="Calibri" w:hAnsi="Calibri" w:cs="Calibri"/>
        </w:rPr>
        <w:t>Auckland DHB indicates potential change for city's child dental care system</w:t>
      </w:r>
      <w:r>
        <w:rPr>
          <w:rFonts w:ascii="Calibri" w:hAnsi="Calibri" w:cs="Calibri"/>
        </w:rPr>
        <w:t xml:space="preserve">” 19 Nov 2020, RNZ. </w:t>
      </w:r>
      <w:hyperlink r:id="rId51" w:history="1">
        <w:r w:rsidR="00CB02B2" w:rsidRPr="00AA03CF">
          <w:rPr>
            <w:rStyle w:val="Hyperlink"/>
            <w:rFonts w:ascii="Calibri" w:hAnsi="Calibri" w:cs="Calibri"/>
          </w:rPr>
          <w:t>https://www.rnz.co.nz/news/national/430942/auckland-dhb-indicates-potential-change-for-city-s-child-dental-care-system</w:t>
        </w:r>
      </w:hyperlink>
      <w:r>
        <w:rPr>
          <w:rFonts w:ascii="Calibri" w:hAnsi="Calibri" w:cs="Calibri"/>
        </w:rPr>
        <w:t xml:space="preserve"> </w:t>
      </w:r>
    </w:p>
    <w:p w14:paraId="26DDF8D1" w14:textId="79786250" w:rsidR="00D54986" w:rsidRPr="00493F9A" w:rsidRDefault="001A2EA4" w:rsidP="00493F9A">
      <w:pPr>
        <w:spacing w:after="40" w:line="240" w:lineRule="auto"/>
        <w:ind w:left="270" w:hanging="180"/>
        <w:rPr>
          <w:rFonts w:ascii="Calibri" w:hAnsi="Calibri" w:cs="Calibri"/>
        </w:rPr>
      </w:pPr>
      <w:r w:rsidRPr="00493F9A">
        <w:rPr>
          <w:rFonts w:ascii="Calibri" w:hAnsi="Calibri" w:cs="Calibri"/>
        </w:rPr>
        <w:t>Quinn, R. (2020</w:t>
      </w:r>
      <w:r w:rsidR="00E6372D">
        <w:rPr>
          <w:rFonts w:ascii="Calibri" w:hAnsi="Calibri" w:cs="Calibri"/>
        </w:rPr>
        <w:t>b</w:t>
      </w:r>
      <w:r w:rsidRPr="00493F9A">
        <w:rPr>
          <w:rFonts w:ascii="Calibri" w:hAnsi="Calibri" w:cs="Calibri"/>
        </w:rPr>
        <w:t xml:space="preserve">) “Spike in rheumatic fever cases in Wellington” 25 May 2020, RNZ. </w:t>
      </w:r>
      <w:hyperlink r:id="rId52" w:history="1">
        <w:r w:rsidRPr="00493F9A">
          <w:rPr>
            <w:rStyle w:val="Hyperlink"/>
            <w:rFonts w:ascii="Calibri" w:hAnsi="Calibri" w:cs="Calibri"/>
          </w:rPr>
          <w:t>https://www.rnz.co.nz/news/national/417429/spike-in-rheumatic-fever-cases-in-wellington</w:t>
        </w:r>
      </w:hyperlink>
      <w:r w:rsidRPr="00493F9A">
        <w:rPr>
          <w:rFonts w:ascii="Calibri" w:hAnsi="Calibri" w:cs="Calibri"/>
        </w:rPr>
        <w:t xml:space="preserve"> </w:t>
      </w:r>
    </w:p>
    <w:p w14:paraId="24217258" w14:textId="6F0EE96E" w:rsidR="002E5712" w:rsidRPr="00493F9A" w:rsidRDefault="002E5712" w:rsidP="00493F9A">
      <w:pPr>
        <w:pStyle w:val="ListParagraph"/>
        <w:spacing w:after="40" w:line="240" w:lineRule="auto"/>
        <w:ind w:left="270" w:hanging="180"/>
        <w:contextualSpacing w:val="0"/>
        <w:rPr>
          <w:rFonts w:ascii="Calibri" w:hAnsi="Calibri" w:cs="Calibri"/>
          <w:i/>
          <w:iCs/>
        </w:rPr>
      </w:pPr>
      <w:r>
        <w:rPr>
          <w:rFonts w:ascii="Calibri" w:hAnsi="Calibri" w:cs="Calibri"/>
        </w:rPr>
        <w:t xml:space="preserve">RACP (2020). </w:t>
      </w:r>
      <w:r>
        <w:t xml:space="preserve">Royal Australasian College of Physicians “Indigenous child health in Australia and Aotearoa New Zealand”. </w:t>
      </w:r>
      <w:hyperlink r:id="rId53" w:history="1">
        <w:r w:rsidRPr="00B82585">
          <w:rPr>
            <w:rStyle w:val="Hyperlink"/>
          </w:rPr>
          <w:t>https://www.racp.edu.au/docs/default-source/advocacy-library/indigenous-ch-statement-on-ich.pdf</w:t>
        </w:r>
      </w:hyperlink>
      <w:r>
        <w:t xml:space="preserve"> </w:t>
      </w:r>
    </w:p>
    <w:p w14:paraId="47D14F5F" w14:textId="45DF8DC3" w:rsidR="00D54986" w:rsidRPr="00493F9A" w:rsidRDefault="001A2EA4" w:rsidP="00493F9A">
      <w:pPr>
        <w:pStyle w:val="ListParagraph"/>
        <w:spacing w:after="40" w:line="240" w:lineRule="auto"/>
        <w:ind w:left="270" w:hanging="180"/>
        <w:contextualSpacing w:val="0"/>
        <w:rPr>
          <w:rFonts w:ascii="Calibri" w:hAnsi="Calibri" w:cs="Calibri"/>
          <w:color w:val="385623" w:themeColor="accent6" w:themeShade="80"/>
        </w:rPr>
      </w:pPr>
      <w:proofErr w:type="spellStart"/>
      <w:r w:rsidRPr="00493F9A">
        <w:rPr>
          <w:rFonts w:ascii="Calibri" w:hAnsi="Calibri" w:cs="Calibri"/>
        </w:rPr>
        <w:t>Rua</w:t>
      </w:r>
      <w:proofErr w:type="spellEnd"/>
      <w:r w:rsidRPr="00493F9A">
        <w:rPr>
          <w:rFonts w:ascii="Calibri" w:hAnsi="Calibri" w:cs="Calibri"/>
        </w:rPr>
        <w:t xml:space="preserve">, M et al (2019) “Precariat Māori Households Today”. </w:t>
      </w:r>
      <w:proofErr w:type="spellStart"/>
      <w:r w:rsidRPr="00493F9A">
        <w:rPr>
          <w:rFonts w:ascii="Calibri" w:hAnsi="Calibri" w:cs="Calibri"/>
        </w:rPr>
        <w:t>Ngā</w:t>
      </w:r>
      <w:proofErr w:type="spellEnd"/>
      <w:r w:rsidRPr="00493F9A">
        <w:rPr>
          <w:rFonts w:ascii="Calibri" w:hAnsi="Calibri" w:cs="Calibri"/>
        </w:rPr>
        <w:t xml:space="preserve"> </w:t>
      </w:r>
      <w:proofErr w:type="spellStart"/>
      <w:r w:rsidRPr="00493F9A">
        <w:rPr>
          <w:rFonts w:ascii="Calibri" w:hAnsi="Calibri" w:cs="Calibri"/>
        </w:rPr>
        <w:t>Pae</w:t>
      </w:r>
      <w:proofErr w:type="spellEnd"/>
      <w:r w:rsidRPr="00493F9A">
        <w:rPr>
          <w:rFonts w:ascii="Calibri" w:hAnsi="Calibri" w:cs="Calibri"/>
        </w:rPr>
        <w:t xml:space="preserve"> O </w:t>
      </w:r>
      <w:proofErr w:type="spellStart"/>
      <w:r w:rsidRPr="00493F9A">
        <w:rPr>
          <w:rFonts w:ascii="Calibri" w:hAnsi="Calibri" w:cs="Calibri"/>
        </w:rPr>
        <w:t>Te</w:t>
      </w:r>
      <w:proofErr w:type="spellEnd"/>
      <w:r w:rsidRPr="00493F9A">
        <w:rPr>
          <w:rFonts w:ascii="Calibri" w:hAnsi="Calibri" w:cs="Calibri"/>
        </w:rPr>
        <w:t xml:space="preserve"> </w:t>
      </w:r>
      <w:proofErr w:type="spellStart"/>
      <w:r w:rsidRPr="00493F9A">
        <w:rPr>
          <w:rFonts w:ascii="Calibri" w:hAnsi="Calibri" w:cs="Calibri"/>
        </w:rPr>
        <w:t>Maramatanga</w:t>
      </w:r>
      <w:proofErr w:type="spellEnd"/>
      <w:r w:rsidRPr="00493F9A">
        <w:rPr>
          <w:rFonts w:ascii="Calibri" w:hAnsi="Calibri" w:cs="Calibri"/>
        </w:rPr>
        <w:t xml:space="preserve">. </w:t>
      </w:r>
      <w:hyperlink r:id="rId54" w:history="1">
        <w:r w:rsidRPr="00493F9A">
          <w:rPr>
            <w:rStyle w:val="Hyperlink"/>
            <w:rFonts w:ascii="Calibri" w:hAnsi="Calibri" w:cs="Calibri"/>
          </w:rPr>
          <w:t>http://www.maramatanga.ac.nz/sites/default/files/teArotahi_19-0502%20Rua.pdf</w:t>
        </w:r>
      </w:hyperlink>
      <w:r w:rsidRPr="00493F9A">
        <w:rPr>
          <w:rFonts w:ascii="Calibri" w:hAnsi="Calibri" w:cs="Calibri"/>
          <w:color w:val="385623" w:themeColor="accent6" w:themeShade="80"/>
        </w:rPr>
        <w:t xml:space="preserve"> </w:t>
      </w:r>
    </w:p>
    <w:p w14:paraId="05DFC2D2" w14:textId="77E9DCEA" w:rsidR="00D54986" w:rsidRDefault="00D54986" w:rsidP="00493F9A">
      <w:pPr>
        <w:pStyle w:val="ListParagraph"/>
        <w:spacing w:after="40" w:line="240" w:lineRule="auto"/>
        <w:ind w:left="270" w:hanging="180"/>
        <w:contextualSpacing w:val="0"/>
        <w:rPr>
          <w:rFonts w:ascii="Calibri" w:hAnsi="Calibri" w:cs="Calibri"/>
          <w:lang w:val="en-US"/>
        </w:rPr>
      </w:pPr>
      <w:proofErr w:type="spellStart"/>
      <w:r w:rsidRPr="00493F9A">
        <w:rPr>
          <w:rFonts w:ascii="Calibri" w:hAnsi="Calibri" w:cs="Calibri"/>
          <w:lang w:val="en-US"/>
        </w:rPr>
        <w:t>StatsNZ</w:t>
      </w:r>
      <w:proofErr w:type="spellEnd"/>
      <w:r w:rsidRPr="00493F9A">
        <w:rPr>
          <w:rFonts w:ascii="Calibri" w:hAnsi="Calibri" w:cs="Calibri"/>
          <w:lang w:val="en-US"/>
        </w:rPr>
        <w:t xml:space="preserve"> (2020)</w:t>
      </w:r>
      <w:r w:rsidR="001A2EA4" w:rsidRPr="00493F9A">
        <w:rPr>
          <w:rFonts w:ascii="Calibri" w:hAnsi="Calibri" w:cs="Calibri"/>
          <w:lang w:val="en-US"/>
        </w:rPr>
        <w:t xml:space="preserve">. Child Poverty Statistics for the year ending June 2019. </w:t>
      </w:r>
      <w:proofErr w:type="spellStart"/>
      <w:r w:rsidR="00493F9A" w:rsidRPr="00493F9A">
        <w:rPr>
          <w:rFonts w:ascii="Calibri" w:hAnsi="Calibri" w:cs="Calibri"/>
          <w:lang w:val="en-US"/>
        </w:rPr>
        <w:t>StatsNZ</w:t>
      </w:r>
      <w:proofErr w:type="spellEnd"/>
      <w:r w:rsidR="00493F9A" w:rsidRPr="00493F9A">
        <w:rPr>
          <w:rFonts w:ascii="Calibri" w:hAnsi="Calibri" w:cs="Calibri"/>
          <w:lang w:val="en-US"/>
        </w:rPr>
        <w:t xml:space="preserve">. </w:t>
      </w:r>
      <w:hyperlink r:id="rId55" w:history="1">
        <w:r w:rsidR="00493F9A" w:rsidRPr="00493F9A">
          <w:rPr>
            <w:rStyle w:val="Hyperlink"/>
            <w:rFonts w:ascii="Calibri" w:hAnsi="Calibri" w:cs="Calibri"/>
            <w:lang w:val="en-US"/>
          </w:rPr>
          <w:t>https://www.stats.govt.nz/information-releases/child-poverty-statistics-year-ended-june-2019</w:t>
        </w:r>
      </w:hyperlink>
      <w:r w:rsidR="001A2EA4" w:rsidRPr="00493F9A">
        <w:rPr>
          <w:rFonts w:ascii="Calibri" w:hAnsi="Calibri" w:cs="Calibri"/>
          <w:lang w:val="en-US"/>
        </w:rPr>
        <w:t xml:space="preserve"> </w:t>
      </w:r>
    </w:p>
    <w:p w14:paraId="61CCE5C1" w14:textId="7D72D5E4" w:rsidR="003952FB" w:rsidRPr="00493F9A" w:rsidRDefault="003952FB" w:rsidP="00493F9A">
      <w:pPr>
        <w:pStyle w:val="ListParagraph"/>
        <w:spacing w:after="40" w:line="240" w:lineRule="auto"/>
        <w:ind w:left="270" w:hanging="180"/>
        <w:contextualSpacing w:val="0"/>
        <w:rPr>
          <w:rFonts w:ascii="Calibri" w:hAnsi="Calibri" w:cs="Calibri"/>
          <w:lang w:val="en-US"/>
        </w:rPr>
      </w:pPr>
      <w:r>
        <w:rPr>
          <w:rFonts w:ascii="Calibri" w:hAnsi="Calibri" w:cs="Calibri"/>
          <w:lang w:val="en-US"/>
        </w:rPr>
        <w:t xml:space="preserve">Treasury (2020). Wellbeing Budget 2020 </w:t>
      </w:r>
      <w:hyperlink r:id="rId56" w:history="1">
        <w:r w:rsidRPr="00B82585">
          <w:rPr>
            <w:rStyle w:val="Hyperlink"/>
            <w:rFonts w:ascii="Calibri" w:hAnsi="Calibri" w:cs="Calibri"/>
            <w:lang w:val="en-US"/>
          </w:rPr>
          <w:t>https://www.treasury.govt.nz/sites/default/files/2020-05/b20-wellbeing-budget.pdf</w:t>
        </w:r>
      </w:hyperlink>
      <w:r>
        <w:rPr>
          <w:rFonts w:ascii="Calibri" w:hAnsi="Calibri" w:cs="Calibri"/>
          <w:lang w:val="en-US"/>
        </w:rPr>
        <w:t xml:space="preserve"> </w:t>
      </w:r>
    </w:p>
    <w:p w14:paraId="26C50A63" w14:textId="3B026030" w:rsidR="00D54986" w:rsidRDefault="00D54986" w:rsidP="00493F9A">
      <w:pPr>
        <w:pStyle w:val="ListParagraph"/>
        <w:spacing w:after="40" w:line="240" w:lineRule="auto"/>
        <w:ind w:left="270" w:hanging="180"/>
        <w:contextualSpacing w:val="0"/>
        <w:rPr>
          <w:rStyle w:val="Hyperlink"/>
          <w:rFonts w:ascii="Calibri" w:hAnsi="Calibri" w:cs="Calibri"/>
        </w:rPr>
      </w:pPr>
      <w:r w:rsidRPr="00493F9A">
        <w:rPr>
          <w:rFonts w:ascii="Calibri" w:hAnsi="Calibri" w:cs="Calibri"/>
        </w:rPr>
        <w:t xml:space="preserve">TVNZ </w:t>
      </w:r>
      <w:r w:rsidR="00493F9A" w:rsidRPr="00493F9A">
        <w:rPr>
          <w:rFonts w:ascii="Calibri" w:hAnsi="Calibri" w:cs="Calibri"/>
        </w:rPr>
        <w:t>(</w:t>
      </w:r>
      <w:r w:rsidRPr="00493F9A">
        <w:rPr>
          <w:rFonts w:ascii="Calibri" w:hAnsi="Calibri" w:cs="Calibri"/>
        </w:rPr>
        <w:t>2020</w:t>
      </w:r>
      <w:r w:rsidR="00493F9A" w:rsidRPr="00493F9A">
        <w:rPr>
          <w:rFonts w:ascii="Calibri" w:hAnsi="Calibri" w:cs="Calibri"/>
        </w:rPr>
        <w:t>).</w:t>
      </w:r>
      <w:r w:rsidRPr="00493F9A">
        <w:rPr>
          <w:rStyle w:val="Hyperlink"/>
          <w:rFonts w:ascii="Calibri" w:hAnsi="Calibri" w:cs="Calibri"/>
          <w:color w:val="000000" w:themeColor="text1"/>
          <w:u w:val="none"/>
        </w:rPr>
        <w:t xml:space="preserve"> </w:t>
      </w:r>
      <w:r w:rsidR="00493F9A" w:rsidRPr="00493F9A">
        <w:rPr>
          <w:rStyle w:val="Hyperlink"/>
          <w:rFonts w:ascii="Calibri" w:hAnsi="Calibri" w:cs="Calibri"/>
          <w:color w:val="000000" w:themeColor="text1"/>
          <w:u w:val="none"/>
        </w:rPr>
        <w:t xml:space="preserve">Breakfast – Charity </w:t>
      </w:r>
      <w:proofErr w:type="spellStart"/>
      <w:r w:rsidR="00493F9A" w:rsidRPr="00493F9A">
        <w:rPr>
          <w:rStyle w:val="Hyperlink"/>
          <w:rFonts w:ascii="Calibri" w:hAnsi="Calibri" w:cs="Calibri"/>
          <w:color w:val="000000" w:themeColor="text1"/>
          <w:u w:val="none"/>
        </w:rPr>
        <w:t>KidsCan</w:t>
      </w:r>
      <w:proofErr w:type="spellEnd"/>
      <w:r w:rsidR="00493F9A" w:rsidRPr="00493F9A">
        <w:rPr>
          <w:rStyle w:val="Hyperlink"/>
          <w:rFonts w:ascii="Calibri" w:hAnsi="Calibri" w:cs="Calibri"/>
          <w:color w:val="000000" w:themeColor="text1"/>
          <w:u w:val="none"/>
        </w:rPr>
        <w:t xml:space="preserve"> inundated with calls for support from low decile schools. TVNZ </w:t>
      </w:r>
      <w:hyperlink r:id="rId57" w:history="1">
        <w:r w:rsidR="00493F9A" w:rsidRPr="00493F9A">
          <w:rPr>
            <w:rStyle w:val="Hyperlink"/>
            <w:rFonts w:ascii="Calibri" w:hAnsi="Calibri" w:cs="Calibri"/>
          </w:rPr>
          <w:t>https://www.tvnz.co.nz/shows/breakfast/clips/charity-kidscan-inundated-with-calls-for-support-from-low-decile-schools</w:t>
        </w:r>
      </w:hyperlink>
      <w:r w:rsidR="00493F9A" w:rsidRPr="00493F9A">
        <w:rPr>
          <w:rStyle w:val="Hyperlink"/>
          <w:rFonts w:ascii="Calibri" w:hAnsi="Calibri" w:cs="Calibri"/>
        </w:rPr>
        <w:t xml:space="preserve"> </w:t>
      </w:r>
    </w:p>
    <w:p w14:paraId="6530EB6D" w14:textId="1F8994AF" w:rsidR="00293982" w:rsidRDefault="00293982" w:rsidP="00293982">
      <w:pPr>
        <w:pStyle w:val="ListParagraph"/>
        <w:spacing w:after="40" w:line="240" w:lineRule="auto"/>
        <w:ind w:left="270" w:hanging="180"/>
        <w:contextualSpacing w:val="0"/>
        <w:rPr>
          <w:rFonts w:ascii="Calibri" w:hAnsi="Calibri" w:cs="Calibri"/>
          <w:color w:val="222222"/>
          <w:shd w:val="clear" w:color="auto" w:fill="FFFFFF"/>
        </w:rPr>
      </w:pPr>
      <w:r w:rsidRPr="0044404D">
        <w:rPr>
          <w:rFonts w:ascii="Calibri" w:hAnsi="Calibri" w:cs="Calibri"/>
          <w:color w:val="222222"/>
          <w:shd w:val="clear" w:color="auto" w:fill="FFFFFF"/>
        </w:rPr>
        <w:t xml:space="preserve">Waitangi Tribunal (2019). </w:t>
      </w:r>
      <w:r w:rsidRPr="0044404D">
        <w:rPr>
          <w:rFonts w:ascii="Calibri" w:hAnsi="Calibri" w:cs="Calibri"/>
          <w:i/>
          <w:iCs/>
          <w:color w:val="222222"/>
          <w:shd w:val="clear" w:color="auto" w:fill="FFFFFF"/>
        </w:rPr>
        <w:t>Hauora: report on stage one of the Health Services and Outcomes Kaupapa Inquiry WAI 2575</w:t>
      </w:r>
      <w:r w:rsidRPr="0044404D">
        <w:rPr>
          <w:rFonts w:ascii="Calibri" w:hAnsi="Calibri" w:cs="Calibri"/>
          <w:color w:val="222222"/>
          <w:shd w:val="clear" w:color="auto" w:fill="FFFFFF"/>
        </w:rPr>
        <w:t xml:space="preserve">. Waitangi Tribunal: Wellington. </w:t>
      </w:r>
      <w:hyperlink r:id="rId58" w:history="1">
        <w:r w:rsidRPr="0044404D">
          <w:rPr>
            <w:rStyle w:val="Hyperlink"/>
            <w:rFonts w:ascii="Calibri" w:hAnsi="Calibri" w:cs="Calibri"/>
            <w:shd w:val="clear" w:color="auto" w:fill="FFFFFF"/>
          </w:rPr>
          <w:t>https://forms.justice.govt.nz/search/Documents/WT/wt_DOC_152801817/Hauora%20W.pdf</w:t>
        </w:r>
      </w:hyperlink>
      <w:r w:rsidRPr="0044404D">
        <w:rPr>
          <w:rFonts w:ascii="Calibri" w:hAnsi="Calibri" w:cs="Calibri"/>
          <w:color w:val="222222"/>
          <w:shd w:val="clear" w:color="auto" w:fill="FFFFFF"/>
        </w:rPr>
        <w:t xml:space="preserve"> </w:t>
      </w:r>
    </w:p>
    <w:p w14:paraId="7C19BB29" w14:textId="335B19DD" w:rsidR="00D21BC7" w:rsidRPr="00D21BC7" w:rsidRDefault="00D21BC7" w:rsidP="00293982">
      <w:pPr>
        <w:pStyle w:val="ListParagraph"/>
        <w:spacing w:after="40" w:line="240" w:lineRule="auto"/>
        <w:ind w:left="270" w:hanging="180"/>
        <w:contextualSpacing w:val="0"/>
        <w:rPr>
          <w:rFonts w:ascii="Calibri" w:hAnsi="Calibri" w:cs="Calibri"/>
          <w:lang w:val="en-US"/>
        </w:rPr>
      </w:pPr>
      <w:r>
        <w:rPr>
          <w:rFonts w:ascii="Calibri" w:hAnsi="Calibri" w:cs="Calibri"/>
          <w:color w:val="222222"/>
          <w:shd w:val="clear" w:color="auto" w:fill="FFFFFF"/>
        </w:rPr>
        <w:t>Ward, C.</w:t>
      </w:r>
      <w:r>
        <w:rPr>
          <w:rFonts w:ascii="Calibri" w:hAnsi="Calibri" w:cs="Calibri"/>
          <w:i/>
          <w:iCs/>
          <w:lang w:val="en-US"/>
        </w:rPr>
        <w:t xml:space="preserve"> </w:t>
      </w:r>
      <w:r>
        <w:rPr>
          <w:rFonts w:ascii="Calibri" w:hAnsi="Calibri" w:cs="Calibri"/>
          <w:lang w:val="en-US"/>
        </w:rPr>
        <w:t xml:space="preserve">(2020.) </w:t>
      </w:r>
      <w:r w:rsidR="009A6ACE">
        <w:rPr>
          <w:rFonts w:ascii="Calibri" w:hAnsi="Calibri" w:cs="Calibri"/>
          <w:lang w:val="en-US"/>
        </w:rPr>
        <w:t xml:space="preserve">Briefing to the Incoming Minister for Child Poverty Reduction. Department of the Prime Minster and Cabinet. </w:t>
      </w:r>
      <w:hyperlink r:id="rId59" w:history="1">
        <w:r w:rsidR="009A6ACE" w:rsidRPr="00B82585">
          <w:rPr>
            <w:rStyle w:val="Hyperlink"/>
            <w:rFonts w:ascii="Calibri" w:hAnsi="Calibri" w:cs="Calibri"/>
            <w:lang w:val="en-US"/>
          </w:rPr>
          <w:t>https://dpmc.govt.nz/sites/default/files/2020-12/bim-2020-child-poverty-4317593.pdf</w:t>
        </w:r>
      </w:hyperlink>
      <w:r w:rsidR="009A6ACE">
        <w:rPr>
          <w:rFonts w:ascii="Calibri" w:hAnsi="Calibri" w:cs="Calibri"/>
          <w:lang w:val="en-US"/>
        </w:rPr>
        <w:t xml:space="preserve"> </w:t>
      </w:r>
    </w:p>
    <w:p w14:paraId="4A5D0B51" w14:textId="4C9A8F9D" w:rsidR="00D54986" w:rsidRPr="00493F9A" w:rsidRDefault="00AF1720" w:rsidP="00493F9A">
      <w:pPr>
        <w:pStyle w:val="ListParagraph"/>
        <w:spacing w:after="40" w:line="240" w:lineRule="auto"/>
        <w:ind w:left="270" w:hanging="180"/>
        <w:contextualSpacing w:val="0"/>
        <w:rPr>
          <w:rFonts w:ascii="Calibri" w:hAnsi="Calibri" w:cs="Calibri"/>
          <w:lang w:val="en-US"/>
        </w:rPr>
      </w:pPr>
      <w:hyperlink r:id="rId60" w:history="1">
        <w:r w:rsidR="00D54986" w:rsidRPr="00493F9A">
          <w:rPr>
            <w:rStyle w:val="Hyperlink"/>
            <w:rFonts w:ascii="Calibri" w:hAnsi="Calibri" w:cs="Calibri"/>
          </w:rPr>
          <w:t>Youth19 survey</w:t>
        </w:r>
      </w:hyperlink>
      <w:r w:rsidR="00D54986" w:rsidRPr="00493F9A">
        <w:rPr>
          <w:rStyle w:val="Hyperlink"/>
          <w:rFonts w:ascii="Calibri" w:hAnsi="Calibri" w:cs="Calibri"/>
        </w:rPr>
        <w:t xml:space="preserve"> </w:t>
      </w:r>
      <w:r w:rsidR="00493F9A" w:rsidRPr="00493F9A">
        <w:rPr>
          <w:rStyle w:val="Hyperlink"/>
          <w:rFonts w:ascii="Calibri" w:hAnsi="Calibri" w:cs="Calibri"/>
        </w:rPr>
        <w:t>(</w:t>
      </w:r>
      <w:r w:rsidR="00D54986" w:rsidRPr="00493F9A">
        <w:rPr>
          <w:rStyle w:val="Hyperlink"/>
          <w:rFonts w:ascii="Calibri" w:hAnsi="Calibri" w:cs="Calibri"/>
        </w:rPr>
        <w:t>2020)</w:t>
      </w:r>
      <w:r w:rsidR="00493F9A" w:rsidRPr="00493F9A">
        <w:rPr>
          <w:rFonts w:ascii="Calibri" w:hAnsi="Calibri" w:cs="Calibri"/>
        </w:rPr>
        <w:t xml:space="preserve">: Fleming, T., </w:t>
      </w:r>
      <w:proofErr w:type="spellStart"/>
      <w:r w:rsidR="00493F9A" w:rsidRPr="00493F9A">
        <w:rPr>
          <w:rFonts w:ascii="Calibri" w:hAnsi="Calibri" w:cs="Calibri"/>
        </w:rPr>
        <w:t>Tiatia-Seath</w:t>
      </w:r>
      <w:proofErr w:type="spellEnd"/>
      <w:r w:rsidR="00493F9A" w:rsidRPr="00493F9A">
        <w:rPr>
          <w:rFonts w:ascii="Calibri" w:hAnsi="Calibri" w:cs="Calibri"/>
        </w:rPr>
        <w:t xml:space="preserve">, J., Peiris-John, R., Sutcliffe, K., Archer, D., </w:t>
      </w:r>
      <w:proofErr w:type="spellStart"/>
      <w:r w:rsidR="00493F9A" w:rsidRPr="00493F9A">
        <w:rPr>
          <w:rFonts w:ascii="Calibri" w:hAnsi="Calibri" w:cs="Calibri"/>
        </w:rPr>
        <w:t>Bavin</w:t>
      </w:r>
      <w:proofErr w:type="spellEnd"/>
      <w:r w:rsidR="00493F9A" w:rsidRPr="00493F9A">
        <w:rPr>
          <w:rFonts w:ascii="Calibri" w:hAnsi="Calibri" w:cs="Calibri"/>
        </w:rPr>
        <w:t xml:space="preserve">, L., Crengle, S., &amp; Clark, T. (2020). Youth19 </w:t>
      </w:r>
      <w:proofErr w:type="spellStart"/>
      <w:r w:rsidR="00493F9A" w:rsidRPr="00493F9A">
        <w:rPr>
          <w:rFonts w:ascii="Calibri" w:hAnsi="Calibri" w:cs="Calibri"/>
        </w:rPr>
        <w:t>Rangatahi</w:t>
      </w:r>
      <w:proofErr w:type="spellEnd"/>
      <w:r w:rsidR="00493F9A" w:rsidRPr="00493F9A">
        <w:rPr>
          <w:rFonts w:ascii="Calibri" w:hAnsi="Calibri" w:cs="Calibri"/>
        </w:rPr>
        <w:t xml:space="preserve"> Smart Survey, Initial Findings: Hauora </w:t>
      </w:r>
      <w:proofErr w:type="spellStart"/>
      <w:r w:rsidR="00493F9A" w:rsidRPr="00493F9A">
        <w:rPr>
          <w:rFonts w:ascii="Calibri" w:hAnsi="Calibri" w:cs="Calibri"/>
        </w:rPr>
        <w:t>Hinengaro</w:t>
      </w:r>
      <w:proofErr w:type="spellEnd"/>
      <w:r w:rsidR="00493F9A" w:rsidRPr="00493F9A">
        <w:rPr>
          <w:rFonts w:ascii="Calibri" w:hAnsi="Calibri" w:cs="Calibri"/>
        </w:rPr>
        <w:t xml:space="preserve"> / Emotional and Mental Health. The Youth19 Research Group, The University of Auckland and Victoria University of Wellington, New Zealand.</w:t>
      </w:r>
      <w:r w:rsidR="00493F9A" w:rsidRPr="00493F9A">
        <w:rPr>
          <w:rStyle w:val="Hyperlink"/>
          <w:rFonts w:ascii="Calibri" w:hAnsi="Calibri" w:cs="Calibri"/>
        </w:rPr>
        <w:t xml:space="preserve"> https://static1.squarespace.com/static/5bdbb75ccef37259122e59aa/t/5f338e4cfb539d2246e9e5ce/1597214306382/Youth19+Mental+Health+Report.pdf</w:t>
      </w:r>
    </w:p>
    <w:sectPr w:rsidR="00D54986" w:rsidRPr="00493F9A" w:rsidSect="008A77F2">
      <w:headerReference w:type="default" r:id="rId61"/>
      <w:footerReference w:type="default" r:id="rId62"/>
      <w:type w:val="continuous"/>
      <w:pgSz w:w="11906" w:h="16838"/>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095D" w14:textId="77777777" w:rsidR="00AF1720" w:rsidRDefault="00AF1720" w:rsidP="00802073">
      <w:pPr>
        <w:spacing w:after="0" w:line="240" w:lineRule="auto"/>
      </w:pPr>
      <w:r>
        <w:separator/>
      </w:r>
    </w:p>
  </w:endnote>
  <w:endnote w:type="continuationSeparator" w:id="0">
    <w:p w14:paraId="38D8983A" w14:textId="77777777" w:rsidR="00AF1720" w:rsidRDefault="00AF1720" w:rsidP="0080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200520"/>
      <w:docPartObj>
        <w:docPartGallery w:val="Page Numbers (Bottom of Page)"/>
        <w:docPartUnique/>
      </w:docPartObj>
    </w:sdtPr>
    <w:sdtEndPr>
      <w:rPr>
        <w:noProof/>
      </w:rPr>
    </w:sdtEndPr>
    <w:sdtContent>
      <w:p w14:paraId="7C4A0245" w14:textId="158BF48F" w:rsidR="00484E2D" w:rsidRDefault="00484E2D">
        <w:pPr>
          <w:pStyle w:val="Footer"/>
          <w:jc w:val="center"/>
        </w:pPr>
        <w:r>
          <w:fldChar w:fldCharType="begin"/>
        </w:r>
        <w:r>
          <w:instrText xml:space="preserve"> PAGE   \* MERGEFORMAT </w:instrText>
        </w:r>
        <w:r>
          <w:fldChar w:fldCharType="separate"/>
        </w:r>
        <w:r w:rsidR="00E127AA">
          <w:rPr>
            <w:noProof/>
          </w:rPr>
          <w:t>17</w:t>
        </w:r>
        <w:r>
          <w:rPr>
            <w:noProof/>
          </w:rPr>
          <w:fldChar w:fldCharType="end"/>
        </w:r>
      </w:p>
    </w:sdtContent>
  </w:sdt>
  <w:p w14:paraId="38468CBC" w14:textId="77777777" w:rsidR="00484E2D" w:rsidRDefault="0048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1B21C" w14:textId="77777777" w:rsidR="00AF1720" w:rsidRDefault="00AF1720" w:rsidP="00802073">
      <w:pPr>
        <w:spacing w:after="0" w:line="240" w:lineRule="auto"/>
      </w:pPr>
      <w:r>
        <w:separator/>
      </w:r>
    </w:p>
  </w:footnote>
  <w:footnote w:type="continuationSeparator" w:id="0">
    <w:p w14:paraId="53129DD9" w14:textId="77777777" w:rsidR="00AF1720" w:rsidRDefault="00AF1720" w:rsidP="0080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D7E8" w14:textId="2532E4A9" w:rsidR="00484E2D" w:rsidRPr="008A77F2" w:rsidRDefault="00484E2D">
    <w:pPr>
      <w:pStyle w:val="Header"/>
      <w:rPr>
        <w:lang w:val="en-US"/>
      </w:rPr>
    </w:pPr>
    <w:r>
      <w:rPr>
        <w:lang w:val="en-US"/>
      </w:rPr>
      <w:tab/>
    </w:r>
    <w:r>
      <w:rPr>
        <w:lang w:val="en-US"/>
      </w:rPr>
      <w:tab/>
      <w:t>CPAG BIM 202</w:t>
    </w:r>
    <w:r w:rsidR="00B12977">
      <w:rPr>
        <w:lang w:val="en-US"/>
      </w:rPr>
      <w:t>1</w:t>
    </w:r>
    <w:r>
      <w:rPr>
        <w:lang w:val="en-US"/>
      </w:rPr>
      <w:t>: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12A827"/>
    <w:multiLevelType w:val="hybridMultilevel"/>
    <w:tmpl w:val="EB97803B"/>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15:restartNumberingAfterBreak="0">
    <w:nsid w:val="00C40C2C"/>
    <w:multiLevelType w:val="hybridMultilevel"/>
    <w:tmpl w:val="57A4A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8B0167"/>
    <w:multiLevelType w:val="hybridMultilevel"/>
    <w:tmpl w:val="290CF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544DC"/>
    <w:multiLevelType w:val="hybridMultilevel"/>
    <w:tmpl w:val="CF48B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481B84"/>
    <w:multiLevelType w:val="hybridMultilevel"/>
    <w:tmpl w:val="81FC2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204091"/>
    <w:multiLevelType w:val="hybridMultilevel"/>
    <w:tmpl w:val="4AF64F2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07F03C7"/>
    <w:multiLevelType w:val="hybridMultilevel"/>
    <w:tmpl w:val="1FFEBC1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6DB1388"/>
    <w:multiLevelType w:val="hybridMultilevel"/>
    <w:tmpl w:val="DABE4B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746CBC"/>
    <w:multiLevelType w:val="hybridMultilevel"/>
    <w:tmpl w:val="621EB27C"/>
    <w:lvl w:ilvl="0" w:tplc="1409000F">
      <w:start w:val="1"/>
      <w:numFmt w:val="decimal"/>
      <w:lvlText w:val="%1."/>
      <w:lvlJc w:val="left"/>
      <w:pPr>
        <w:ind w:left="1437" w:hanging="360"/>
      </w:pPr>
      <w:rPr>
        <w:rFonts w:hint="default"/>
      </w:rPr>
    </w:lvl>
    <w:lvl w:ilvl="1" w:tplc="1409001B">
      <w:start w:val="1"/>
      <w:numFmt w:val="lowerRoman"/>
      <w:lvlText w:val="%2."/>
      <w:lvlJc w:val="right"/>
      <w:pPr>
        <w:ind w:left="2157" w:hanging="360"/>
      </w:pPr>
      <w:rPr>
        <w:rFonts w:hint="default"/>
      </w:rPr>
    </w:lvl>
    <w:lvl w:ilvl="2" w:tplc="1409001B" w:tentative="1">
      <w:start w:val="1"/>
      <w:numFmt w:val="lowerRoman"/>
      <w:lvlText w:val="%3."/>
      <w:lvlJc w:val="right"/>
      <w:pPr>
        <w:ind w:left="2877" w:hanging="180"/>
      </w:pPr>
    </w:lvl>
    <w:lvl w:ilvl="3" w:tplc="1409000F" w:tentative="1">
      <w:start w:val="1"/>
      <w:numFmt w:val="decimal"/>
      <w:lvlText w:val="%4."/>
      <w:lvlJc w:val="left"/>
      <w:pPr>
        <w:ind w:left="3597" w:hanging="360"/>
      </w:pPr>
    </w:lvl>
    <w:lvl w:ilvl="4" w:tplc="14090019" w:tentative="1">
      <w:start w:val="1"/>
      <w:numFmt w:val="lowerLetter"/>
      <w:lvlText w:val="%5."/>
      <w:lvlJc w:val="left"/>
      <w:pPr>
        <w:ind w:left="4317" w:hanging="360"/>
      </w:pPr>
    </w:lvl>
    <w:lvl w:ilvl="5" w:tplc="1409001B" w:tentative="1">
      <w:start w:val="1"/>
      <w:numFmt w:val="lowerRoman"/>
      <w:lvlText w:val="%6."/>
      <w:lvlJc w:val="right"/>
      <w:pPr>
        <w:ind w:left="5037" w:hanging="180"/>
      </w:pPr>
    </w:lvl>
    <w:lvl w:ilvl="6" w:tplc="1409000F" w:tentative="1">
      <w:start w:val="1"/>
      <w:numFmt w:val="decimal"/>
      <w:lvlText w:val="%7."/>
      <w:lvlJc w:val="left"/>
      <w:pPr>
        <w:ind w:left="5757" w:hanging="360"/>
      </w:pPr>
    </w:lvl>
    <w:lvl w:ilvl="7" w:tplc="14090019" w:tentative="1">
      <w:start w:val="1"/>
      <w:numFmt w:val="lowerLetter"/>
      <w:lvlText w:val="%8."/>
      <w:lvlJc w:val="left"/>
      <w:pPr>
        <w:ind w:left="6477" w:hanging="360"/>
      </w:pPr>
    </w:lvl>
    <w:lvl w:ilvl="8" w:tplc="1409001B" w:tentative="1">
      <w:start w:val="1"/>
      <w:numFmt w:val="lowerRoman"/>
      <w:lvlText w:val="%9."/>
      <w:lvlJc w:val="right"/>
      <w:pPr>
        <w:ind w:left="7197" w:hanging="180"/>
      </w:pPr>
    </w:lvl>
  </w:abstractNum>
  <w:abstractNum w:abstractNumId="9" w15:restartNumberingAfterBreak="0">
    <w:nsid w:val="18355D5C"/>
    <w:multiLevelType w:val="hybridMultilevel"/>
    <w:tmpl w:val="A7EC7F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1A31795B"/>
    <w:multiLevelType w:val="multilevel"/>
    <w:tmpl w:val="C45C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90FC9"/>
    <w:multiLevelType w:val="hybridMultilevel"/>
    <w:tmpl w:val="BBA41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EE0B2C"/>
    <w:multiLevelType w:val="hybridMultilevel"/>
    <w:tmpl w:val="B1D24E1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4B1656C"/>
    <w:multiLevelType w:val="hybridMultilevel"/>
    <w:tmpl w:val="74241B5A"/>
    <w:lvl w:ilvl="0" w:tplc="DCE87322">
      <w:start w:val="1"/>
      <w:numFmt w:val="decimal"/>
      <w:lvlText w:val="%1."/>
      <w:lvlJc w:val="left"/>
      <w:pPr>
        <w:ind w:left="720" w:hanging="360"/>
      </w:pPr>
      <w:rPr>
        <w:rFonts w:cs="Calibri" w:hint="default"/>
        <w:color w:val="1D2129"/>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54869E1"/>
    <w:multiLevelType w:val="hybridMultilevel"/>
    <w:tmpl w:val="1D2200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26984A6B"/>
    <w:multiLevelType w:val="hybridMultilevel"/>
    <w:tmpl w:val="F736852E"/>
    <w:lvl w:ilvl="0" w:tplc="07BAA964">
      <w:start w:val="12"/>
      <w:numFmt w:val="bullet"/>
      <w:lvlText w:val="-"/>
      <w:lvlJc w:val="left"/>
      <w:pPr>
        <w:ind w:left="1074" w:hanging="360"/>
      </w:pPr>
      <w:rPr>
        <w:rFonts w:ascii="Calibri" w:eastAsiaTheme="minorHAnsi" w:hAnsi="Calibri" w:cs="Calibri" w:hint="default"/>
        <w:b w:val="0"/>
        <w:sz w:val="24"/>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6" w15:restartNumberingAfterBreak="0">
    <w:nsid w:val="2F254842"/>
    <w:multiLevelType w:val="hybridMultilevel"/>
    <w:tmpl w:val="856E7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1960867"/>
    <w:multiLevelType w:val="hybridMultilevel"/>
    <w:tmpl w:val="0410282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4747C92"/>
    <w:multiLevelType w:val="hybridMultilevel"/>
    <w:tmpl w:val="B148C7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51933F4"/>
    <w:multiLevelType w:val="hybridMultilevel"/>
    <w:tmpl w:val="DD9C5440"/>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744117"/>
    <w:multiLevelType w:val="hybridMultilevel"/>
    <w:tmpl w:val="57803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39B217A7"/>
    <w:multiLevelType w:val="hybridMultilevel"/>
    <w:tmpl w:val="0822753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2" w15:restartNumberingAfterBreak="0">
    <w:nsid w:val="3E0573C3"/>
    <w:multiLevelType w:val="hybridMultilevel"/>
    <w:tmpl w:val="BCF0C0D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3" w15:restartNumberingAfterBreak="0">
    <w:nsid w:val="3EE9420D"/>
    <w:multiLevelType w:val="hybridMultilevel"/>
    <w:tmpl w:val="5B14A92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3FBE2211"/>
    <w:multiLevelType w:val="hybridMultilevel"/>
    <w:tmpl w:val="3F7E25D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46E348D1"/>
    <w:multiLevelType w:val="hybridMultilevel"/>
    <w:tmpl w:val="6E8C7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2E2350"/>
    <w:multiLevelType w:val="hybridMultilevel"/>
    <w:tmpl w:val="07E057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5D75ECA"/>
    <w:multiLevelType w:val="hybridMultilevel"/>
    <w:tmpl w:val="6D5868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0741989"/>
    <w:multiLevelType w:val="hybridMultilevel"/>
    <w:tmpl w:val="B8564B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14A307B"/>
    <w:multiLevelType w:val="hybridMultilevel"/>
    <w:tmpl w:val="40266F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69F2D97"/>
    <w:multiLevelType w:val="hybridMultilevel"/>
    <w:tmpl w:val="196237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9E254B7"/>
    <w:multiLevelType w:val="hybridMultilevel"/>
    <w:tmpl w:val="4D228646"/>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6AEA6025"/>
    <w:multiLevelType w:val="hybridMultilevel"/>
    <w:tmpl w:val="8662BD8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6D103E62"/>
    <w:multiLevelType w:val="hybridMultilevel"/>
    <w:tmpl w:val="F49CA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2C4CF4"/>
    <w:multiLevelType w:val="hybridMultilevel"/>
    <w:tmpl w:val="07162B46"/>
    <w:lvl w:ilvl="0" w:tplc="14090001">
      <w:start w:val="1"/>
      <w:numFmt w:val="bullet"/>
      <w:lvlText w:val=""/>
      <w:lvlJc w:val="left"/>
      <w:pPr>
        <w:ind w:left="1058" w:hanging="360"/>
      </w:pPr>
      <w:rPr>
        <w:rFonts w:ascii="Symbol" w:hAnsi="Symbol" w:hint="default"/>
      </w:rPr>
    </w:lvl>
    <w:lvl w:ilvl="1" w:tplc="14090003" w:tentative="1">
      <w:start w:val="1"/>
      <w:numFmt w:val="bullet"/>
      <w:lvlText w:val="o"/>
      <w:lvlJc w:val="left"/>
      <w:pPr>
        <w:ind w:left="1778" w:hanging="360"/>
      </w:pPr>
      <w:rPr>
        <w:rFonts w:ascii="Courier New" w:hAnsi="Courier New" w:cs="Courier New" w:hint="default"/>
      </w:rPr>
    </w:lvl>
    <w:lvl w:ilvl="2" w:tplc="14090005" w:tentative="1">
      <w:start w:val="1"/>
      <w:numFmt w:val="bullet"/>
      <w:lvlText w:val=""/>
      <w:lvlJc w:val="left"/>
      <w:pPr>
        <w:ind w:left="2498" w:hanging="360"/>
      </w:pPr>
      <w:rPr>
        <w:rFonts w:ascii="Wingdings" w:hAnsi="Wingdings" w:hint="default"/>
      </w:rPr>
    </w:lvl>
    <w:lvl w:ilvl="3" w:tplc="14090001" w:tentative="1">
      <w:start w:val="1"/>
      <w:numFmt w:val="bullet"/>
      <w:lvlText w:val=""/>
      <w:lvlJc w:val="left"/>
      <w:pPr>
        <w:ind w:left="3218" w:hanging="360"/>
      </w:pPr>
      <w:rPr>
        <w:rFonts w:ascii="Symbol" w:hAnsi="Symbol" w:hint="default"/>
      </w:rPr>
    </w:lvl>
    <w:lvl w:ilvl="4" w:tplc="14090003" w:tentative="1">
      <w:start w:val="1"/>
      <w:numFmt w:val="bullet"/>
      <w:lvlText w:val="o"/>
      <w:lvlJc w:val="left"/>
      <w:pPr>
        <w:ind w:left="3938" w:hanging="360"/>
      </w:pPr>
      <w:rPr>
        <w:rFonts w:ascii="Courier New" w:hAnsi="Courier New" w:cs="Courier New" w:hint="default"/>
      </w:rPr>
    </w:lvl>
    <w:lvl w:ilvl="5" w:tplc="14090005" w:tentative="1">
      <w:start w:val="1"/>
      <w:numFmt w:val="bullet"/>
      <w:lvlText w:val=""/>
      <w:lvlJc w:val="left"/>
      <w:pPr>
        <w:ind w:left="4658" w:hanging="360"/>
      </w:pPr>
      <w:rPr>
        <w:rFonts w:ascii="Wingdings" w:hAnsi="Wingdings" w:hint="default"/>
      </w:rPr>
    </w:lvl>
    <w:lvl w:ilvl="6" w:tplc="14090001" w:tentative="1">
      <w:start w:val="1"/>
      <w:numFmt w:val="bullet"/>
      <w:lvlText w:val=""/>
      <w:lvlJc w:val="left"/>
      <w:pPr>
        <w:ind w:left="5378" w:hanging="360"/>
      </w:pPr>
      <w:rPr>
        <w:rFonts w:ascii="Symbol" w:hAnsi="Symbol" w:hint="default"/>
      </w:rPr>
    </w:lvl>
    <w:lvl w:ilvl="7" w:tplc="14090003" w:tentative="1">
      <w:start w:val="1"/>
      <w:numFmt w:val="bullet"/>
      <w:lvlText w:val="o"/>
      <w:lvlJc w:val="left"/>
      <w:pPr>
        <w:ind w:left="6098" w:hanging="360"/>
      </w:pPr>
      <w:rPr>
        <w:rFonts w:ascii="Courier New" w:hAnsi="Courier New" w:cs="Courier New" w:hint="default"/>
      </w:rPr>
    </w:lvl>
    <w:lvl w:ilvl="8" w:tplc="14090005" w:tentative="1">
      <w:start w:val="1"/>
      <w:numFmt w:val="bullet"/>
      <w:lvlText w:val=""/>
      <w:lvlJc w:val="left"/>
      <w:pPr>
        <w:ind w:left="6818" w:hanging="360"/>
      </w:pPr>
      <w:rPr>
        <w:rFonts w:ascii="Wingdings" w:hAnsi="Wingdings" w:hint="default"/>
      </w:rPr>
    </w:lvl>
  </w:abstractNum>
  <w:abstractNum w:abstractNumId="35" w15:restartNumberingAfterBreak="0">
    <w:nsid w:val="77E43C16"/>
    <w:multiLevelType w:val="multilevel"/>
    <w:tmpl w:val="BF965DF4"/>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9F259A"/>
    <w:multiLevelType w:val="hybridMultilevel"/>
    <w:tmpl w:val="8F74C3D6"/>
    <w:lvl w:ilvl="0" w:tplc="14090003">
      <w:start w:val="1"/>
      <w:numFmt w:val="bullet"/>
      <w:lvlText w:val="o"/>
      <w:lvlJc w:val="left"/>
      <w:pPr>
        <w:ind w:left="720" w:hanging="360"/>
      </w:pPr>
      <w:rPr>
        <w:rFonts w:ascii="Courier New" w:hAnsi="Courier New" w:cs="Courier New"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A240541"/>
    <w:multiLevelType w:val="hybridMultilevel"/>
    <w:tmpl w:val="68D2B3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A9864A9"/>
    <w:multiLevelType w:val="hybridMultilevel"/>
    <w:tmpl w:val="E822E3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7D5F049E"/>
    <w:multiLevelType w:val="hybridMultilevel"/>
    <w:tmpl w:val="A4F014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AE4E27"/>
    <w:multiLevelType w:val="hybridMultilevel"/>
    <w:tmpl w:val="035C2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29"/>
  </w:num>
  <w:num w:numId="4">
    <w:abstractNumId w:val="37"/>
  </w:num>
  <w:num w:numId="5">
    <w:abstractNumId w:val="29"/>
  </w:num>
  <w:num w:numId="6">
    <w:abstractNumId w:val="7"/>
  </w:num>
  <w:num w:numId="7">
    <w:abstractNumId w:val="39"/>
  </w:num>
  <w:num w:numId="8">
    <w:abstractNumId w:val="3"/>
  </w:num>
  <w:num w:numId="9">
    <w:abstractNumId w:val="9"/>
  </w:num>
  <w:num w:numId="10">
    <w:abstractNumId w:val="40"/>
  </w:num>
  <w:num w:numId="11">
    <w:abstractNumId w:val="1"/>
  </w:num>
  <w:num w:numId="12">
    <w:abstractNumId w:val="11"/>
  </w:num>
  <w:num w:numId="13">
    <w:abstractNumId w:val="20"/>
  </w:num>
  <w:num w:numId="14">
    <w:abstractNumId w:val="26"/>
  </w:num>
  <w:num w:numId="15">
    <w:abstractNumId w:val="23"/>
  </w:num>
  <w:num w:numId="16">
    <w:abstractNumId w:val="35"/>
  </w:num>
  <w:num w:numId="17">
    <w:abstractNumId w:val="31"/>
  </w:num>
  <w:num w:numId="18">
    <w:abstractNumId w:val="4"/>
  </w:num>
  <w:num w:numId="19">
    <w:abstractNumId w:val="27"/>
  </w:num>
  <w:num w:numId="20">
    <w:abstractNumId w:val="5"/>
  </w:num>
  <w:num w:numId="21">
    <w:abstractNumId w:val="28"/>
  </w:num>
  <w:num w:numId="22">
    <w:abstractNumId w:val="19"/>
  </w:num>
  <w:num w:numId="23">
    <w:abstractNumId w:val="8"/>
  </w:num>
  <w:num w:numId="24">
    <w:abstractNumId w:val="31"/>
  </w:num>
  <w:num w:numId="25">
    <w:abstractNumId w:val="24"/>
  </w:num>
  <w:num w:numId="26">
    <w:abstractNumId w:val="12"/>
  </w:num>
  <w:num w:numId="27">
    <w:abstractNumId w:val="25"/>
  </w:num>
  <w:num w:numId="28">
    <w:abstractNumId w:val="34"/>
  </w:num>
  <w:num w:numId="29">
    <w:abstractNumId w:val="39"/>
  </w:num>
  <w:num w:numId="30">
    <w:abstractNumId w:val="11"/>
  </w:num>
  <w:num w:numId="31">
    <w:abstractNumId w:val="16"/>
  </w:num>
  <w:num w:numId="32">
    <w:abstractNumId w:val="33"/>
  </w:num>
  <w:num w:numId="33">
    <w:abstractNumId w:val="0"/>
  </w:num>
  <w:num w:numId="34">
    <w:abstractNumId w:val="14"/>
  </w:num>
  <w:num w:numId="35">
    <w:abstractNumId w:val="6"/>
  </w:num>
  <w:num w:numId="36">
    <w:abstractNumId w:val="36"/>
  </w:num>
  <w:num w:numId="37">
    <w:abstractNumId w:val="32"/>
  </w:num>
  <w:num w:numId="38">
    <w:abstractNumId w:val="13"/>
  </w:num>
  <w:num w:numId="39">
    <w:abstractNumId w:val="30"/>
  </w:num>
  <w:num w:numId="40">
    <w:abstractNumId w:val="0"/>
  </w:num>
  <w:num w:numId="41">
    <w:abstractNumId w:val="22"/>
  </w:num>
  <w:num w:numId="42">
    <w:abstractNumId w:val="14"/>
  </w:num>
  <w:num w:numId="43">
    <w:abstractNumId w:val="6"/>
  </w:num>
  <w:num w:numId="44">
    <w:abstractNumId w:val="36"/>
  </w:num>
  <w:num w:numId="45">
    <w:abstractNumId w:val="32"/>
  </w:num>
  <w:num w:numId="46">
    <w:abstractNumId w:val="2"/>
  </w:num>
  <w:num w:numId="47">
    <w:abstractNumId w:val="18"/>
  </w:num>
  <w:num w:numId="48">
    <w:abstractNumId w:val="17"/>
  </w:num>
  <w:num w:numId="49">
    <w:abstractNumId w:val="2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00"/>
    <w:rsid w:val="0000266A"/>
    <w:rsid w:val="0000707D"/>
    <w:rsid w:val="00012E7B"/>
    <w:rsid w:val="0001585E"/>
    <w:rsid w:val="00022485"/>
    <w:rsid w:val="00031634"/>
    <w:rsid w:val="00042BDF"/>
    <w:rsid w:val="00047F1B"/>
    <w:rsid w:val="000536C0"/>
    <w:rsid w:val="00053893"/>
    <w:rsid w:val="00063E19"/>
    <w:rsid w:val="00074323"/>
    <w:rsid w:val="0009036C"/>
    <w:rsid w:val="000A123D"/>
    <w:rsid w:val="000A29BB"/>
    <w:rsid w:val="000A3577"/>
    <w:rsid w:val="000B26B0"/>
    <w:rsid w:val="000B74FF"/>
    <w:rsid w:val="000C6962"/>
    <w:rsid w:val="000E1ABB"/>
    <w:rsid w:val="000E4C8E"/>
    <w:rsid w:val="000F472E"/>
    <w:rsid w:val="00106BCE"/>
    <w:rsid w:val="0011170E"/>
    <w:rsid w:val="00111870"/>
    <w:rsid w:val="001126D4"/>
    <w:rsid w:val="00116610"/>
    <w:rsid w:val="001270C0"/>
    <w:rsid w:val="00161D72"/>
    <w:rsid w:val="001842DF"/>
    <w:rsid w:val="00186C54"/>
    <w:rsid w:val="0019010A"/>
    <w:rsid w:val="00196941"/>
    <w:rsid w:val="00196C3A"/>
    <w:rsid w:val="001A004F"/>
    <w:rsid w:val="001A21F1"/>
    <w:rsid w:val="001A299B"/>
    <w:rsid w:val="001A2EA4"/>
    <w:rsid w:val="001C55F4"/>
    <w:rsid w:val="001E0044"/>
    <w:rsid w:val="001E4CE6"/>
    <w:rsid w:val="001E6C53"/>
    <w:rsid w:val="001E6C5C"/>
    <w:rsid w:val="001F5607"/>
    <w:rsid w:val="001F5A9C"/>
    <w:rsid w:val="00201979"/>
    <w:rsid w:val="00204B47"/>
    <w:rsid w:val="00223D0D"/>
    <w:rsid w:val="002303F2"/>
    <w:rsid w:val="00241E30"/>
    <w:rsid w:val="002444C8"/>
    <w:rsid w:val="00250BF4"/>
    <w:rsid w:val="0025108C"/>
    <w:rsid w:val="00253B38"/>
    <w:rsid w:val="00262458"/>
    <w:rsid w:val="00266C64"/>
    <w:rsid w:val="00267537"/>
    <w:rsid w:val="00271416"/>
    <w:rsid w:val="00271AF2"/>
    <w:rsid w:val="00284077"/>
    <w:rsid w:val="0029018A"/>
    <w:rsid w:val="0029188A"/>
    <w:rsid w:val="00293982"/>
    <w:rsid w:val="00293D53"/>
    <w:rsid w:val="002B4B62"/>
    <w:rsid w:val="002C43F2"/>
    <w:rsid w:val="002C59A4"/>
    <w:rsid w:val="002C7BD1"/>
    <w:rsid w:val="002E5712"/>
    <w:rsid w:val="002F0729"/>
    <w:rsid w:val="002F5F82"/>
    <w:rsid w:val="00311B60"/>
    <w:rsid w:val="00313759"/>
    <w:rsid w:val="00323A8B"/>
    <w:rsid w:val="00324D9D"/>
    <w:rsid w:val="00326AD0"/>
    <w:rsid w:val="0033265D"/>
    <w:rsid w:val="00337821"/>
    <w:rsid w:val="00342202"/>
    <w:rsid w:val="003439EA"/>
    <w:rsid w:val="00345B90"/>
    <w:rsid w:val="00356F44"/>
    <w:rsid w:val="003653CE"/>
    <w:rsid w:val="003834C6"/>
    <w:rsid w:val="00385FD8"/>
    <w:rsid w:val="0038672A"/>
    <w:rsid w:val="003952FB"/>
    <w:rsid w:val="0039618D"/>
    <w:rsid w:val="003964AD"/>
    <w:rsid w:val="003A301B"/>
    <w:rsid w:val="003A4060"/>
    <w:rsid w:val="003C31C8"/>
    <w:rsid w:val="003C60E3"/>
    <w:rsid w:val="003C7636"/>
    <w:rsid w:val="003C7825"/>
    <w:rsid w:val="003E6887"/>
    <w:rsid w:val="003E71FD"/>
    <w:rsid w:val="003F249C"/>
    <w:rsid w:val="003F26BE"/>
    <w:rsid w:val="003F33BA"/>
    <w:rsid w:val="003F3AF7"/>
    <w:rsid w:val="00400111"/>
    <w:rsid w:val="0040503D"/>
    <w:rsid w:val="004270F9"/>
    <w:rsid w:val="00434B57"/>
    <w:rsid w:val="00443865"/>
    <w:rsid w:val="00456512"/>
    <w:rsid w:val="004646B3"/>
    <w:rsid w:val="00467A42"/>
    <w:rsid w:val="00471130"/>
    <w:rsid w:val="00484E2D"/>
    <w:rsid w:val="004861FB"/>
    <w:rsid w:val="00487DA7"/>
    <w:rsid w:val="0049247B"/>
    <w:rsid w:val="00493F9A"/>
    <w:rsid w:val="004B4AC5"/>
    <w:rsid w:val="004B57E7"/>
    <w:rsid w:val="004C3A35"/>
    <w:rsid w:val="004C4B88"/>
    <w:rsid w:val="004D71CA"/>
    <w:rsid w:val="004E3E41"/>
    <w:rsid w:val="004E6742"/>
    <w:rsid w:val="004F19CF"/>
    <w:rsid w:val="004F5FBF"/>
    <w:rsid w:val="00510142"/>
    <w:rsid w:val="0051104C"/>
    <w:rsid w:val="0051562A"/>
    <w:rsid w:val="005167FF"/>
    <w:rsid w:val="00532AB2"/>
    <w:rsid w:val="0054446F"/>
    <w:rsid w:val="00546F32"/>
    <w:rsid w:val="005612C0"/>
    <w:rsid w:val="005614C9"/>
    <w:rsid w:val="00566AC3"/>
    <w:rsid w:val="005711F7"/>
    <w:rsid w:val="005808B1"/>
    <w:rsid w:val="00582E32"/>
    <w:rsid w:val="00585CBD"/>
    <w:rsid w:val="005945D7"/>
    <w:rsid w:val="00595FC8"/>
    <w:rsid w:val="005A0354"/>
    <w:rsid w:val="005A3ACA"/>
    <w:rsid w:val="005A564D"/>
    <w:rsid w:val="005A5E9F"/>
    <w:rsid w:val="005B04C2"/>
    <w:rsid w:val="005C5C79"/>
    <w:rsid w:val="005D4CA7"/>
    <w:rsid w:val="005D7D31"/>
    <w:rsid w:val="005E7533"/>
    <w:rsid w:val="005F4723"/>
    <w:rsid w:val="00610ADF"/>
    <w:rsid w:val="00616390"/>
    <w:rsid w:val="00622797"/>
    <w:rsid w:val="00645038"/>
    <w:rsid w:val="00685C06"/>
    <w:rsid w:val="006872B8"/>
    <w:rsid w:val="00687A23"/>
    <w:rsid w:val="006B4D92"/>
    <w:rsid w:val="006B6233"/>
    <w:rsid w:val="006C211B"/>
    <w:rsid w:val="006C2130"/>
    <w:rsid w:val="006C268D"/>
    <w:rsid w:val="006D4041"/>
    <w:rsid w:val="006D583A"/>
    <w:rsid w:val="006E4A92"/>
    <w:rsid w:val="006E5754"/>
    <w:rsid w:val="00714E15"/>
    <w:rsid w:val="00717FC8"/>
    <w:rsid w:val="00726853"/>
    <w:rsid w:val="00726E49"/>
    <w:rsid w:val="00727D38"/>
    <w:rsid w:val="00730FD1"/>
    <w:rsid w:val="00732351"/>
    <w:rsid w:val="00733DD9"/>
    <w:rsid w:val="00741927"/>
    <w:rsid w:val="00761490"/>
    <w:rsid w:val="00763AC8"/>
    <w:rsid w:val="00773E2B"/>
    <w:rsid w:val="00776655"/>
    <w:rsid w:val="007802F8"/>
    <w:rsid w:val="007815DC"/>
    <w:rsid w:val="00786EA5"/>
    <w:rsid w:val="00787617"/>
    <w:rsid w:val="00787C5C"/>
    <w:rsid w:val="00791FA5"/>
    <w:rsid w:val="007A270F"/>
    <w:rsid w:val="007A3F26"/>
    <w:rsid w:val="007C303E"/>
    <w:rsid w:val="007D35C6"/>
    <w:rsid w:val="007D70C2"/>
    <w:rsid w:val="007D7D45"/>
    <w:rsid w:val="007D7FC9"/>
    <w:rsid w:val="007E2ECA"/>
    <w:rsid w:val="007E3904"/>
    <w:rsid w:val="007F3971"/>
    <w:rsid w:val="00802073"/>
    <w:rsid w:val="00806B89"/>
    <w:rsid w:val="00807262"/>
    <w:rsid w:val="00812D5E"/>
    <w:rsid w:val="00814E01"/>
    <w:rsid w:val="008248B9"/>
    <w:rsid w:val="00832E96"/>
    <w:rsid w:val="00851E5B"/>
    <w:rsid w:val="008563FB"/>
    <w:rsid w:val="0086203D"/>
    <w:rsid w:val="00867277"/>
    <w:rsid w:val="00881624"/>
    <w:rsid w:val="008A77F2"/>
    <w:rsid w:val="008A7890"/>
    <w:rsid w:val="008B0F57"/>
    <w:rsid w:val="008B5F4F"/>
    <w:rsid w:val="008E1845"/>
    <w:rsid w:val="008E7C31"/>
    <w:rsid w:val="008F6079"/>
    <w:rsid w:val="008F6A17"/>
    <w:rsid w:val="008F729D"/>
    <w:rsid w:val="008F7B32"/>
    <w:rsid w:val="00904743"/>
    <w:rsid w:val="00904D17"/>
    <w:rsid w:val="00904FBA"/>
    <w:rsid w:val="009121E7"/>
    <w:rsid w:val="00921C02"/>
    <w:rsid w:val="00923CEC"/>
    <w:rsid w:val="00931C08"/>
    <w:rsid w:val="00933AF0"/>
    <w:rsid w:val="009377C5"/>
    <w:rsid w:val="00940B44"/>
    <w:rsid w:val="00943F76"/>
    <w:rsid w:val="009467AA"/>
    <w:rsid w:val="00946B06"/>
    <w:rsid w:val="00953EBA"/>
    <w:rsid w:val="009671D8"/>
    <w:rsid w:val="00970AE5"/>
    <w:rsid w:val="00971AD3"/>
    <w:rsid w:val="00976004"/>
    <w:rsid w:val="00982553"/>
    <w:rsid w:val="00993193"/>
    <w:rsid w:val="00994AC5"/>
    <w:rsid w:val="009966D1"/>
    <w:rsid w:val="009974EF"/>
    <w:rsid w:val="009A0947"/>
    <w:rsid w:val="009A2F3A"/>
    <w:rsid w:val="009A6ACE"/>
    <w:rsid w:val="009B3E40"/>
    <w:rsid w:val="009B4330"/>
    <w:rsid w:val="009B440A"/>
    <w:rsid w:val="009B5639"/>
    <w:rsid w:val="009C7A00"/>
    <w:rsid w:val="009D65CF"/>
    <w:rsid w:val="009D6781"/>
    <w:rsid w:val="009D73D7"/>
    <w:rsid w:val="009E0D03"/>
    <w:rsid w:val="009E2016"/>
    <w:rsid w:val="009E41A0"/>
    <w:rsid w:val="009E5D84"/>
    <w:rsid w:val="009F5274"/>
    <w:rsid w:val="00A00A48"/>
    <w:rsid w:val="00A05CE7"/>
    <w:rsid w:val="00A05E30"/>
    <w:rsid w:val="00A15CEF"/>
    <w:rsid w:val="00A23D16"/>
    <w:rsid w:val="00A3319A"/>
    <w:rsid w:val="00A3717D"/>
    <w:rsid w:val="00A41BDF"/>
    <w:rsid w:val="00A4438A"/>
    <w:rsid w:val="00A5546F"/>
    <w:rsid w:val="00A63FC8"/>
    <w:rsid w:val="00A66B44"/>
    <w:rsid w:val="00A66C25"/>
    <w:rsid w:val="00A70CC1"/>
    <w:rsid w:val="00A72CC3"/>
    <w:rsid w:val="00A823E5"/>
    <w:rsid w:val="00A856E0"/>
    <w:rsid w:val="00A90ADA"/>
    <w:rsid w:val="00A92331"/>
    <w:rsid w:val="00AA6260"/>
    <w:rsid w:val="00AB25E0"/>
    <w:rsid w:val="00AC49AE"/>
    <w:rsid w:val="00AD0375"/>
    <w:rsid w:val="00AD2747"/>
    <w:rsid w:val="00AD39E6"/>
    <w:rsid w:val="00AD6340"/>
    <w:rsid w:val="00AD6937"/>
    <w:rsid w:val="00AE1505"/>
    <w:rsid w:val="00AE716B"/>
    <w:rsid w:val="00AF1720"/>
    <w:rsid w:val="00AF5798"/>
    <w:rsid w:val="00AF789C"/>
    <w:rsid w:val="00B01F94"/>
    <w:rsid w:val="00B03D0C"/>
    <w:rsid w:val="00B04305"/>
    <w:rsid w:val="00B11106"/>
    <w:rsid w:val="00B12977"/>
    <w:rsid w:val="00B15C4D"/>
    <w:rsid w:val="00B16807"/>
    <w:rsid w:val="00B24037"/>
    <w:rsid w:val="00B3689B"/>
    <w:rsid w:val="00B372D2"/>
    <w:rsid w:val="00B514E0"/>
    <w:rsid w:val="00B53253"/>
    <w:rsid w:val="00B63FFB"/>
    <w:rsid w:val="00B64142"/>
    <w:rsid w:val="00B90FCE"/>
    <w:rsid w:val="00B92131"/>
    <w:rsid w:val="00B931EB"/>
    <w:rsid w:val="00BA644F"/>
    <w:rsid w:val="00BC15C7"/>
    <w:rsid w:val="00BC4570"/>
    <w:rsid w:val="00BC788F"/>
    <w:rsid w:val="00BD5AFA"/>
    <w:rsid w:val="00BD60BB"/>
    <w:rsid w:val="00BE3665"/>
    <w:rsid w:val="00BF6BE6"/>
    <w:rsid w:val="00C1553F"/>
    <w:rsid w:val="00C155E1"/>
    <w:rsid w:val="00C20EA0"/>
    <w:rsid w:val="00C3436A"/>
    <w:rsid w:val="00C37A9A"/>
    <w:rsid w:val="00C43256"/>
    <w:rsid w:val="00C47459"/>
    <w:rsid w:val="00C55EFD"/>
    <w:rsid w:val="00C61504"/>
    <w:rsid w:val="00C66708"/>
    <w:rsid w:val="00C91D73"/>
    <w:rsid w:val="00CA2EE0"/>
    <w:rsid w:val="00CA3F1A"/>
    <w:rsid w:val="00CB02B2"/>
    <w:rsid w:val="00CB5325"/>
    <w:rsid w:val="00CF1249"/>
    <w:rsid w:val="00CF6CC5"/>
    <w:rsid w:val="00D204E1"/>
    <w:rsid w:val="00D21BC7"/>
    <w:rsid w:val="00D23AE3"/>
    <w:rsid w:val="00D25B8F"/>
    <w:rsid w:val="00D3029A"/>
    <w:rsid w:val="00D35670"/>
    <w:rsid w:val="00D371CF"/>
    <w:rsid w:val="00D43928"/>
    <w:rsid w:val="00D43E91"/>
    <w:rsid w:val="00D54986"/>
    <w:rsid w:val="00D86119"/>
    <w:rsid w:val="00D878C8"/>
    <w:rsid w:val="00D92CBF"/>
    <w:rsid w:val="00DA380D"/>
    <w:rsid w:val="00DA7A34"/>
    <w:rsid w:val="00DB0898"/>
    <w:rsid w:val="00DC036F"/>
    <w:rsid w:val="00DC13FD"/>
    <w:rsid w:val="00DD02EC"/>
    <w:rsid w:val="00DD593C"/>
    <w:rsid w:val="00DF0942"/>
    <w:rsid w:val="00DF1D90"/>
    <w:rsid w:val="00E00469"/>
    <w:rsid w:val="00E1093E"/>
    <w:rsid w:val="00E127AA"/>
    <w:rsid w:val="00E2351A"/>
    <w:rsid w:val="00E2369A"/>
    <w:rsid w:val="00E26768"/>
    <w:rsid w:val="00E32BE8"/>
    <w:rsid w:val="00E35A29"/>
    <w:rsid w:val="00E35D96"/>
    <w:rsid w:val="00E4123E"/>
    <w:rsid w:val="00E418CD"/>
    <w:rsid w:val="00E551B1"/>
    <w:rsid w:val="00E57B41"/>
    <w:rsid w:val="00E6372D"/>
    <w:rsid w:val="00E65AEA"/>
    <w:rsid w:val="00E674B6"/>
    <w:rsid w:val="00E72193"/>
    <w:rsid w:val="00E7262B"/>
    <w:rsid w:val="00E72FA3"/>
    <w:rsid w:val="00EB663A"/>
    <w:rsid w:val="00EB6A6E"/>
    <w:rsid w:val="00EB7275"/>
    <w:rsid w:val="00ED287A"/>
    <w:rsid w:val="00ED46FB"/>
    <w:rsid w:val="00ED7D68"/>
    <w:rsid w:val="00EE235F"/>
    <w:rsid w:val="00EE6C93"/>
    <w:rsid w:val="00EF30D2"/>
    <w:rsid w:val="00EF692C"/>
    <w:rsid w:val="00F01239"/>
    <w:rsid w:val="00F203E4"/>
    <w:rsid w:val="00F2483C"/>
    <w:rsid w:val="00F339D7"/>
    <w:rsid w:val="00F44281"/>
    <w:rsid w:val="00F458C2"/>
    <w:rsid w:val="00F5668A"/>
    <w:rsid w:val="00F57CDD"/>
    <w:rsid w:val="00F6074C"/>
    <w:rsid w:val="00F60D4F"/>
    <w:rsid w:val="00F6282F"/>
    <w:rsid w:val="00F75FFC"/>
    <w:rsid w:val="00F80066"/>
    <w:rsid w:val="00F85F4F"/>
    <w:rsid w:val="00F865F9"/>
    <w:rsid w:val="00F8701D"/>
    <w:rsid w:val="00F9305B"/>
    <w:rsid w:val="00F96A80"/>
    <w:rsid w:val="00FA0DF5"/>
    <w:rsid w:val="00FA4D74"/>
    <w:rsid w:val="00FA5D46"/>
    <w:rsid w:val="00FA6BB2"/>
    <w:rsid w:val="00FA7FD5"/>
    <w:rsid w:val="00FB1D4D"/>
    <w:rsid w:val="00FB3C2D"/>
    <w:rsid w:val="00FC048A"/>
    <w:rsid w:val="00FC11FF"/>
    <w:rsid w:val="00FC2F26"/>
    <w:rsid w:val="00FC3138"/>
    <w:rsid w:val="00FD1582"/>
    <w:rsid w:val="00FD17E7"/>
    <w:rsid w:val="00FD41E9"/>
    <w:rsid w:val="00FD7C5A"/>
    <w:rsid w:val="00FD7C65"/>
    <w:rsid w:val="00FE2304"/>
    <w:rsid w:val="00FE56CC"/>
    <w:rsid w:val="00FF4745"/>
    <w:rsid w:val="00FF49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634F6"/>
  <w15:chartTrackingRefBased/>
  <w15:docId w15:val="{857EC969-2E38-491A-96E4-3C861BE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27"/>
  </w:style>
  <w:style w:type="paragraph" w:styleId="Heading1">
    <w:name w:val="heading 1"/>
    <w:basedOn w:val="Normal"/>
    <w:next w:val="Normal"/>
    <w:link w:val="Heading1Char"/>
    <w:uiPriority w:val="9"/>
    <w:qFormat/>
    <w:rsid w:val="00FD1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9EA"/>
    <w:pPr>
      <w:keepNext/>
      <w:keepLines/>
      <w:spacing w:before="40" w:after="0"/>
      <w:outlineLvl w:val="1"/>
    </w:pPr>
    <w:rPr>
      <w:rFonts w:asciiTheme="majorHAnsi" w:eastAsiaTheme="majorEastAsia" w:hAnsiTheme="majorHAnsi" w:cstheme="majorBidi"/>
      <w:color w:val="C45911" w:themeColor="accent2" w:themeShade="BF"/>
      <w:sz w:val="26"/>
      <w:szCs w:val="26"/>
    </w:rPr>
  </w:style>
  <w:style w:type="paragraph" w:styleId="Heading5">
    <w:name w:val="heading 5"/>
    <w:basedOn w:val="Normal"/>
    <w:link w:val="Heading5Char"/>
    <w:uiPriority w:val="9"/>
    <w:qFormat/>
    <w:rsid w:val="00832E96"/>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32E96"/>
    <w:rPr>
      <w:rFonts w:ascii="Times New Roman" w:eastAsia="Times New Roman" w:hAnsi="Times New Roman" w:cs="Times New Roman"/>
      <w:b/>
      <w:bCs/>
      <w:sz w:val="20"/>
      <w:szCs w:val="20"/>
      <w:lang w:eastAsia="en-NZ"/>
    </w:rPr>
  </w:style>
  <w:style w:type="character" w:customStyle="1" w:styleId="label">
    <w:name w:val="label"/>
    <w:basedOn w:val="DefaultParagraphFont"/>
    <w:rsid w:val="00832E96"/>
  </w:style>
  <w:style w:type="paragraph" w:customStyle="1" w:styleId="text">
    <w:name w:val="text"/>
    <w:basedOn w:val="Normal"/>
    <w:rsid w:val="00832E9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802073"/>
    <w:pPr>
      <w:spacing w:after="0" w:line="240" w:lineRule="auto"/>
    </w:pPr>
    <w:rPr>
      <w:rFonts w:ascii="Arial" w:eastAsia="Times New Roman" w:hAnsi="Arial" w:cs="Times New Roman"/>
      <w:szCs w:val="20"/>
      <w:lang w:val="en-GB"/>
    </w:rPr>
  </w:style>
  <w:style w:type="character" w:customStyle="1" w:styleId="FootnoteTextChar">
    <w:name w:val="Footnote Text Char"/>
    <w:basedOn w:val="DefaultParagraphFont"/>
    <w:link w:val="FootnoteText"/>
    <w:uiPriority w:val="99"/>
    <w:semiHidden/>
    <w:rsid w:val="00802073"/>
    <w:rPr>
      <w:rFonts w:ascii="Arial" w:eastAsia="Times New Roman" w:hAnsi="Arial" w:cs="Times New Roman"/>
      <w:szCs w:val="20"/>
      <w:lang w:val="en-GB"/>
    </w:rPr>
  </w:style>
  <w:style w:type="character" w:styleId="FootnoteReference">
    <w:name w:val="footnote reference"/>
    <w:semiHidden/>
    <w:unhideWhenUsed/>
    <w:rsid w:val="00802073"/>
    <w:rPr>
      <w:vertAlign w:val="superscript"/>
    </w:rPr>
  </w:style>
  <w:style w:type="paragraph" w:styleId="ListParagraph">
    <w:name w:val="List Paragraph"/>
    <w:basedOn w:val="Normal"/>
    <w:uiPriority w:val="34"/>
    <w:qFormat/>
    <w:rsid w:val="00DB0898"/>
    <w:pPr>
      <w:ind w:left="720"/>
      <w:contextualSpacing/>
    </w:pPr>
  </w:style>
  <w:style w:type="character" w:customStyle="1" w:styleId="Heading1Char">
    <w:name w:val="Heading 1 Char"/>
    <w:basedOn w:val="DefaultParagraphFont"/>
    <w:link w:val="Heading1"/>
    <w:uiPriority w:val="9"/>
    <w:rsid w:val="00FD158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1582"/>
    <w:rPr>
      <w:color w:val="0563C1" w:themeColor="hyperlink"/>
      <w:u w:val="single"/>
    </w:rPr>
  </w:style>
  <w:style w:type="character" w:customStyle="1" w:styleId="Heading2Char">
    <w:name w:val="Heading 2 Char"/>
    <w:basedOn w:val="DefaultParagraphFont"/>
    <w:link w:val="Heading2"/>
    <w:uiPriority w:val="9"/>
    <w:rsid w:val="003439EA"/>
    <w:rPr>
      <w:rFonts w:asciiTheme="majorHAnsi" w:eastAsiaTheme="majorEastAsia" w:hAnsiTheme="majorHAnsi" w:cstheme="majorBidi"/>
      <w:color w:val="C45911" w:themeColor="accent2" w:themeShade="BF"/>
      <w:sz w:val="26"/>
      <w:szCs w:val="26"/>
    </w:rPr>
  </w:style>
  <w:style w:type="paragraph" w:styleId="NormalWeb">
    <w:name w:val="Normal (Web)"/>
    <w:basedOn w:val="Normal"/>
    <w:uiPriority w:val="99"/>
    <w:semiHidden/>
    <w:unhideWhenUsed/>
    <w:rsid w:val="00A3717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l">
    <w:name w:val="il"/>
    <w:basedOn w:val="DefaultParagraphFont"/>
    <w:rsid w:val="00E418CD"/>
  </w:style>
  <w:style w:type="paragraph" w:styleId="Header">
    <w:name w:val="header"/>
    <w:basedOn w:val="Normal"/>
    <w:link w:val="HeaderChar"/>
    <w:uiPriority w:val="99"/>
    <w:unhideWhenUsed/>
    <w:rsid w:val="00A9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ADA"/>
  </w:style>
  <w:style w:type="paragraph" w:styleId="Footer">
    <w:name w:val="footer"/>
    <w:basedOn w:val="Normal"/>
    <w:link w:val="FooterChar"/>
    <w:uiPriority w:val="99"/>
    <w:unhideWhenUsed/>
    <w:rsid w:val="00A9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ADA"/>
  </w:style>
  <w:style w:type="character" w:customStyle="1" w:styleId="UnresolvedMention1">
    <w:name w:val="Unresolved Mention1"/>
    <w:basedOn w:val="DefaultParagraphFont"/>
    <w:uiPriority w:val="99"/>
    <w:semiHidden/>
    <w:unhideWhenUsed/>
    <w:rsid w:val="00A90ADA"/>
    <w:rPr>
      <w:color w:val="605E5C"/>
      <w:shd w:val="clear" w:color="auto" w:fill="E1DFDD"/>
    </w:rPr>
  </w:style>
  <w:style w:type="table" w:styleId="TableGrid">
    <w:name w:val="Table Grid"/>
    <w:basedOn w:val="TableNormal"/>
    <w:uiPriority w:val="39"/>
    <w:rsid w:val="00EB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65F9"/>
    <w:pPr>
      <w:autoSpaceDE w:val="0"/>
      <w:autoSpaceDN w:val="0"/>
      <w:adjustRightInd w:val="0"/>
      <w:spacing w:after="0" w:line="240" w:lineRule="auto"/>
    </w:pPr>
    <w:rPr>
      <w:rFonts w:ascii="Museo Sans 300" w:hAnsi="Museo Sans 300" w:cs="Museo Sans 300"/>
      <w:color w:val="000000"/>
      <w:sz w:val="24"/>
      <w:szCs w:val="24"/>
    </w:rPr>
  </w:style>
  <w:style w:type="character" w:styleId="FollowedHyperlink">
    <w:name w:val="FollowedHyperlink"/>
    <w:basedOn w:val="DefaultParagraphFont"/>
    <w:uiPriority w:val="99"/>
    <w:semiHidden/>
    <w:unhideWhenUsed/>
    <w:rsid w:val="00196941"/>
    <w:rPr>
      <w:color w:val="954F72" w:themeColor="followedHyperlink"/>
      <w:u w:val="single"/>
    </w:rPr>
  </w:style>
  <w:style w:type="character" w:styleId="CommentReference">
    <w:name w:val="annotation reference"/>
    <w:basedOn w:val="DefaultParagraphFont"/>
    <w:uiPriority w:val="99"/>
    <w:semiHidden/>
    <w:unhideWhenUsed/>
    <w:rsid w:val="00FC2F26"/>
    <w:rPr>
      <w:sz w:val="16"/>
      <w:szCs w:val="16"/>
    </w:rPr>
  </w:style>
  <w:style w:type="paragraph" w:styleId="CommentText">
    <w:name w:val="annotation text"/>
    <w:basedOn w:val="Normal"/>
    <w:link w:val="CommentTextChar"/>
    <w:uiPriority w:val="99"/>
    <w:semiHidden/>
    <w:unhideWhenUsed/>
    <w:rsid w:val="00FC2F26"/>
    <w:pPr>
      <w:spacing w:line="240" w:lineRule="auto"/>
    </w:pPr>
    <w:rPr>
      <w:sz w:val="20"/>
      <w:szCs w:val="20"/>
    </w:rPr>
  </w:style>
  <w:style w:type="character" w:customStyle="1" w:styleId="CommentTextChar">
    <w:name w:val="Comment Text Char"/>
    <w:basedOn w:val="DefaultParagraphFont"/>
    <w:link w:val="CommentText"/>
    <w:uiPriority w:val="99"/>
    <w:semiHidden/>
    <w:rsid w:val="00FC2F26"/>
    <w:rPr>
      <w:sz w:val="20"/>
      <w:szCs w:val="20"/>
    </w:rPr>
  </w:style>
  <w:style w:type="paragraph" w:styleId="CommentSubject">
    <w:name w:val="annotation subject"/>
    <w:basedOn w:val="CommentText"/>
    <w:next w:val="CommentText"/>
    <w:link w:val="CommentSubjectChar"/>
    <w:uiPriority w:val="99"/>
    <w:semiHidden/>
    <w:unhideWhenUsed/>
    <w:rsid w:val="00FC2F26"/>
    <w:rPr>
      <w:b/>
      <w:bCs/>
    </w:rPr>
  </w:style>
  <w:style w:type="character" w:customStyle="1" w:styleId="CommentSubjectChar">
    <w:name w:val="Comment Subject Char"/>
    <w:basedOn w:val="CommentTextChar"/>
    <w:link w:val="CommentSubject"/>
    <w:uiPriority w:val="99"/>
    <w:semiHidden/>
    <w:rsid w:val="00FC2F26"/>
    <w:rPr>
      <w:b/>
      <w:bCs/>
      <w:sz w:val="20"/>
      <w:szCs w:val="20"/>
    </w:rPr>
  </w:style>
  <w:style w:type="paragraph" w:styleId="BalloonText">
    <w:name w:val="Balloon Text"/>
    <w:basedOn w:val="Normal"/>
    <w:link w:val="BalloonTextChar"/>
    <w:uiPriority w:val="99"/>
    <w:semiHidden/>
    <w:unhideWhenUsed/>
    <w:rsid w:val="00FC2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F26"/>
    <w:rPr>
      <w:rFonts w:ascii="Segoe UI" w:hAnsi="Segoe UI" w:cs="Segoe UI"/>
      <w:sz w:val="18"/>
      <w:szCs w:val="18"/>
    </w:rPr>
  </w:style>
  <w:style w:type="paragraph" w:styleId="Revision">
    <w:name w:val="Revision"/>
    <w:hidden/>
    <w:uiPriority w:val="99"/>
    <w:semiHidden/>
    <w:rsid w:val="00FA4D74"/>
    <w:pPr>
      <w:spacing w:after="0" w:line="240" w:lineRule="auto"/>
    </w:pPr>
  </w:style>
  <w:style w:type="character" w:styleId="Strong">
    <w:name w:val="Strong"/>
    <w:basedOn w:val="DefaultParagraphFont"/>
    <w:uiPriority w:val="22"/>
    <w:qFormat/>
    <w:rsid w:val="005A3ACA"/>
    <w:rPr>
      <w:b/>
      <w:bCs/>
    </w:rPr>
  </w:style>
  <w:style w:type="character" w:customStyle="1" w:styleId="UnresolvedMention2">
    <w:name w:val="Unresolved Mention2"/>
    <w:basedOn w:val="DefaultParagraphFont"/>
    <w:uiPriority w:val="99"/>
    <w:semiHidden/>
    <w:unhideWhenUsed/>
    <w:rsid w:val="008E7C31"/>
    <w:rPr>
      <w:color w:val="605E5C"/>
      <w:shd w:val="clear" w:color="auto" w:fill="E1DFDD"/>
    </w:rPr>
  </w:style>
  <w:style w:type="character" w:customStyle="1" w:styleId="UnresolvedMention3">
    <w:name w:val="Unresolved Mention3"/>
    <w:basedOn w:val="DefaultParagraphFont"/>
    <w:uiPriority w:val="99"/>
    <w:semiHidden/>
    <w:unhideWhenUsed/>
    <w:rsid w:val="00BF6BE6"/>
    <w:rPr>
      <w:color w:val="605E5C"/>
      <w:shd w:val="clear" w:color="auto" w:fill="E1DFDD"/>
    </w:rPr>
  </w:style>
  <w:style w:type="paragraph" w:customStyle="1" w:styleId="m6515723205223333473msolistparagraph">
    <w:name w:val="m_6515723205223333473msolistparagraph"/>
    <w:basedOn w:val="Normal"/>
    <w:rsid w:val="007A27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D21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0143">
      <w:bodyDiv w:val="1"/>
      <w:marLeft w:val="0"/>
      <w:marRight w:val="0"/>
      <w:marTop w:val="0"/>
      <w:marBottom w:val="0"/>
      <w:divBdr>
        <w:top w:val="none" w:sz="0" w:space="0" w:color="auto"/>
        <w:left w:val="none" w:sz="0" w:space="0" w:color="auto"/>
        <w:bottom w:val="none" w:sz="0" w:space="0" w:color="auto"/>
        <w:right w:val="none" w:sz="0" w:space="0" w:color="auto"/>
      </w:divBdr>
    </w:div>
    <w:div w:id="48499780">
      <w:bodyDiv w:val="1"/>
      <w:marLeft w:val="0"/>
      <w:marRight w:val="0"/>
      <w:marTop w:val="0"/>
      <w:marBottom w:val="0"/>
      <w:divBdr>
        <w:top w:val="none" w:sz="0" w:space="0" w:color="auto"/>
        <w:left w:val="none" w:sz="0" w:space="0" w:color="auto"/>
        <w:bottom w:val="none" w:sz="0" w:space="0" w:color="auto"/>
        <w:right w:val="none" w:sz="0" w:space="0" w:color="auto"/>
      </w:divBdr>
    </w:div>
    <w:div w:id="224921552">
      <w:bodyDiv w:val="1"/>
      <w:marLeft w:val="0"/>
      <w:marRight w:val="0"/>
      <w:marTop w:val="0"/>
      <w:marBottom w:val="0"/>
      <w:divBdr>
        <w:top w:val="none" w:sz="0" w:space="0" w:color="auto"/>
        <w:left w:val="none" w:sz="0" w:space="0" w:color="auto"/>
        <w:bottom w:val="none" w:sz="0" w:space="0" w:color="auto"/>
        <w:right w:val="none" w:sz="0" w:space="0" w:color="auto"/>
      </w:divBdr>
    </w:div>
    <w:div w:id="230115138">
      <w:bodyDiv w:val="1"/>
      <w:marLeft w:val="0"/>
      <w:marRight w:val="0"/>
      <w:marTop w:val="0"/>
      <w:marBottom w:val="0"/>
      <w:divBdr>
        <w:top w:val="none" w:sz="0" w:space="0" w:color="auto"/>
        <w:left w:val="none" w:sz="0" w:space="0" w:color="auto"/>
        <w:bottom w:val="none" w:sz="0" w:space="0" w:color="auto"/>
        <w:right w:val="none" w:sz="0" w:space="0" w:color="auto"/>
      </w:divBdr>
    </w:div>
    <w:div w:id="275211641">
      <w:bodyDiv w:val="1"/>
      <w:marLeft w:val="0"/>
      <w:marRight w:val="0"/>
      <w:marTop w:val="0"/>
      <w:marBottom w:val="0"/>
      <w:divBdr>
        <w:top w:val="none" w:sz="0" w:space="0" w:color="auto"/>
        <w:left w:val="none" w:sz="0" w:space="0" w:color="auto"/>
        <w:bottom w:val="none" w:sz="0" w:space="0" w:color="auto"/>
        <w:right w:val="none" w:sz="0" w:space="0" w:color="auto"/>
      </w:divBdr>
    </w:div>
    <w:div w:id="307511592">
      <w:bodyDiv w:val="1"/>
      <w:marLeft w:val="0"/>
      <w:marRight w:val="0"/>
      <w:marTop w:val="0"/>
      <w:marBottom w:val="0"/>
      <w:divBdr>
        <w:top w:val="none" w:sz="0" w:space="0" w:color="auto"/>
        <w:left w:val="none" w:sz="0" w:space="0" w:color="auto"/>
        <w:bottom w:val="none" w:sz="0" w:space="0" w:color="auto"/>
        <w:right w:val="none" w:sz="0" w:space="0" w:color="auto"/>
      </w:divBdr>
    </w:div>
    <w:div w:id="327025354">
      <w:bodyDiv w:val="1"/>
      <w:marLeft w:val="0"/>
      <w:marRight w:val="0"/>
      <w:marTop w:val="0"/>
      <w:marBottom w:val="0"/>
      <w:divBdr>
        <w:top w:val="none" w:sz="0" w:space="0" w:color="auto"/>
        <w:left w:val="none" w:sz="0" w:space="0" w:color="auto"/>
        <w:bottom w:val="none" w:sz="0" w:space="0" w:color="auto"/>
        <w:right w:val="none" w:sz="0" w:space="0" w:color="auto"/>
      </w:divBdr>
    </w:div>
    <w:div w:id="363141409">
      <w:bodyDiv w:val="1"/>
      <w:marLeft w:val="0"/>
      <w:marRight w:val="0"/>
      <w:marTop w:val="0"/>
      <w:marBottom w:val="0"/>
      <w:divBdr>
        <w:top w:val="none" w:sz="0" w:space="0" w:color="auto"/>
        <w:left w:val="none" w:sz="0" w:space="0" w:color="auto"/>
        <w:bottom w:val="none" w:sz="0" w:space="0" w:color="auto"/>
        <w:right w:val="none" w:sz="0" w:space="0" w:color="auto"/>
      </w:divBdr>
    </w:div>
    <w:div w:id="370692273">
      <w:bodyDiv w:val="1"/>
      <w:marLeft w:val="0"/>
      <w:marRight w:val="0"/>
      <w:marTop w:val="0"/>
      <w:marBottom w:val="0"/>
      <w:divBdr>
        <w:top w:val="none" w:sz="0" w:space="0" w:color="auto"/>
        <w:left w:val="none" w:sz="0" w:space="0" w:color="auto"/>
        <w:bottom w:val="none" w:sz="0" w:space="0" w:color="auto"/>
        <w:right w:val="none" w:sz="0" w:space="0" w:color="auto"/>
      </w:divBdr>
      <w:divsChild>
        <w:div w:id="466315358">
          <w:marLeft w:val="0"/>
          <w:marRight w:val="0"/>
          <w:marTop w:val="83"/>
          <w:marBottom w:val="0"/>
          <w:divBdr>
            <w:top w:val="none" w:sz="0" w:space="0" w:color="auto"/>
            <w:left w:val="none" w:sz="0" w:space="0" w:color="auto"/>
            <w:bottom w:val="none" w:sz="0" w:space="0" w:color="auto"/>
            <w:right w:val="none" w:sz="0" w:space="0" w:color="auto"/>
          </w:divBdr>
          <w:divsChild>
            <w:div w:id="87234223">
              <w:marLeft w:val="0"/>
              <w:marRight w:val="0"/>
              <w:marTop w:val="83"/>
              <w:marBottom w:val="0"/>
              <w:divBdr>
                <w:top w:val="none" w:sz="0" w:space="0" w:color="auto"/>
                <w:left w:val="none" w:sz="0" w:space="0" w:color="auto"/>
                <w:bottom w:val="none" w:sz="0" w:space="0" w:color="auto"/>
                <w:right w:val="none" w:sz="0" w:space="0" w:color="auto"/>
              </w:divBdr>
            </w:div>
            <w:div w:id="1151869657">
              <w:marLeft w:val="0"/>
              <w:marRight w:val="0"/>
              <w:marTop w:val="83"/>
              <w:marBottom w:val="0"/>
              <w:divBdr>
                <w:top w:val="none" w:sz="0" w:space="0" w:color="auto"/>
                <w:left w:val="none" w:sz="0" w:space="0" w:color="auto"/>
                <w:bottom w:val="none" w:sz="0" w:space="0" w:color="auto"/>
                <w:right w:val="none" w:sz="0" w:space="0" w:color="auto"/>
              </w:divBdr>
            </w:div>
            <w:div w:id="2143232847">
              <w:marLeft w:val="0"/>
              <w:marRight w:val="0"/>
              <w:marTop w:val="83"/>
              <w:marBottom w:val="0"/>
              <w:divBdr>
                <w:top w:val="none" w:sz="0" w:space="0" w:color="auto"/>
                <w:left w:val="none" w:sz="0" w:space="0" w:color="auto"/>
                <w:bottom w:val="none" w:sz="0" w:space="0" w:color="auto"/>
                <w:right w:val="none" w:sz="0" w:space="0" w:color="auto"/>
              </w:divBdr>
            </w:div>
            <w:div w:id="44257406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42576062">
      <w:bodyDiv w:val="1"/>
      <w:marLeft w:val="0"/>
      <w:marRight w:val="0"/>
      <w:marTop w:val="0"/>
      <w:marBottom w:val="0"/>
      <w:divBdr>
        <w:top w:val="none" w:sz="0" w:space="0" w:color="auto"/>
        <w:left w:val="none" w:sz="0" w:space="0" w:color="auto"/>
        <w:bottom w:val="none" w:sz="0" w:space="0" w:color="auto"/>
        <w:right w:val="none" w:sz="0" w:space="0" w:color="auto"/>
      </w:divBdr>
    </w:div>
    <w:div w:id="474420011">
      <w:bodyDiv w:val="1"/>
      <w:marLeft w:val="0"/>
      <w:marRight w:val="0"/>
      <w:marTop w:val="0"/>
      <w:marBottom w:val="0"/>
      <w:divBdr>
        <w:top w:val="none" w:sz="0" w:space="0" w:color="auto"/>
        <w:left w:val="none" w:sz="0" w:space="0" w:color="auto"/>
        <w:bottom w:val="none" w:sz="0" w:space="0" w:color="auto"/>
        <w:right w:val="none" w:sz="0" w:space="0" w:color="auto"/>
      </w:divBdr>
    </w:div>
    <w:div w:id="601915243">
      <w:bodyDiv w:val="1"/>
      <w:marLeft w:val="0"/>
      <w:marRight w:val="0"/>
      <w:marTop w:val="0"/>
      <w:marBottom w:val="0"/>
      <w:divBdr>
        <w:top w:val="none" w:sz="0" w:space="0" w:color="auto"/>
        <w:left w:val="none" w:sz="0" w:space="0" w:color="auto"/>
        <w:bottom w:val="none" w:sz="0" w:space="0" w:color="auto"/>
        <w:right w:val="none" w:sz="0" w:space="0" w:color="auto"/>
      </w:divBdr>
    </w:div>
    <w:div w:id="629436222">
      <w:bodyDiv w:val="1"/>
      <w:marLeft w:val="0"/>
      <w:marRight w:val="0"/>
      <w:marTop w:val="0"/>
      <w:marBottom w:val="0"/>
      <w:divBdr>
        <w:top w:val="none" w:sz="0" w:space="0" w:color="auto"/>
        <w:left w:val="none" w:sz="0" w:space="0" w:color="auto"/>
        <w:bottom w:val="none" w:sz="0" w:space="0" w:color="auto"/>
        <w:right w:val="none" w:sz="0" w:space="0" w:color="auto"/>
      </w:divBdr>
    </w:div>
    <w:div w:id="648634593">
      <w:bodyDiv w:val="1"/>
      <w:marLeft w:val="0"/>
      <w:marRight w:val="0"/>
      <w:marTop w:val="0"/>
      <w:marBottom w:val="0"/>
      <w:divBdr>
        <w:top w:val="none" w:sz="0" w:space="0" w:color="auto"/>
        <w:left w:val="none" w:sz="0" w:space="0" w:color="auto"/>
        <w:bottom w:val="none" w:sz="0" w:space="0" w:color="auto"/>
        <w:right w:val="none" w:sz="0" w:space="0" w:color="auto"/>
      </w:divBdr>
      <w:divsChild>
        <w:div w:id="1395161979">
          <w:marLeft w:val="0"/>
          <w:marRight w:val="0"/>
          <w:marTop w:val="0"/>
          <w:marBottom w:val="0"/>
          <w:divBdr>
            <w:top w:val="none" w:sz="0" w:space="0" w:color="auto"/>
            <w:left w:val="none" w:sz="0" w:space="0" w:color="auto"/>
            <w:bottom w:val="none" w:sz="0" w:space="0" w:color="auto"/>
            <w:right w:val="none" w:sz="0" w:space="0" w:color="auto"/>
          </w:divBdr>
        </w:div>
        <w:div w:id="1201354950">
          <w:marLeft w:val="0"/>
          <w:marRight w:val="0"/>
          <w:marTop w:val="0"/>
          <w:marBottom w:val="0"/>
          <w:divBdr>
            <w:top w:val="none" w:sz="0" w:space="0" w:color="auto"/>
            <w:left w:val="none" w:sz="0" w:space="0" w:color="auto"/>
            <w:bottom w:val="none" w:sz="0" w:space="0" w:color="auto"/>
            <w:right w:val="none" w:sz="0" w:space="0" w:color="auto"/>
          </w:divBdr>
        </w:div>
        <w:div w:id="214245759">
          <w:marLeft w:val="0"/>
          <w:marRight w:val="0"/>
          <w:marTop w:val="0"/>
          <w:marBottom w:val="0"/>
          <w:divBdr>
            <w:top w:val="none" w:sz="0" w:space="0" w:color="auto"/>
            <w:left w:val="none" w:sz="0" w:space="0" w:color="auto"/>
            <w:bottom w:val="none" w:sz="0" w:space="0" w:color="auto"/>
            <w:right w:val="none" w:sz="0" w:space="0" w:color="auto"/>
          </w:divBdr>
        </w:div>
      </w:divsChild>
    </w:div>
    <w:div w:id="767969369">
      <w:bodyDiv w:val="1"/>
      <w:marLeft w:val="0"/>
      <w:marRight w:val="0"/>
      <w:marTop w:val="0"/>
      <w:marBottom w:val="0"/>
      <w:divBdr>
        <w:top w:val="none" w:sz="0" w:space="0" w:color="auto"/>
        <w:left w:val="none" w:sz="0" w:space="0" w:color="auto"/>
        <w:bottom w:val="none" w:sz="0" w:space="0" w:color="auto"/>
        <w:right w:val="none" w:sz="0" w:space="0" w:color="auto"/>
      </w:divBdr>
    </w:div>
    <w:div w:id="779103299">
      <w:bodyDiv w:val="1"/>
      <w:marLeft w:val="0"/>
      <w:marRight w:val="0"/>
      <w:marTop w:val="0"/>
      <w:marBottom w:val="0"/>
      <w:divBdr>
        <w:top w:val="none" w:sz="0" w:space="0" w:color="auto"/>
        <w:left w:val="none" w:sz="0" w:space="0" w:color="auto"/>
        <w:bottom w:val="none" w:sz="0" w:space="0" w:color="auto"/>
        <w:right w:val="none" w:sz="0" w:space="0" w:color="auto"/>
      </w:divBdr>
    </w:div>
    <w:div w:id="843713503">
      <w:bodyDiv w:val="1"/>
      <w:marLeft w:val="0"/>
      <w:marRight w:val="0"/>
      <w:marTop w:val="0"/>
      <w:marBottom w:val="0"/>
      <w:divBdr>
        <w:top w:val="none" w:sz="0" w:space="0" w:color="auto"/>
        <w:left w:val="none" w:sz="0" w:space="0" w:color="auto"/>
        <w:bottom w:val="none" w:sz="0" w:space="0" w:color="auto"/>
        <w:right w:val="none" w:sz="0" w:space="0" w:color="auto"/>
      </w:divBdr>
    </w:div>
    <w:div w:id="855460439">
      <w:bodyDiv w:val="1"/>
      <w:marLeft w:val="0"/>
      <w:marRight w:val="0"/>
      <w:marTop w:val="0"/>
      <w:marBottom w:val="0"/>
      <w:divBdr>
        <w:top w:val="none" w:sz="0" w:space="0" w:color="auto"/>
        <w:left w:val="none" w:sz="0" w:space="0" w:color="auto"/>
        <w:bottom w:val="none" w:sz="0" w:space="0" w:color="auto"/>
        <w:right w:val="none" w:sz="0" w:space="0" w:color="auto"/>
      </w:divBdr>
    </w:div>
    <w:div w:id="882063267">
      <w:bodyDiv w:val="1"/>
      <w:marLeft w:val="0"/>
      <w:marRight w:val="0"/>
      <w:marTop w:val="0"/>
      <w:marBottom w:val="0"/>
      <w:divBdr>
        <w:top w:val="none" w:sz="0" w:space="0" w:color="auto"/>
        <w:left w:val="none" w:sz="0" w:space="0" w:color="auto"/>
        <w:bottom w:val="none" w:sz="0" w:space="0" w:color="auto"/>
        <w:right w:val="none" w:sz="0" w:space="0" w:color="auto"/>
      </w:divBdr>
    </w:div>
    <w:div w:id="905333279">
      <w:bodyDiv w:val="1"/>
      <w:marLeft w:val="0"/>
      <w:marRight w:val="0"/>
      <w:marTop w:val="0"/>
      <w:marBottom w:val="0"/>
      <w:divBdr>
        <w:top w:val="none" w:sz="0" w:space="0" w:color="auto"/>
        <w:left w:val="none" w:sz="0" w:space="0" w:color="auto"/>
        <w:bottom w:val="none" w:sz="0" w:space="0" w:color="auto"/>
        <w:right w:val="none" w:sz="0" w:space="0" w:color="auto"/>
      </w:divBdr>
    </w:div>
    <w:div w:id="911507422">
      <w:bodyDiv w:val="1"/>
      <w:marLeft w:val="0"/>
      <w:marRight w:val="0"/>
      <w:marTop w:val="0"/>
      <w:marBottom w:val="0"/>
      <w:divBdr>
        <w:top w:val="none" w:sz="0" w:space="0" w:color="auto"/>
        <w:left w:val="none" w:sz="0" w:space="0" w:color="auto"/>
        <w:bottom w:val="none" w:sz="0" w:space="0" w:color="auto"/>
        <w:right w:val="none" w:sz="0" w:space="0" w:color="auto"/>
      </w:divBdr>
    </w:div>
    <w:div w:id="930090667">
      <w:bodyDiv w:val="1"/>
      <w:marLeft w:val="0"/>
      <w:marRight w:val="0"/>
      <w:marTop w:val="0"/>
      <w:marBottom w:val="0"/>
      <w:divBdr>
        <w:top w:val="none" w:sz="0" w:space="0" w:color="auto"/>
        <w:left w:val="none" w:sz="0" w:space="0" w:color="auto"/>
        <w:bottom w:val="none" w:sz="0" w:space="0" w:color="auto"/>
        <w:right w:val="none" w:sz="0" w:space="0" w:color="auto"/>
      </w:divBdr>
    </w:div>
    <w:div w:id="1038972302">
      <w:bodyDiv w:val="1"/>
      <w:marLeft w:val="0"/>
      <w:marRight w:val="0"/>
      <w:marTop w:val="0"/>
      <w:marBottom w:val="0"/>
      <w:divBdr>
        <w:top w:val="none" w:sz="0" w:space="0" w:color="auto"/>
        <w:left w:val="none" w:sz="0" w:space="0" w:color="auto"/>
        <w:bottom w:val="none" w:sz="0" w:space="0" w:color="auto"/>
        <w:right w:val="none" w:sz="0" w:space="0" w:color="auto"/>
      </w:divBdr>
    </w:div>
    <w:div w:id="1217282514">
      <w:bodyDiv w:val="1"/>
      <w:marLeft w:val="0"/>
      <w:marRight w:val="0"/>
      <w:marTop w:val="0"/>
      <w:marBottom w:val="0"/>
      <w:divBdr>
        <w:top w:val="none" w:sz="0" w:space="0" w:color="auto"/>
        <w:left w:val="none" w:sz="0" w:space="0" w:color="auto"/>
        <w:bottom w:val="none" w:sz="0" w:space="0" w:color="auto"/>
        <w:right w:val="none" w:sz="0" w:space="0" w:color="auto"/>
      </w:divBdr>
    </w:div>
    <w:div w:id="1278833813">
      <w:bodyDiv w:val="1"/>
      <w:marLeft w:val="0"/>
      <w:marRight w:val="0"/>
      <w:marTop w:val="0"/>
      <w:marBottom w:val="0"/>
      <w:divBdr>
        <w:top w:val="none" w:sz="0" w:space="0" w:color="auto"/>
        <w:left w:val="none" w:sz="0" w:space="0" w:color="auto"/>
        <w:bottom w:val="none" w:sz="0" w:space="0" w:color="auto"/>
        <w:right w:val="none" w:sz="0" w:space="0" w:color="auto"/>
      </w:divBdr>
    </w:div>
    <w:div w:id="1285429542">
      <w:bodyDiv w:val="1"/>
      <w:marLeft w:val="0"/>
      <w:marRight w:val="0"/>
      <w:marTop w:val="0"/>
      <w:marBottom w:val="0"/>
      <w:divBdr>
        <w:top w:val="none" w:sz="0" w:space="0" w:color="auto"/>
        <w:left w:val="none" w:sz="0" w:space="0" w:color="auto"/>
        <w:bottom w:val="none" w:sz="0" w:space="0" w:color="auto"/>
        <w:right w:val="none" w:sz="0" w:space="0" w:color="auto"/>
      </w:divBdr>
    </w:div>
    <w:div w:id="1326469434">
      <w:bodyDiv w:val="1"/>
      <w:marLeft w:val="0"/>
      <w:marRight w:val="0"/>
      <w:marTop w:val="0"/>
      <w:marBottom w:val="0"/>
      <w:divBdr>
        <w:top w:val="none" w:sz="0" w:space="0" w:color="auto"/>
        <w:left w:val="none" w:sz="0" w:space="0" w:color="auto"/>
        <w:bottom w:val="none" w:sz="0" w:space="0" w:color="auto"/>
        <w:right w:val="none" w:sz="0" w:space="0" w:color="auto"/>
      </w:divBdr>
    </w:div>
    <w:div w:id="1349866275">
      <w:bodyDiv w:val="1"/>
      <w:marLeft w:val="0"/>
      <w:marRight w:val="0"/>
      <w:marTop w:val="0"/>
      <w:marBottom w:val="0"/>
      <w:divBdr>
        <w:top w:val="none" w:sz="0" w:space="0" w:color="auto"/>
        <w:left w:val="none" w:sz="0" w:space="0" w:color="auto"/>
        <w:bottom w:val="none" w:sz="0" w:space="0" w:color="auto"/>
        <w:right w:val="none" w:sz="0" w:space="0" w:color="auto"/>
      </w:divBdr>
    </w:div>
    <w:div w:id="1453985341">
      <w:bodyDiv w:val="1"/>
      <w:marLeft w:val="0"/>
      <w:marRight w:val="0"/>
      <w:marTop w:val="0"/>
      <w:marBottom w:val="0"/>
      <w:divBdr>
        <w:top w:val="none" w:sz="0" w:space="0" w:color="auto"/>
        <w:left w:val="none" w:sz="0" w:space="0" w:color="auto"/>
        <w:bottom w:val="none" w:sz="0" w:space="0" w:color="auto"/>
        <w:right w:val="none" w:sz="0" w:space="0" w:color="auto"/>
      </w:divBdr>
    </w:div>
    <w:div w:id="1469082262">
      <w:bodyDiv w:val="1"/>
      <w:marLeft w:val="0"/>
      <w:marRight w:val="0"/>
      <w:marTop w:val="0"/>
      <w:marBottom w:val="0"/>
      <w:divBdr>
        <w:top w:val="none" w:sz="0" w:space="0" w:color="auto"/>
        <w:left w:val="none" w:sz="0" w:space="0" w:color="auto"/>
        <w:bottom w:val="none" w:sz="0" w:space="0" w:color="auto"/>
        <w:right w:val="none" w:sz="0" w:space="0" w:color="auto"/>
      </w:divBdr>
    </w:div>
    <w:div w:id="1482116891">
      <w:bodyDiv w:val="1"/>
      <w:marLeft w:val="0"/>
      <w:marRight w:val="0"/>
      <w:marTop w:val="0"/>
      <w:marBottom w:val="0"/>
      <w:divBdr>
        <w:top w:val="none" w:sz="0" w:space="0" w:color="auto"/>
        <w:left w:val="none" w:sz="0" w:space="0" w:color="auto"/>
        <w:bottom w:val="none" w:sz="0" w:space="0" w:color="auto"/>
        <w:right w:val="none" w:sz="0" w:space="0" w:color="auto"/>
      </w:divBdr>
    </w:div>
    <w:div w:id="1482500205">
      <w:bodyDiv w:val="1"/>
      <w:marLeft w:val="0"/>
      <w:marRight w:val="0"/>
      <w:marTop w:val="0"/>
      <w:marBottom w:val="0"/>
      <w:divBdr>
        <w:top w:val="none" w:sz="0" w:space="0" w:color="auto"/>
        <w:left w:val="none" w:sz="0" w:space="0" w:color="auto"/>
        <w:bottom w:val="none" w:sz="0" w:space="0" w:color="auto"/>
        <w:right w:val="none" w:sz="0" w:space="0" w:color="auto"/>
      </w:divBdr>
    </w:div>
    <w:div w:id="1496412993">
      <w:bodyDiv w:val="1"/>
      <w:marLeft w:val="0"/>
      <w:marRight w:val="0"/>
      <w:marTop w:val="0"/>
      <w:marBottom w:val="0"/>
      <w:divBdr>
        <w:top w:val="none" w:sz="0" w:space="0" w:color="auto"/>
        <w:left w:val="none" w:sz="0" w:space="0" w:color="auto"/>
        <w:bottom w:val="none" w:sz="0" w:space="0" w:color="auto"/>
        <w:right w:val="none" w:sz="0" w:space="0" w:color="auto"/>
      </w:divBdr>
    </w:div>
    <w:div w:id="1508790575">
      <w:bodyDiv w:val="1"/>
      <w:marLeft w:val="0"/>
      <w:marRight w:val="0"/>
      <w:marTop w:val="0"/>
      <w:marBottom w:val="0"/>
      <w:divBdr>
        <w:top w:val="none" w:sz="0" w:space="0" w:color="auto"/>
        <w:left w:val="none" w:sz="0" w:space="0" w:color="auto"/>
        <w:bottom w:val="none" w:sz="0" w:space="0" w:color="auto"/>
        <w:right w:val="none" w:sz="0" w:space="0" w:color="auto"/>
      </w:divBdr>
    </w:div>
    <w:div w:id="1595163612">
      <w:bodyDiv w:val="1"/>
      <w:marLeft w:val="0"/>
      <w:marRight w:val="0"/>
      <w:marTop w:val="0"/>
      <w:marBottom w:val="0"/>
      <w:divBdr>
        <w:top w:val="none" w:sz="0" w:space="0" w:color="auto"/>
        <w:left w:val="none" w:sz="0" w:space="0" w:color="auto"/>
        <w:bottom w:val="none" w:sz="0" w:space="0" w:color="auto"/>
        <w:right w:val="none" w:sz="0" w:space="0" w:color="auto"/>
      </w:divBdr>
    </w:div>
    <w:div w:id="1647782618">
      <w:bodyDiv w:val="1"/>
      <w:marLeft w:val="0"/>
      <w:marRight w:val="0"/>
      <w:marTop w:val="0"/>
      <w:marBottom w:val="0"/>
      <w:divBdr>
        <w:top w:val="none" w:sz="0" w:space="0" w:color="auto"/>
        <w:left w:val="none" w:sz="0" w:space="0" w:color="auto"/>
        <w:bottom w:val="none" w:sz="0" w:space="0" w:color="auto"/>
        <w:right w:val="none" w:sz="0" w:space="0" w:color="auto"/>
      </w:divBdr>
    </w:div>
    <w:div w:id="1872524522">
      <w:bodyDiv w:val="1"/>
      <w:marLeft w:val="0"/>
      <w:marRight w:val="0"/>
      <w:marTop w:val="0"/>
      <w:marBottom w:val="0"/>
      <w:divBdr>
        <w:top w:val="none" w:sz="0" w:space="0" w:color="auto"/>
        <w:left w:val="none" w:sz="0" w:space="0" w:color="auto"/>
        <w:bottom w:val="none" w:sz="0" w:space="0" w:color="auto"/>
        <w:right w:val="none" w:sz="0" w:space="0" w:color="auto"/>
      </w:divBdr>
    </w:div>
    <w:div w:id="1973516681">
      <w:bodyDiv w:val="1"/>
      <w:marLeft w:val="0"/>
      <w:marRight w:val="0"/>
      <w:marTop w:val="0"/>
      <w:marBottom w:val="0"/>
      <w:divBdr>
        <w:top w:val="none" w:sz="0" w:space="0" w:color="auto"/>
        <w:left w:val="none" w:sz="0" w:space="0" w:color="auto"/>
        <w:bottom w:val="none" w:sz="0" w:space="0" w:color="auto"/>
        <w:right w:val="none" w:sz="0" w:space="0" w:color="auto"/>
      </w:divBdr>
    </w:div>
    <w:div w:id="2042169640">
      <w:bodyDiv w:val="1"/>
      <w:marLeft w:val="0"/>
      <w:marRight w:val="0"/>
      <w:marTop w:val="0"/>
      <w:marBottom w:val="0"/>
      <w:divBdr>
        <w:top w:val="none" w:sz="0" w:space="0" w:color="auto"/>
        <w:left w:val="none" w:sz="0" w:space="0" w:color="auto"/>
        <w:bottom w:val="none" w:sz="0" w:space="0" w:color="auto"/>
        <w:right w:val="none" w:sz="0" w:space="0" w:color="auto"/>
      </w:divBdr>
    </w:div>
    <w:div w:id="2122263442">
      <w:bodyDiv w:val="1"/>
      <w:marLeft w:val="0"/>
      <w:marRight w:val="0"/>
      <w:marTop w:val="0"/>
      <w:marBottom w:val="0"/>
      <w:divBdr>
        <w:top w:val="none" w:sz="0" w:space="0" w:color="auto"/>
        <w:left w:val="none" w:sz="0" w:space="0" w:color="auto"/>
        <w:bottom w:val="none" w:sz="0" w:space="0" w:color="auto"/>
        <w:right w:val="none" w:sz="0" w:space="0" w:color="auto"/>
      </w:divBdr>
    </w:div>
    <w:div w:id="2123256735">
      <w:bodyDiv w:val="1"/>
      <w:marLeft w:val="0"/>
      <w:marRight w:val="0"/>
      <w:marTop w:val="0"/>
      <w:marBottom w:val="0"/>
      <w:divBdr>
        <w:top w:val="none" w:sz="0" w:space="0" w:color="auto"/>
        <w:left w:val="none" w:sz="0" w:space="0" w:color="auto"/>
        <w:bottom w:val="none" w:sz="0" w:space="0" w:color="auto"/>
        <w:right w:val="none" w:sz="0" w:space="0" w:color="auto"/>
      </w:divBdr>
    </w:div>
    <w:div w:id="2125734320">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h19.ac.nz/publications/2020/8/12/youth19-rangatahi-smart-survey-initial-findings-hauora-hinengaro-emotional-and-mental-health" TargetMode="External"/><Relationship Id="rId18" Type="http://schemas.openxmlformats.org/officeDocument/2006/relationships/chart" Target="charts/chart3.xml"/><Relationship Id="rId26" Type="http://schemas.openxmlformats.org/officeDocument/2006/relationships/hyperlink" Target="https://www.policycommons.ac.nz/2020/06/23/health-system-changes-no-small-task/" TargetMode="External"/><Relationship Id="rId39" Type="http://schemas.openxmlformats.org/officeDocument/2006/relationships/hyperlink" Target="https://www.cpag.org.nz/assets/Covid%2019%20survey%20report%2012%20October%20final.pdf" TargetMode="External"/><Relationship Id="rId21" Type="http://schemas.openxmlformats.org/officeDocument/2006/relationships/hyperlink" Target="https://www.tvnz.co.nz/one-news/new-zealand/childrens-commissioner-says-too-many-kiwi-kids-leaving-school-help-wh-nau-covid-19-financial-burdens" TargetMode="External"/><Relationship Id="rId34" Type="http://schemas.openxmlformats.org/officeDocument/2006/relationships/hyperlink" Target="https://curekids.org.nz/wp-content/uploads/2020/11/Cure-Kids_State-of-Child-Health-Report_2020_FINAL.pdf" TargetMode="External"/><Relationship Id="rId42" Type="http://schemas.openxmlformats.org/officeDocument/2006/relationships/hyperlink" Target="https://www.msd.govt.nz/about-msd-and-our-work/publications-resources/statistics/benefit/index.html" TargetMode="External"/><Relationship Id="rId47" Type="http://schemas.openxmlformats.org/officeDocument/2006/relationships/hyperlink" Target="http://www.thesamorchard.com/wp-content/uploads/2018/03/WAB-Report.pdf" TargetMode="External"/><Relationship Id="rId50" Type="http://schemas.openxmlformats.org/officeDocument/2006/relationships/hyperlink" Target="https://www.msd.govt.nz/about-msd-and-our-work/publications-resources/monitoring/household-incomes/household-incomes-1982-to-2018.html" TargetMode="External"/><Relationship Id="rId55" Type="http://schemas.openxmlformats.org/officeDocument/2006/relationships/hyperlink" Target="https://www.stats.govt.nz/information-releases/child-poverty-statistics-year-ended-june-201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s://www.racp.edu.au/news-and-events/media-releases/health-and-disability-system-review-m%C4%81ori-health-authority-proposal-rings-hollow/" TargetMode="External"/><Relationship Id="rId11" Type="http://schemas.openxmlformats.org/officeDocument/2006/relationships/hyperlink" Target="https://www.wellchild.org.nz/who-does-well-child-checks" TargetMode="External"/><Relationship Id="rId24" Type="http://schemas.openxmlformats.org/officeDocument/2006/relationships/hyperlink" Target="https://www.tvnz.co.nz/shows/breakfast/clips/charity-kidscan-inundated-with-calls-for-support-from-low-decile-schools" TargetMode="External"/><Relationship Id="rId32" Type="http://schemas.openxmlformats.org/officeDocument/2006/relationships/hyperlink" Target="https://www.rnz.co.nz/news/national/428193/homeless-youth-not-able-to-get-the-support-they-need" TargetMode="External"/><Relationship Id="rId37" Type="http://schemas.openxmlformats.org/officeDocument/2006/relationships/hyperlink" Target="https://www.stuff.co.nz/business/300221045/unemployment-still-higher-for-women-maori-ctu" TargetMode="External"/><Relationship Id="rId40" Type="http://schemas.openxmlformats.org/officeDocument/2006/relationships/hyperlink" Target="https://www.scoop.co.nz/stories/PO2008/S00227/manaaki-rangatahi-finds-youth-left-out-in-thecold.htm" TargetMode="External"/><Relationship Id="rId45" Type="http://schemas.openxmlformats.org/officeDocument/2006/relationships/hyperlink" Target="https://www.msd.govt.nz/about-msd-and-our-work/publications-resources/statistics/benefit/archive-2017.html" TargetMode="External"/><Relationship Id="rId53" Type="http://schemas.openxmlformats.org/officeDocument/2006/relationships/hyperlink" Target="https://www.racp.edu.au/docs/default-source/advocacy-library/indigenous-ch-statement-on-ich.pdf" TargetMode="External"/><Relationship Id="rId58" Type="http://schemas.openxmlformats.org/officeDocument/2006/relationships/hyperlink" Target="https://forms.justice.govt.nz/search/Documents/WT/wt_DOC_152801817/Hauora%20W.pdf"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rnz.co.nz/news/national/428193/homeless-youth-not-able-to-get-the-support-they-need" TargetMode="External"/><Relationship Id="rId14" Type="http://schemas.openxmlformats.org/officeDocument/2006/relationships/hyperlink" Target="http://www.thesamorchard.com/wp-content/uploads/2018/03/WAB-Report.pdf" TargetMode="External"/><Relationship Id="rId22" Type="http://schemas.openxmlformats.org/officeDocument/2006/relationships/hyperlink" Target="https://www.stuff.co.nz/national/122188758/the-covid-diaries-kia-aroha-college-the-students-forgotten-during-lockdown" TargetMode="External"/><Relationship Id="rId27" Type="http://schemas.openxmlformats.org/officeDocument/2006/relationships/hyperlink" Target="https://www.nzherald.co.nz/opinion/news/article.cfm?c_id=466&amp;objectid=12340630" TargetMode="External"/><Relationship Id="rId30" Type="http://schemas.openxmlformats.org/officeDocument/2006/relationships/hyperlink" Target="https://www.tvnz.co.nz/one-news/new-zealand/childrenscommissioner-says-too-many-kiwi-kids-leaving-school-help-wh-nau-covid-19-financial-burdens" TargetMode="External"/><Relationship Id="rId35" Type="http://schemas.openxmlformats.org/officeDocument/2006/relationships/hyperlink" Target="https://www.nzherald.co.nz/business/brian-fallow-government-could-help-the-kids-and-hit-the-landlords/Q7ZSYTMNESB5GD64R5EGO7WT6E/" TargetMode="External"/><Relationship Id="rId43" Type="http://schemas.openxmlformats.org/officeDocument/2006/relationships/hyperlink" Target="https://www.msd.govt.nz/documents/about-msd-and-our-work/publications-resources/information-releases/weag-report-release/rapid-evidence-review-the-impact-of-poverty-on-life-course-outcomes-for-children-and-the-likely-effect-of-increasing-the-adequacy-of-welfare-benef.pdf" TargetMode="External"/><Relationship Id="rId48" Type="http://schemas.openxmlformats.org/officeDocument/2006/relationships/hyperlink" Target="http://www.thesamorchard.com/wp-content/uploads/2018/03/WAB-Report.pdf" TargetMode="External"/><Relationship Id="rId56" Type="http://schemas.openxmlformats.org/officeDocument/2006/relationships/hyperlink" Target="https://www.treasury.govt.nz/sites/default/files/2020-05/b20-wellbeing-budget.pd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rnz.co.nz/news/national/430942/auckland-dhb-indicates-potential-change-for-city-s-child-dental-care-system" TargetMode="External"/><Relationship Id="rId3" Type="http://schemas.openxmlformats.org/officeDocument/2006/relationships/styles" Target="styles.xml"/><Relationship Id="rId12" Type="http://schemas.openxmlformats.org/officeDocument/2006/relationships/hyperlink" Target="https://www.msd.govt.nz/documents/about-msd-and-our-work/publications-resources/information-releases/weag-report-release/rapid-evidence-review-the-impact-of-poverty-on-life-course-outcomes-for-children-and-the-likely-effect-of-increasing-the-adequacy-of-welfare-benef.pdf" TargetMode="External"/><Relationship Id="rId17" Type="http://schemas.openxmlformats.org/officeDocument/2006/relationships/chart" Target="charts/chart2.xml"/><Relationship Id="rId25" Type="http://schemas.openxmlformats.org/officeDocument/2006/relationships/hyperlink" Target="https://www.rnz.co.nz/news/national/417429/spike-in-rheumatic-fever-cases-in-wellington" TargetMode="External"/><Relationship Id="rId33" Type="http://schemas.openxmlformats.org/officeDocument/2006/relationships/hyperlink" Target="https://www.cpag.org.nz/assets/Sheltering%20Our%20Children%20from%20COVID19%20Fallout%2028%20Aug.pdf" TargetMode="External"/><Relationship Id="rId38" Type="http://schemas.openxmlformats.org/officeDocument/2006/relationships/hyperlink" Target="https://www.cpag.org.nz/assets/Covid%2019%20survey%20report%2012%20October%20final.pdf" TargetMode="External"/><Relationship Id="rId46" Type="http://schemas.openxmlformats.org/officeDocument/2006/relationships/hyperlink" Target="https://www.cpag.org.nz/assets/Living%20Well%20Children%20with%20disability%20need%20far%20greater%20income%20support%20in%20Aotearoa%20Sept%202020%20%281%29.pdf" TargetMode="External"/><Relationship Id="rId59" Type="http://schemas.openxmlformats.org/officeDocument/2006/relationships/hyperlink" Target="https://dpmc.govt.nz/sites/default/files/2020-12/bim-2020-child-poverty-4317593.pdf" TargetMode="External"/><Relationship Id="rId20" Type="http://schemas.openxmlformats.org/officeDocument/2006/relationships/hyperlink" Target="https://www.scoop.co.nz/stories/PO2008/S00227/manaaki-rangatahi-finds-youth-left-out-in-the-cold.htm" TargetMode="External"/><Relationship Id="rId41" Type="http://schemas.openxmlformats.org/officeDocument/2006/relationships/hyperlink" Target="https://www.stuff.co.nz/national/300077507/coronavirus-auckland-city-mission-faces-175-%20rise-in-demand-for-food-parcels" TargetMode="External"/><Relationship Id="rId54" Type="http://schemas.openxmlformats.org/officeDocument/2006/relationships/hyperlink" Target="http://www.maramatanga.ac.nz/sites/default/files/teArotahi_19-0502%20Rua.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ramatanga.ac.nz/sites/default/files/teArotahi_19-0502%20Rua.pdf" TargetMode="External"/><Relationship Id="rId23" Type="http://schemas.openxmlformats.org/officeDocument/2006/relationships/hyperlink" Target="https://www.stuff.co.nz/national/300077507/coronavirus-auckland-city-mission-faces-175-rise-in-demand-for-food-parcels" TargetMode="External"/><Relationship Id="rId28" Type="http://schemas.openxmlformats.org/officeDocument/2006/relationships/hyperlink" Target="https://www.rnz.co.nz/news/national/419956/disability-sector-calls-for-separate-ministry-support-unshackled-from-health-system" TargetMode="External"/><Relationship Id="rId36" Type="http://schemas.openxmlformats.org/officeDocument/2006/relationships/hyperlink" Target="https://systemreview.health.govt.nz/assets/Uploads/hdsr/health-disability-system-review-final-report.pdf" TargetMode="External"/><Relationship Id="rId49" Type="http://schemas.openxmlformats.org/officeDocument/2006/relationships/hyperlink" Target="https://mentalhealth.inquiry.govt.nz/inquiry-report/he-ara-oranga/" TargetMode="External"/><Relationship Id="rId57" Type="http://schemas.openxmlformats.org/officeDocument/2006/relationships/hyperlink" Target="https://www.tvnz.co.nz/shows/breakfast/clips/charity-kidscan-inundated-with-calls-for-support-from-low-decile-schools" TargetMode="External"/><Relationship Id="rId10" Type="http://schemas.openxmlformats.org/officeDocument/2006/relationships/hyperlink" Target="http://www.cpag.org.nz" TargetMode="External"/><Relationship Id="rId31" Type="http://schemas.openxmlformats.org/officeDocument/2006/relationships/hyperlink" Target="https://www.stuff.co.nz/national/122188758/the-covid-diaries-kia-aroha-college-the-students-forgottenduring-lockdown" TargetMode="External"/><Relationship Id="rId44" Type="http://schemas.openxmlformats.org/officeDocument/2006/relationships/hyperlink" Target="https://www.msd.govt.nz/documents/about-msd-and-our-work/publications-resources/information-releases/weag-report-release/rapid-evidence-review-the-impact-of-poverty-on-life-course-outcomes-for-children-and-the-likely-effect-of-increasing-the-adequacy-of-welfare-benef.pdf" TargetMode="External"/><Relationship Id="rId52" Type="http://schemas.openxmlformats.org/officeDocument/2006/relationships/hyperlink" Target="https://www.rnz.co.nz/news/national/417429/spike-in-rheumatic-fever-cases-in-wellington" TargetMode="External"/><Relationship Id="rId60" Type="http://schemas.openxmlformats.org/officeDocument/2006/relationships/hyperlink" Target="https://www.youth19.ac.nz/publications/2020/8/12/youth19-rangatahi-smart-survey-initial-findings-hauora-hinengaro-emotional-and-mental-health" TargetMode="Externa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anet%20McA\Documents\ethnicity%20analysis%20CP%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anet%20McA\Documents\ethnicity%20analysis%20CP%2020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D609-495A-8264-A4A8A205129E}"/>
              </c:ext>
            </c:extLst>
          </c:dPt>
          <c:dPt>
            <c:idx val="1"/>
            <c:invertIfNegative val="0"/>
            <c:bubble3D val="0"/>
            <c:spPr>
              <a:solidFill>
                <a:srgbClr val="FFC000"/>
              </a:solidFill>
              <a:ln>
                <a:noFill/>
              </a:ln>
              <a:effectLst/>
            </c:spPr>
            <c:extLst>
              <c:ext xmlns:c16="http://schemas.microsoft.com/office/drawing/2014/chart" uri="{C3380CC4-5D6E-409C-BE32-E72D297353CC}">
                <c16:uniqueId val="{00000003-D609-495A-8264-A4A8A205129E}"/>
              </c:ext>
            </c:extLst>
          </c:dPt>
          <c:dPt>
            <c:idx val="3"/>
            <c:invertIfNegative val="0"/>
            <c:bubble3D val="0"/>
            <c:spPr>
              <a:solidFill>
                <a:srgbClr val="00B050"/>
              </a:solidFill>
              <a:ln>
                <a:noFill/>
              </a:ln>
              <a:effectLst/>
            </c:spPr>
            <c:extLst>
              <c:ext xmlns:c16="http://schemas.microsoft.com/office/drawing/2014/chart" uri="{C3380CC4-5D6E-409C-BE32-E72D297353CC}">
                <c16:uniqueId val="{00000005-D609-495A-8264-A4A8A205129E}"/>
              </c:ext>
            </c:extLst>
          </c:dPt>
          <c:dLbls>
            <c:dLbl>
              <c:idx val="0"/>
              <c:layout>
                <c:manualLayout>
                  <c:x val="5.5555555555555558E-3"/>
                  <c:y val="0.16666666666666666"/>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09-495A-8264-A4A8A205129E}"/>
                </c:ext>
              </c:extLst>
            </c:dLbl>
            <c:dLbl>
              <c:idx val="1"/>
              <c:layout>
                <c:manualLayout>
                  <c:x val="-2.7777777777778286E-3"/>
                  <c:y val="0.15277777777777779"/>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09-495A-8264-A4A8A205129E}"/>
                </c:ext>
              </c:extLst>
            </c:dLbl>
            <c:dLbl>
              <c:idx val="2"/>
              <c:layout>
                <c:manualLayout>
                  <c:x val="0"/>
                  <c:y val="0.1111111111111111"/>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09-495A-8264-A4A8A205129E}"/>
                </c:ext>
              </c:extLst>
            </c:dLbl>
            <c:dLbl>
              <c:idx val="3"/>
              <c:layout>
                <c:manualLayout>
                  <c:x val="0"/>
                  <c:y val="0.125"/>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09-495A-8264-A4A8A205129E}"/>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Sheet1!$N$27:$R$27</c:f>
              <c:strCache>
                <c:ptCount val="4"/>
                <c:pt idx="0">
                  <c:v>0-17 yrs</c:v>
                </c:pt>
                <c:pt idx="1">
                  <c:v>18-24 yrs</c:v>
                </c:pt>
                <c:pt idx="2">
                  <c:v>25-64 yrs</c:v>
                </c:pt>
                <c:pt idx="3">
                  <c:v>65+ yrs</c:v>
                </c:pt>
              </c:strCache>
            </c:strRef>
          </c:cat>
          <c:val>
            <c:numRef>
              <c:f>Sheet1!$N$28:$Q$28</c:f>
              <c:numCache>
                <c:formatCode>General</c:formatCode>
                <c:ptCount val="4"/>
                <c:pt idx="0">
                  <c:v>21</c:v>
                </c:pt>
                <c:pt idx="1">
                  <c:v>20</c:v>
                </c:pt>
                <c:pt idx="2">
                  <c:v>14</c:v>
                </c:pt>
                <c:pt idx="3">
                  <c:v>11</c:v>
                </c:pt>
              </c:numCache>
            </c:numRef>
          </c:val>
          <c:extLst>
            <c:ext xmlns:c16="http://schemas.microsoft.com/office/drawing/2014/chart" uri="{C3380CC4-5D6E-409C-BE32-E72D297353CC}">
              <c16:uniqueId val="{00000007-D609-495A-8264-A4A8A205129E}"/>
            </c:ext>
          </c:extLst>
        </c:ser>
        <c:dLbls>
          <c:showLegendKey val="0"/>
          <c:showVal val="0"/>
          <c:showCatName val="0"/>
          <c:showSerName val="0"/>
          <c:showPercent val="0"/>
          <c:showBubbleSize val="0"/>
        </c:dLbls>
        <c:gapWidth val="94"/>
        <c:overlap val="-5"/>
        <c:axId val="329185984"/>
        <c:axId val="329186376"/>
      </c:barChart>
      <c:catAx>
        <c:axId val="329185984"/>
        <c:scaling>
          <c:orientation val="minMax"/>
        </c:scaling>
        <c:delete val="0"/>
        <c:axPos val="b"/>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en-US" sz="1000" b="0" i="1" u="none" strike="noStrike" baseline="0">
                    <a:effectLst/>
                  </a:rPr>
                  <a:t>Source: Perry (2019) Table G3, p151</a:t>
                </a:r>
                <a:endParaRPr lang="en-NZ"/>
              </a:p>
            </c:rich>
          </c:tx>
          <c:layout>
            <c:manualLayout>
              <c:xMode val="edge"/>
              <c:yMode val="edge"/>
              <c:x val="2.387270279040794E-2"/>
              <c:y val="0.8148057224637254"/>
            </c:manualLayout>
          </c:layout>
          <c:overlay val="0"/>
          <c:spPr>
            <a:noFill/>
            <a:ln>
              <a:noFill/>
            </a:ln>
            <a:effectLst/>
          </c:spPr>
          <c:txPr>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329186376"/>
        <c:crosses val="autoZero"/>
        <c:auto val="1"/>
        <c:lblAlgn val="ctr"/>
        <c:lblOffset val="100"/>
        <c:noMultiLvlLbl val="0"/>
      </c:catAx>
      <c:valAx>
        <c:axId val="329186376"/>
        <c:scaling>
          <c:orientation val="minMax"/>
          <c:max val="2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185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'Table 2.03'!$H$29</c:f>
              <c:strCache>
                <c:ptCount val="1"/>
                <c:pt idx="0">
                  <c:v>Māori</c:v>
                </c:pt>
              </c:strCache>
            </c:strRef>
          </c:tx>
          <c:spPr>
            <a:ln w="28575" cap="rnd">
              <a:solidFill>
                <a:srgbClr val="FFC000"/>
              </a:solidFill>
              <a:round/>
            </a:ln>
            <a:effectLst/>
          </c:spPr>
          <c:marker>
            <c:symbol val="circle"/>
            <c:size val="9"/>
            <c:spPr>
              <a:solidFill>
                <a:srgbClr val="FFC000"/>
              </a:solidFill>
              <a:ln w="9525">
                <a:solidFill>
                  <a:srgbClr val="FFC000"/>
                </a:solidFill>
              </a:ln>
              <a:effectLst/>
            </c:spPr>
          </c:marker>
          <c:cat>
            <c:numRef>
              <c:f>'Table 2.03'!$I$27:$Q$27</c:f>
              <c:numCache>
                <c:formatCode>General</c:formatCode>
                <c:ptCount val="6"/>
                <c:pt idx="0">
                  <c:v>1</c:v>
                </c:pt>
                <c:pt idx="1">
                  <c:v>4</c:v>
                </c:pt>
                <c:pt idx="2">
                  <c:v>2</c:v>
                </c:pt>
                <c:pt idx="3">
                  <c:v>5</c:v>
                </c:pt>
                <c:pt idx="4">
                  <c:v>6</c:v>
                </c:pt>
                <c:pt idx="5">
                  <c:v>7</c:v>
                </c:pt>
              </c:numCache>
            </c:numRef>
          </c:cat>
          <c:val>
            <c:numRef>
              <c:f>'Table 2.03'!$I$29:$Q$29</c:f>
              <c:numCache>
                <c:formatCode>0.00</c:formatCode>
                <c:ptCount val="6"/>
                <c:pt idx="0">
                  <c:v>1</c:v>
                </c:pt>
                <c:pt idx="1">
                  <c:v>1</c:v>
                </c:pt>
                <c:pt idx="2">
                  <c:v>1</c:v>
                </c:pt>
                <c:pt idx="3">
                  <c:v>1</c:v>
                </c:pt>
                <c:pt idx="4">
                  <c:v>1</c:v>
                </c:pt>
                <c:pt idx="5">
                  <c:v>1</c:v>
                </c:pt>
              </c:numCache>
            </c:numRef>
          </c:val>
          <c:smooth val="0"/>
          <c:extLst>
            <c:ext xmlns:c16="http://schemas.microsoft.com/office/drawing/2014/chart" uri="{C3380CC4-5D6E-409C-BE32-E72D297353CC}">
              <c16:uniqueId val="{00000000-A61C-4727-BCB2-EB62CA0E3F5B}"/>
            </c:ext>
          </c:extLst>
        </c:ser>
        <c:ser>
          <c:idx val="2"/>
          <c:order val="1"/>
          <c:tx>
            <c:strRef>
              <c:f>'Table 2.03'!$H$30</c:f>
              <c:strCache>
                <c:ptCount val="1"/>
                <c:pt idx="0">
                  <c:v>Pacific</c:v>
                </c:pt>
              </c:strCache>
            </c:strRef>
          </c:tx>
          <c:spPr>
            <a:ln w="6350" cap="rnd">
              <a:noFill/>
              <a:round/>
            </a:ln>
            <a:effectLst/>
          </c:spPr>
          <c:marker>
            <c:symbol val="diamond"/>
            <c:size val="8"/>
            <c:spPr>
              <a:solidFill>
                <a:srgbClr val="00B050"/>
              </a:solidFill>
              <a:ln w="9525">
                <a:noFill/>
              </a:ln>
              <a:effectLst/>
            </c:spPr>
          </c:marker>
          <c:dPt>
            <c:idx val="5"/>
            <c:marker>
              <c:symbol val="diamond"/>
              <c:size val="8"/>
              <c:spPr>
                <a:solidFill>
                  <a:srgbClr val="00B050"/>
                </a:solidFill>
                <a:ln w="9525">
                  <a:solidFill>
                    <a:srgbClr val="00B050"/>
                  </a:solidFill>
                </a:ln>
                <a:effectLst/>
              </c:spPr>
            </c:marker>
            <c:bubble3D val="0"/>
            <c:extLst>
              <c:ext xmlns:c16="http://schemas.microsoft.com/office/drawing/2014/chart" uri="{C3380CC4-5D6E-409C-BE32-E72D297353CC}">
                <c16:uniqueId val="{00000001-A61C-4727-BCB2-EB62CA0E3F5B}"/>
              </c:ext>
            </c:extLst>
          </c:dPt>
          <c:cat>
            <c:numRef>
              <c:f>'Table 2.03'!$I$27:$Q$27</c:f>
              <c:numCache>
                <c:formatCode>General</c:formatCode>
                <c:ptCount val="6"/>
                <c:pt idx="0">
                  <c:v>1</c:v>
                </c:pt>
                <c:pt idx="1">
                  <c:v>4</c:v>
                </c:pt>
                <c:pt idx="2">
                  <c:v>2</c:v>
                </c:pt>
                <c:pt idx="3">
                  <c:v>5</c:v>
                </c:pt>
                <c:pt idx="4">
                  <c:v>6</c:v>
                </c:pt>
                <c:pt idx="5">
                  <c:v>7</c:v>
                </c:pt>
              </c:numCache>
            </c:numRef>
          </c:cat>
          <c:val>
            <c:numRef>
              <c:f>'Table 2.03'!$I$30:$Q$30</c:f>
              <c:numCache>
                <c:formatCode>0.00</c:formatCode>
                <c:ptCount val="6"/>
                <c:pt idx="0">
                  <c:v>1.0816326530612244</c:v>
                </c:pt>
                <c:pt idx="1">
                  <c:v>1.0751633986928104</c:v>
                </c:pt>
                <c:pt idx="2">
                  <c:v>1</c:v>
                </c:pt>
                <c:pt idx="3">
                  <c:v>1.0313390313390314</c:v>
                </c:pt>
                <c:pt idx="4">
                  <c:v>1.003921568627451</c:v>
                </c:pt>
                <c:pt idx="5">
                  <c:v>1.0126582278481011</c:v>
                </c:pt>
              </c:numCache>
            </c:numRef>
          </c:val>
          <c:smooth val="0"/>
          <c:extLst>
            <c:ext xmlns:c16="http://schemas.microsoft.com/office/drawing/2014/chart" uri="{C3380CC4-5D6E-409C-BE32-E72D297353CC}">
              <c16:uniqueId val="{00000002-A61C-4727-BCB2-EB62CA0E3F5B}"/>
            </c:ext>
          </c:extLst>
        </c:ser>
        <c:ser>
          <c:idx val="3"/>
          <c:order val="2"/>
          <c:tx>
            <c:strRef>
              <c:f>'Table 2.03'!$H$31</c:f>
              <c:strCache>
                <c:ptCount val="1"/>
                <c:pt idx="0">
                  <c:v>Asian</c:v>
                </c:pt>
              </c:strCache>
            </c:strRef>
          </c:tx>
          <c:spPr>
            <a:ln w="6350" cap="rnd">
              <a:noFill/>
              <a:round/>
            </a:ln>
            <a:effectLst/>
          </c:spPr>
          <c:marker>
            <c:symbol val="star"/>
            <c:size val="8"/>
            <c:spPr>
              <a:noFill/>
              <a:ln w="9525">
                <a:solidFill>
                  <a:srgbClr val="C00000"/>
                </a:solidFill>
              </a:ln>
              <a:effectLst/>
            </c:spPr>
          </c:marker>
          <c:cat>
            <c:numRef>
              <c:f>'Table 2.03'!$I$27:$Q$27</c:f>
              <c:numCache>
                <c:formatCode>General</c:formatCode>
                <c:ptCount val="6"/>
                <c:pt idx="0">
                  <c:v>1</c:v>
                </c:pt>
                <c:pt idx="1">
                  <c:v>4</c:v>
                </c:pt>
                <c:pt idx="2">
                  <c:v>2</c:v>
                </c:pt>
                <c:pt idx="3">
                  <c:v>5</c:v>
                </c:pt>
                <c:pt idx="4">
                  <c:v>6</c:v>
                </c:pt>
                <c:pt idx="5">
                  <c:v>7</c:v>
                </c:pt>
              </c:numCache>
            </c:numRef>
          </c:cat>
          <c:val>
            <c:numRef>
              <c:f>'Table 2.03'!$I$31:$Q$31</c:f>
              <c:numCache>
                <c:formatCode>0.00</c:formatCode>
                <c:ptCount val="6"/>
                <c:pt idx="0">
                  <c:v>0.8214285714285714</c:v>
                </c:pt>
                <c:pt idx="1">
                  <c:v>0.76143790849673199</c:v>
                </c:pt>
                <c:pt idx="2">
                  <c:v>1.0404858299595141</c:v>
                </c:pt>
                <c:pt idx="3">
                  <c:v>0.9202279202279201</c:v>
                </c:pt>
                <c:pt idx="4">
                  <c:v>1.0274509803921568</c:v>
                </c:pt>
                <c:pt idx="5">
                  <c:v>1.3354430379746836</c:v>
                </c:pt>
              </c:numCache>
            </c:numRef>
          </c:val>
          <c:smooth val="0"/>
          <c:extLst>
            <c:ext xmlns:c16="http://schemas.microsoft.com/office/drawing/2014/chart" uri="{C3380CC4-5D6E-409C-BE32-E72D297353CC}">
              <c16:uniqueId val="{00000003-A61C-4727-BCB2-EB62CA0E3F5B}"/>
            </c:ext>
          </c:extLst>
        </c:ser>
        <c:ser>
          <c:idx val="0"/>
          <c:order val="3"/>
          <c:tx>
            <c:strRef>
              <c:f>'Table 2.03'!$H$28</c:f>
              <c:strCache>
                <c:ptCount val="1"/>
                <c:pt idx="0">
                  <c:v>Pākehā</c:v>
                </c:pt>
              </c:strCache>
            </c:strRef>
          </c:tx>
          <c:spPr>
            <a:ln w="6350" cap="rnd">
              <a:noFill/>
              <a:round/>
            </a:ln>
            <a:effectLst/>
          </c:spPr>
          <c:marker>
            <c:symbol val="square"/>
            <c:size val="5"/>
            <c:spPr>
              <a:solidFill>
                <a:schemeClr val="accent1"/>
              </a:solidFill>
              <a:ln w="9525">
                <a:solidFill>
                  <a:schemeClr val="accent1"/>
                </a:solidFill>
              </a:ln>
              <a:effectLst/>
            </c:spPr>
          </c:marker>
          <c:cat>
            <c:numRef>
              <c:f>'Table 2.03'!$I$27:$Q$27</c:f>
              <c:numCache>
                <c:formatCode>General</c:formatCode>
                <c:ptCount val="6"/>
                <c:pt idx="0">
                  <c:v>1</c:v>
                </c:pt>
                <c:pt idx="1">
                  <c:v>4</c:v>
                </c:pt>
                <c:pt idx="2">
                  <c:v>2</c:v>
                </c:pt>
                <c:pt idx="3">
                  <c:v>5</c:v>
                </c:pt>
                <c:pt idx="4">
                  <c:v>6</c:v>
                </c:pt>
                <c:pt idx="5">
                  <c:v>7</c:v>
                </c:pt>
              </c:numCache>
            </c:numRef>
          </c:cat>
          <c:val>
            <c:numRef>
              <c:f>'Table 2.03'!$I$28:$Q$28</c:f>
              <c:numCache>
                <c:formatCode>0.00</c:formatCode>
                <c:ptCount val="6"/>
                <c:pt idx="0">
                  <c:v>0.56122448979591832</c:v>
                </c:pt>
                <c:pt idx="1">
                  <c:v>0.59150326797385622</c:v>
                </c:pt>
                <c:pt idx="2">
                  <c:v>0.68825910931174095</c:v>
                </c:pt>
                <c:pt idx="3">
                  <c:v>0.69515669515669509</c:v>
                </c:pt>
                <c:pt idx="4">
                  <c:v>0.6823529411764705</c:v>
                </c:pt>
                <c:pt idx="5">
                  <c:v>0.74683544303797467</c:v>
                </c:pt>
              </c:numCache>
            </c:numRef>
          </c:val>
          <c:smooth val="0"/>
          <c:extLst>
            <c:ext xmlns:c16="http://schemas.microsoft.com/office/drawing/2014/chart" uri="{C3380CC4-5D6E-409C-BE32-E72D297353CC}">
              <c16:uniqueId val="{00000004-A61C-4727-BCB2-EB62CA0E3F5B}"/>
            </c:ext>
          </c:extLst>
        </c:ser>
        <c:dLbls>
          <c:showLegendKey val="0"/>
          <c:showVal val="0"/>
          <c:showCatName val="0"/>
          <c:showSerName val="0"/>
          <c:showPercent val="0"/>
          <c:showBubbleSize val="0"/>
        </c:dLbls>
        <c:marker val="1"/>
        <c:smooth val="0"/>
        <c:axId val="506654200"/>
        <c:axId val="506654592"/>
      </c:lineChart>
      <c:catAx>
        <c:axId val="506654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Official Measure # (BHC 1&amp;4; AHC 2, 5-7)</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654592"/>
        <c:crosses val="autoZero"/>
        <c:auto val="1"/>
        <c:lblAlgn val="ctr"/>
        <c:lblOffset val="95"/>
        <c:noMultiLvlLbl val="0"/>
      </c:catAx>
      <c:valAx>
        <c:axId val="506654592"/>
        <c:scaling>
          <c:orientation val="minMax"/>
          <c:max val="1.4"/>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654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'Table 2.03'!$H$29</c:f>
              <c:strCache>
                <c:ptCount val="1"/>
                <c:pt idx="0">
                  <c:v>Māori</c:v>
                </c:pt>
              </c:strCache>
            </c:strRef>
          </c:tx>
          <c:spPr>
            <a:ln w="28575" cap="rnd">
              <a:solidFill>
                <a:srgbClr val="FFC000"/>
              </a:solidFill>
              <a:round/>
            </a:ln>
            <a:effectLst/>
          </c:spPr>
          <c:marker>
            <c:symbol val="circle"/>
            <c:size val="7"/>
            <c:spPr>
              <a:solidFill>
                <a:srgbClr val="FFC000"/>
              </a:solidFill>
              <a:ln w="9525">
                <a:solidFill>
                  <a:srgbClr val="FFC000"/>
                </a:solidFill>
              </a:ln>
              <a:effectLst/>
            </c:spPr>
          </c:marker>
          <c:cat>
            <c:numRef>
              <c:f>'Table 2.03'!$O$27:$Q$27</c:f>
              <c:numCache>
                <c:formatCode>General</c:formatCode>
                <c:ptCount val="3"/>
                <c:pt idx="0">
                  <c:v>3</c:v>
                </c:pt>
                <c:pt idx="1">
                  <c:v>8</c:v>
                </c:pt>
                <c:pt idx="2">
                  <c:v>9</c:v>
                </c:pt>
              </c:numCache>
            </c:numRef>
          </c:cat>
          <c:val>
            <c:numRef>
              <c:f>'Table 2.03'!$O$29:$Q$29</c:f>
              <c:numCache>
                <c:formatCode>0.00</c:formatCode>
                <c:ptCount val="3"/>
                <c:pt idx="0">
                  <c:v>1</c:v>
                </c:pt>
                <c:pt idx="1">
                  <c:v>1</c:v>
                </c:pt>
                <c:pt idx="2">
                  <c:v>1</c:v>
                </c:pt>
              </c:numCache>
            </c:numRef>
          </c:val>
          <c:smooth val="0"/>
          <c:extLst>
            <c:ext xmlns:c16="http://schemas.microsoft.com/office/drawing/2014/chart" uri="{C3380CC4-5D6E-409C-BE32-E72D297353CC}">
              <c16:uniqueId val="{00000000-0960-4863-B131-0FC84FBAEB2E}"/>
            </c:ext>
          </c:extLst>
        </c:ser>
        <c:ser>
          <c:idx val="2"/>
          <c:order val="1"/>
          <c:tx>
            <c:strRef>
              <c:f>'Table 2.03'!$H$30</c:f>
              <c:strCache>
                <c:ptCount val="1"/>
                <c:pt idx="0">
                  <c:v>Pacific</c:v>
                </c:pt>
              </c:strCache>
            </c:strRef>
          </c:tx>
          <c:spPr>
            <a:ln w="28575" cap="rnd">
              <a:noFill/>
              <a:round/>
            </a:ln>
            <a:effectLst/>
          </c:spPr>
          <c:marker>
            <c:symbol val="diamond"/>
            <c:size val="6"/>
            <c:spPr>
              <a:solidFill>
                <a:srgbClr val="00B050"/>
              </a:solidFill>
              <a:ln w="9525">
                <a:solidFill>
                  <a:srgbClr val="00B050"/>
                </a:solidFill>
              </a:ln>
              <a:effectLst/>
            </c:spPr>
          </c:marker>
          <c:cat>
            <c:numRef>
              <c:f>'Table 2.03'!$O$27:$Q$27</c:f>
              <c:numCache>
                <c:formatCode>General</c:formatCode>
                <c:ptCount val="3"/>
                <c:pt idx="0">
                  <c:v>3</c:v>
                </c:pt>
                <c:pt idx="1">
                  <c:v>8</c:v>
                </c:pt>
                <c:pt idx="2">
                  <c:v>9</c:v>
                </c:pt>
              </c:numCache>
            </c:numRef>
          </c:cat>
          <c:val>
            <c:numRef>
              <c:f>'Table 2.03'!$O$30:$Q$30</c:f>
              <c:numCache>
                <c:formatCode>0.00</c:formatCode>
                <c:ptCount val="3"/>
                <c:pt idx="0">
                  <c:v>1.2274678111587982</c:v>
                </c:pt>
                <c:pt idx="1">
                  <c:v>1.2434782608695654</c:v>
                </c:pt>
                <c:pt idx="2">
                  <c:v>1.0942028985507246</c:v>
                </c:pt>
              </c:numCache>
            </c:numRef>
          </c:val>
          <c:smooth val="0"/>
          <c:extLst>
            <c:ext xmlns:c16="http://schemas.microsoft.com/office/drawing/2014/chart" uri="{C3380CC4-5D6E-409C-BE32-E72D297353CC}">
              <c16:uniqueId val="{00000001-0960-4863-B131-0FC84FBAEB2E}"/>
            </c:ext>
          </c:extLst>
        </c:ser>
        <c:ser>
          <c:idx val="3"/>
          <c:order val="2"/>
          <c:tx>
            <c:strRef>
              <c:f>'Table 2.03'!$H$31</c:f>
              <c:strCache>
                <c:ptCount val="1"/>
                <c:pt idx="0">
                  <c:v>Asian</c:v>
                </c:pt>
              </c:strCache>
            </c:strRef>
          </c:tx>
          <c:spPr>
            <a:ln w="28575" cap="rnd">
              <a:noFill/>
              <a:round/>
            </a:ln>
            <a:effectLst/>
          </c:spPr>
          <c:marker>
            <c:symbol val="star"/>
            <c:size val="7"/>
            <c:spPr>
              <a:noFill/>
              <a:ln w="9525">
                <a:solidFill>
                  <a:srgbClr val="C00000"/>
                </a:solidFill>
              </a:ln>
              <a:effectLst/>
            </c:spPr>
          </c:marker>
          <c:cat>
            <c:numRef>
              <c:f>'Table 2.03'!$O$27:$Q$27</c:f>
              <c:numCache>
                <c:formatCode>General</c:formatCode>
                <c:ptCount val="3"/>
                <c:pt idx="0">
                  <c:v>3</c:v>
                </c:pt>
                <c:pt idx="1">
                  <c:v>8</c:v>
                </c:pt>
                <c:pt idx="2">
                  <c:v>9</c:v>
                </c:pt>
              </c:numCache>
            </c:numRef>
          </c:cat>
          <c:val>
            <c:numRef>
              <c:f>'Table 2.03'!$O$31:$Q$31</c:f>
              <c:numCache>
                <c:formatCode>0.00</c:formatCode>
                <c:ptCount val="3"/>
                <c:pt idx="0">
                  <c:v>0.27038626609442057</c:v>
                </c:pt>
                <c:pt idx="1">
                  <c:v>0.14782608695652175</c:v>
                </c:pt>
                <c:pt idx="2">
                  <c:v>0.26811594202898553</c:v>
                </c:pt>
              </c:numCache>
            </c:numRef>
          </c:val>
          <c:smooth val="0"/>
          <c:extLst>
            <c:ext xmlns:c16="http://schemas.microsoft.com/office/drawing/2014/chart" uri="{C3380CC4-5D6E-409C-BE32-E72D297353CC}">
              <c16:uniqueId val="{00000002-0960-4863-B131-0FC84FBAEB2E}"/>
            </c:ext>
          </c:extLst>
        </c:ser>
        <c:ser>
          <c:idx val="0"/>
          <c:order val="3"/>
          <c:tx>
            <c:strRef>
              <c:f>'Table 2.03'!$H$28</c:f>
              <c:strCache>
                <c:ptCount val="1"/>
                <c:pt idx="0">
                  <c:v>Pākehā</c:v>
                </c:pt>
              </c:strCache>
            </c:strRef>
          </c:tx>
          <c:spPr>
            <a:ln w="28575" cap="rnd">
              <a:noFill/>
              <a:round/>
            </a:ln>
            <a:effectLst/>
          </c:spPr>
          <c:marker>
            <c:symbol val="square"/>
            <c:size val="6"/>
            <c:spPr>
              <a:solidFill>
                <a:schemeClr val="accent1"/>
              </a:solidFill>
              <a:ln w="9525">
                <a:solidFill>
                  <a:schemeClr val="accent1"/>
                </a:solidFill>
              </a:ln>
              <a:effectLst/>
            </c:spPr>
          </c:marker>
          <c:cat>
            <c:numRef>
              <c:f>'Table 2.03'!$O$27:$Q$27</c:f>
              <c:numCache>
                <c:formatCode>General</c:formatCode>
                <c:ptCount val="3"/>
                <c:pt idx="0">
                  <c:v>3</c:v>
                </c:pt>
                <c:pt idx="1">
                  <c:v>8</c:v>
                </c:pt>
                <c:pt idx="2">
                  <c:v>9</c:v>
                </c:pt>
              </c:numCache>
            </c:numRef>
          </c:cat>
          <c:val>
            <c:numRef>
              <c:f>'Table 2.03'!$O$28:$Q$28</c:f>
              <c:numCache>
                <c:formatCode>0.00</c:formatCode>
                <c:ptCount val="3"/>
                <c:pt idx="0">
                  <c:v>0.42060085836909872</c:v>
                </c:pt>
                <c:pt idx="1">
                  <c:v>0.37391304347826088</c:v>
                </c:pt>
                <c:pt idx="2">
                  <c:v>0.44927536231884058</c:v>
                </c:pt>
              </c:numCache>
            </c:numRef>
          </c:val>
          <c:smooth val="0"/>
          <c:extLst>
            <c:ext xmlns:c16="http://schemas.microsoft.com/office/drawing/2014/chart" uri="{C3380CC4-5D6E-409C-BE32-E72D297353CC}">
              <c16:uniqueId val="{00000003-0960-4863-B131-0FC84FBAEB2E}"/>
            </c:ext>
          </c:extLst>
        </c:ser>
        <c:dLbls>
          <c:showLegendKey val="0"/>
          <c:showVal val="0"/>
          <c:showCatName val="0"/>
          <c:showSerName val="0"/>
          <c:showPercent val="0"/>
          <c:showBubbleSize val="0"/>
        </c:dLbls>
        <c:marker val="1"/>
        <c:smooth val="0"/>
        <c:axId val="510330104"/>
        <c:axId val="509980032"/>
      </c:lineChart>
      <c:catAx>
        <c:axId val="510330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Measure # (MH</a:t>
                </a:r>
                <a:r>
                  <a:rPr lang="en-NZ" baseline="0"/>
                  <a:t> 3&amp;8; MH+AHC 9)</a:t>
                </a:r>
                <a:endParaRPr lang="en-NZ"/>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980032"/>
        <c:crosses val="autoZero"/>
        <c:auto val="1"/>
        <c:lblAlgn val="ctr"/>
        <c:lblOffset val="100"/>
        <c:noMultiLvlLbl val="0"/>
      </c:catAx>
      <c:valAx>
        <c:axId val="509980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330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4B2C-5709-4678-933E-EC4279DC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8021</Words>
  <Characters>45721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Poverty Action Group</dc:creator>
  <cp:keywords/>
  <dc:description/>
  <cp:lastModifiedBy>Janet McA</cp:lastModifiedBy>
  <cp:revision>3</cp:revision>
  <cp:lastPrinted>2020-12-16T18:44:00Z</cp:lastPrinted>
  <dcterms:created xsi:type="dcterms:W3CDTF">2021-02-17T22:32:00Z</dcterms:created>
  <dcterms:modified xsi:type="dcterms:W3CDTF">2021-02-17T22:32:00Z</dcterms:modified>
</cp:coreProperties>
</file>