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CD6C" w14:textId="77777777" w:rsidR="00005377" w:rsidRPr="00C739A6" w:rsidRDefault="00005377" w:rsidP="00005377"/>
    <w:p w14:paraId="57B46AFF" w14:textId="77777777" w:rsidR="00005377" w:rsidRPr="00C739A6" w:rsidRDefault="00005377" w:rsidP="00005377">
      <w:r w:rsidRPr="00C739A6">
        <w:rPr>
          <w:noProof/>
          <w:lang w:eastAsia="en-NZ"/>
        </w:rPr>
        <w:drawing>
          <wp:anchor distT="0" distB="0" distL="114300" distR="114300" simplePos="0" relativeHeight="251660288" behindDoc="0" locked="0" layoutInCell="1" allowOverlap="1" wp14:anchorId="26CE20BB" wp14:editId="65BCEC4B">
            <wp:simplePos x="0" y="0"/>
            <wp:positionH relativeFrom="margin">
              <wp:align>right</wp:align>
            </wp:positionH>
            <wp:positionV relativeFrom="paragraph">
              <wp:posOffset>11240</wp:posOffset>
            </wp:positionV>
            <wp:extent cx="2935301" cy="651061"/>
            <wp:effectExtent l="0" t="0" r="0" b="0"/>
            <wp:wrapNone/>
            <wp:docPr id="12" name="Picture 12" descr="pictures of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ictures of childr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5301" cy="651061"/>
                    </a:xfrm>
                    <a:prstGeom prst="rect">
                      <a:avLst/>
                    </a:prstGeom>
                  </pic:spPr>
                </pic:pic>
              </a:graphicData>
            </a:graphic>
            <wp14:sizeRelH relativeFrom="page">
              <wp14:pctWidth>0</wp14:pctWidth>
            </wp14:sizeRelH>
            <wp14:sizeRelV relativeFrom="page">
              <wp14:pctHeight>0</wp14:pctHeight>
            </wp14:sizeRelV>
          </wp:anchor>
        </w:drawing>
      </w:r>
    </w:p>
    <w:p w14:paraId="3F798C68" w14:textId="77777777" w:rsidR="00005377" w:rsidRPr="00C739A6" w:rsidRDefault="00005377" w:rsidP="00005377">
      <w:r w:rsidRPr="00C739A6">
        <w:rPr>
          <w:noProof/>
          <w:lang w:eastAsia="en-NZ"/>
        </w:rPr>
        <w:drawing>
          <wp:anchor distT="0" distB="0" distL="114300" distR="114300" simplePos="0" relativeHeight="251659264" behindDoc="0" locked="0" layoutInCell="1" allowOverlap="1" wp14:anchorId="0B6FF054" wp14:editId="430C88AB">
            <wp:simplePos x="0" y="0"/>
            <wp:positionH relativeFrom="margin">
              <wp:posOffset>0</wp:posOffset>
            </wp:positionH>
            <wp:positionV relativeFrom="paragraph">
              <wp:posOffset>-635</wp:posOffset>
            </wp:positionV>
            <wp:extent cx="1650110" cy="1166192"/>
            <wp:effectExtent l="0" t="0" r="0" b="0"/>
            <wp:wrapNone/>
            <wp:docPr id="14" name="Picture 14" descr="CPAG logo &quot;Child Poverty Action Grou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PAG logo &quot;Child Poverty Action Group&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0110" cy="11661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C4E78" w14:textId="77777777" w:rsidR="00005377" w:rsidRPr="00C739A6" w:rsidRDefault="00005377" w:rsidP="00005377"/>
    <w:p w14:paraId="342B1F85" w14:textId="77777777" w:rsidR="00005377" w:rsidRPr="00C739A6" w:rsidRDefault="00005377" w:rsidP="00005377"/>
    <w:p w14:paraId="7565078E" w14:textId="77777777" w:rsidR="00005377" w:rsidRPr="00C739A6" w:rsidRDefault="00005377" w:rsidP="00005377"/>
    <w:p w14:paraId="090AFCAF" w14:textId="77777777" w:rsidR="00005377" w:rsidRPr="00C739A6" w:rsidRDefault="00005377" w:rsidP="00005377"/>
    <w:p w14:paraId="058C6965" w14:textId="77777777" w:rsidR="00005377" w:rsidRPr="00C739A6" w:rsidRDefault="00005377" w:rsidP="00005377"/>
    <w:p w14:paraId="76B3F46C" w14:textId="77777777" w:rsidR="00005377" w:rsidRPr="00C739A6" w:rsidRDefault="00005377" w:rsidP="00005377">
      <w:pPr>
        <w:pStyle w:val="Heading1"/>
      </w:pPr>
    </w:p>
    <w:p w14:paraId="70B4BDEE" w14:textId="77777777" w:rsidR="00005377" w:rsidRPr="00341364" w:rsidRDefault="00005377" w:rsidP="00005377">
      <w:pPr>
        <w:pStyle w:val="Title"/>
        <w:rPr>
          <w:b/>
          <w:bCs/>
          <w:sz w:val="44"/>
          <w:szCs w:val="44"/>
        </w:rPr>
      </w:pPr>
      <w:r>
        <w:rPr>
          <w:b/>
          <w:bCs/>
          <w:sz w:val="44"/>
          <w:szCs w:val="44"/>
        </w:rPr>
        <w:t xml:space="preserve">2021 </w:t>
      </w:r>
      <w:r w:rsidRPr="00341364">
        <w:rPr>
          <w:b/>
          <w:bCs/>
          <w:sz w:val="44"/>
          <w:szCs w:val="44"/>
        </w:rPr>
        <w:t>Series: Rethink</w:t>
      </w:r>
      <w:r>
        <w:rPr>
          <w:b/>
          <w:bCs/>
          <w:sz w:val="44"/>
          <w:szCs w:val="44"/>
        </w:rPr>
        <w:t>ing</w:t>
      </w:r>
      <w:r w:rsidRPr="00341364">
        <w:rPr>
          <w:b/>
          <w:bCs/>
          <w:sz w:val="44"/>
          <w:szCs w:val="44"/>
        </w:rPr>
        <w:t xml:space="preserve"> Income Support for Children</w:t>
      </w:r>
    </w:p>
    <w:p w14:paraId="60E74679" w14:textId="77777777" w:rsidR="00005377" w:rsidRDefault="00005377" w:rsidP="00005377">
      <w:pPr>
        <w:pStyle w:val="Title"/>
        <w:spacing w:after="480"/>
        <w:contextualSpacing w:val="0"/>
        <w:rPr>
          <w:b/>
          <w:bCs/>
          <w:color w:val="000000" w:themeColor="text1"/>
          <w:sz w:val="44"/>
          <w:szCs w:val="44"/>
        </w:rPr>
      </w:pPr>
    </w:p>
    <w:p w14:paraId="23878945" w14:textId="623D0086" w:rsidR="00005377" w:rsidRPr="008B5B29" w:rsidRDefault="00005377" w:rsidP="00005377">
      <w:pPr>
        <w:pStyle w:val="Title"/>
        <w:spacing w:after="480"/>
        <w:contextualSpacing w:val="0"/>
        <w:rPr>
          <w:rFonts w:cstheme="majorHAnsi"/>
          <w:b/>
          <w:bCs/>
          <w:color w:val="000000" w:themeColor="text1"/>
          <w:sz w:val="44"/>
          <w:szCs w:val="44"/>
        </w:rPr>
      </w:pPr>
      <w:r w:rsidRPr="00341364">
        <w:rPr>
          <w:color w:val="000000" w:themeColor="text1"/>
          <w:sz w:val="44"/>
          <w:szCs w:val="44"/>
        </w:rPr>
        <w:t xml:space="preserve">Part </w:t>
      </w:r>
      <w:r>
        <w:rPr>
          <w:color w:val="000000" w:themeColor="text1"/>
          <w:sz w:val="44"/>
          <w:szCs w:val="44"/>
        </w:rPr>
        <w:t>2</w:t>
      </w:r>
      <w:r w:rsidRPr="00341364">
        <w:rPr>
          <w:color w:val="000000" w:themeColor="text1"/>
          <w:sz w:val="44"/>
          <w:szCs w:val="44"/>
        </w:rPr>
        <w:t>:</w:t>
      </w:r>
      <w:r>
        <w:rPr>
          <w:b/>
          <w:bCs/>
          <w:color w:val="000000" w:themeColor="text1"/>
          <w:sz w:val="44"/>
          <w:szCs w:val="44"/>
        </w:rPr>
        <w:br/>
      </w:r>
      <w:r w:rsidRPr="00005377">
        <w:rPr>
          <w:color w:val="000000" w:themeColor="text1"/>
          <w:sz w:val="72"/>
          <w:szCs w:val="72"/>
        </w:rPr>
        <w:t>Australia and NZ tax credits for children</w:t>
      </w:r>
      <w:r w:rsidR="006B07DD">
        <w:rPr>
          <w:color w:val="000000" w:themeColor="text1"/>
          <w:sz w:val="72"/>
          <w:szCs w:val="72"/>
        </w:rPr>
        <w:t>:</w:t>
      </w:r>
      <w:r w:rsidRPr="00005377">
        <w:rPr>
          <w:color w:val="000000" w:themeColor="text1"/>
          <w:sz w:val="72"/>
          <w:szCs w:val="72"/>
        </w:rPr>
        <w:t xml:space="preserve"> A 5-year comparison </w:t>
      </w:r>
      <w:r w:rsidR="008B5B29">
        <w:rPr>
          <w:color w:val="000000" w:themeColor="text1"/>
          <w:sz w:val="72"/>
          <w:szCs w:val="72"/>
        </w:rPr>
        <w:br/>
      </w:r>
      <w:r w:rsidR="008B5B29" w:rsidRPr="008B5B29">
        <w:rPr>
          <w:rFonts w:cstheme="majorHAnsi"/>
          <w:color w:val="000000"/>
          <w:shd w:val="clear" w:color="auto" w:fill="FFFFFF"/>
        </w:rPr>
        <w:t>1 July 2018 – 1 July 2023</w:t>
      </w:r>
    </w:p>
    <w:p w14:paraId="21A9D277" w14:textId="77777777" w:rsidR="00005377" w:rsidRDefault="00005377" w:rsidP="00005377"/>
    <w:p w14:paraId="0AFBF421" w14:textId="77777777" w:rsidR="00005377" w:rsidRDefault="00005377" w:rsidP="00005377"/>
    <w:p w14:paraId="7ED141BE" w14:textId="2B566651" w:rsidR="00005377" w:rsidRPr="00341364" w:rsidRDefault="00005377" w:rsidP="00005377">
      <w:pPr>
        <w:rPr>
          <w:sz w:val="28"/>
          <w:szCs w:val="28"/>
        </w:rPr>
      </w:pPr>
      <w:r w:rsidRPr="00341364">
        <w:rPr>
          <w:sz w:val="28"/>
          <w:szCs w:val="28"/>
        </w:rPr>
        <w:t>Susan St John</w:t>
      </w:r>
      <w:r>
        <w:rPr>
          <w:sz w:val="28"/>
          <w:szCs w:val="28"/>
        </w:rPr>
        <w:t xml:space="preserve">, </w:t>
      </w:r>
      <w:r w:rsidRPr="00341364">
        <w:rPr>
          <w:sz w:val="28"/>
          <w:szCs w:val="28"/>
        </w:rPr>
        <w:t>Caitlin Neuwelt-Kearns</w:t>
      </w:r>
    </w:p>
    <w:p w14:paraId="3CD41939" w14:textId="64196A97" w:rsidR="00005377" w:rsidRPr="00341364" w:rsidRDefault="00005377" w:rsidP="00005377">
      <w:pPr>
        <w:rPr>
          <w:sz w:val="28"/>
          <w:szCs w:val="28"/>
        </w:rPr>
      </w:pPr>
      <w:r>
        <w:rPr>
          <w:sz w:val="28"/>
          <w:szCs w:val="28"/>
        </w:rPr>
        <w:t xml:space="preserve">November </w:t>
      </w:r>
      <w:r w:rsidRPr="00341364">
        <w:rPr>
          <w:sz w:val="28"/>
          <w:szCs w:val="28"/>
        </w:rPr>
        <w:t>2021</w:t>
      </w:r>
    </w:p>
    <w:p w14:paraId="2FD87BA5" w14:textId="77777777" w:rsidR="00005377" w:rsidRPr="00C739A6" w:rsidRDefault="00005377" w:rsidP="00005377"/>
    <w:p w14:paraId="1F0C3DEA" w14:textId="77777777" w:rsidR="00005377" w:rsidRPr="00C739A6" w:rsidRDefault="00005377" w:rsidP="00005377"/>
    <w:p w14:paraId="33AFECBC" w14:textId="77777777" w:rsidR="00005377" w:rsidRPr="00C739A6" w:rsidRDefault="00005377" w:rsidP="00005377">
      <w:pPr>
        <w:spacing w:after="0" w:line="240" w:lineRule="auto"/>
      </w:pPr>
      <w:r w:rsidRPr="00C739A6">
        <w:t xml:space="preserve">Child Poverty Action Group Inc. </w:t>
      </w:r>
    </w:p>
    <w:p w14:paraId="7F19C102" w14:textId="77777777" w:rsidR="00005377" w:rsidRPr="00C739A6" w:rsidRDefault="00005377" w:rsidP="00005377">
      <w:pPr>
        <w:spacing w:after="0" w:line="240" w:lineRule="auto"/>
      </w:pPr>
      <w:r w:rsidRPr="00C739A6">
        <w:t xml:space="preserve">PO Box 5611, </w:t>
      </w:r>
    </w:p>
    <w:p w14:paraId="1A0E6C54" w14:textId="77777777" w:rsidR="00005377" w:rsidRPr="00C739A6" w:rsidRDefault="00005377" w:rsidP="00005377">
      <w:pPr>
        <w:spacing w:after="0" w:line="240" w:lineRule="auto"/>
      </w:pPr>
      <w:r w:rsidRPr="00C739A6">
        <w:t>Wellesley St,</w:t>
      </w:r>
    </w:p>
    <w:p w14:paraId="365E9D12" w14:textId="77777777" w:rsidR="00005377" w:rsidRPr="00C739A6" w:rsidRDefault="00005377" w:rsidP="00005377">
      <w:pPr>
        <w:spacing w:after="0" w:line="240" w:lineRule="auto"/>
      </w:pPr>
      <w:r w:rsidRPr="00C739A6">
        <w:t xml:space="preserve"> Auckland 1141 </w:t>
      </w:r>
    </w:p>
    <w:p w14:paraId="66BC8B1C" w14:textId="77777777" w:rsidR="00005377" w:rsidRPr="00C739A6" w:rsidRDefault="00363DD2" w:rsidP="00005377">
      <w:pPr>
        <w:spacing w:after="0" w:line="240" w:lineRule="auto"/>
      </w:pPr>
      <w:hyperlink r:id="rId10" w:history="1">
        <w:r w:rsidR="00005377" w:rsidRPr="00C739A6">
          <w:rPr>
            <w:rStyle w:val="Hyperlink"/>
          </w:rPr>
          <w:t>www.cpag.org.nz</w:t>
        </w:r>
      </w:hyperlink>
      <w:r w:rsidR="00005377" w:rsidRPr="00C739A6">
        <w:br w:type="page"/>
      </w:r>
    </w:p>
    <w:p w14:paraId="6A31ADA0" w14:textId="77777777" w:rsidR="00005377" w:rsidRPr="00C739A6" w:rsidRDefault="00005377" w:rsidP="00005377">
      <w:pPr>
        <w:pStyle w:val="Heading1"/>
      </w:pPr>
      <w:bookmarkStart w:id="0" w:name="_Toc47949388"/>
      <w:bookmarkStart w:id="1" w:name="_Toc66785656"/>
      <w:r w:rsidRPr="00C739A6">
        <w:lastRenderedPageBreak/>
        <w:t>About Child Poverty Action Group</w:t>
      </w:r>
      <w:bookmarkEnd w:id="0"/>
      <w:bookmarkEnd w:id="1"/>
    </w:p>
    <w:p w14:paraId="0EDEC804" w14:textId="77777777" w:rsidR="00005377" w:rsidRPr="00D31508" w:rsidRDefault="00005377" w:rsidP="00005377">
      <w:pPr>
        <w:spacing w:after="60" w:line="240" w:lineRule="auto"/>
        <w:rPr>
          <w:rFonts w:ascii="Calibri" w:hAnsi="Calibri" w:cs="Calibri"/>
          <w:sz w:val="23"/>
          <w:szCs w:val="23"/>
        </w:rPr>
      </w:pPr>
      <w:r w:rsidRPr="00D31508">
        <w:rPr>
          <w:sz w:val="23"/>
          <w:szCs w:val="23"/>
        </w:rPr>
        <w:t>Child Pov</w:t>
      </w:r>
      <w:r w:rsidRPr="00D31508">
        <w:rPr>
          <w:rFonts w:ascii="Calibri" w:hAnsi="Calibri" w:cs="Calibri"/>
          <w:sz w:val="23"/>
          <w:szCs w:val="23"/>
        </w:rPr>
        <w:t xml:space="preserve">erty Action Group (CPAG) is an independent, registered charity founded in 1994 which works to eliminate child poverty in Aotearoa New Zealand through research, education and advocacy. CPAG highlights that the country’s high rate of child poverty is not the result of economic necessity, but is due to policy neglect and a flawed ideological emphasis on economic incentives, exacerbated by racism and discrimination. We envisage an Aotearoa where our society shows respect, generosity and care for </w:t>
      </w:r>
      <w:r w:rsidRPr="00D31508">
        <w:rPr>
          <w:rFonts w:ascii="Calibri" w:hAnsi="Calibri" w:cs="Calibri"/>
          <w:i/>
          <w:iCs/>
          <w:sz w:val="23"/>
          <w:szCs w:val="23"/>
        </w:rPr>
        <w:t>all</w:t>
      </w:r>
      <w:r w:rsidRPr="00D31508">
        <w:rPr>
          <w:rFonts w:ascii="Calibri" w:hAnsi="Calibri" w:cs="Calibri"/>
          <w:sz w:val="23"/>
          <w:szCs w:val="23"/>
        </w:rPr>
        <w:t xml:space="preserve"> children.</w:t>
      </w:r>
    </w:p>
    <w:p w14:paraId="13AC02B8" w14:textId="77777777" w:rsidR="00005377" w:rsidRPr="00D31508" w:rsidRDefault="00005377" w:rsidP="00005377">
      <w:pPr>
        <w:spacing w:after="0" w:line="240" w:lineRule="auto"/>
        <w:contextualSpacing/>
        <w:rPr>
          <w:sz w:val="23"/>
          <w:szCs w:val="23"/>
        </w:rPr>
      </w:pPr>
      <w:r w:rsidRPr="00D31508">
        <w:rPr>
          <w:sz w:val="23"/>
          <w:szCs w:val="23"/>
        </w:rPr>
        <w:t xml:space="preserve">We focus on eliminating poverty for </w:t>
      </w:r>
      <w:r w:rsidRPr="00D31508">
        <w:rPr>
          <w:i/>
          <w:iCs/>
          <w:sz w:val="23"/>
          <w:szCs w:val="23"/>
        </w:rPr>
        <w:t>children</w:t>
      </w:r>
      <w:r w:rsidRPr="00D31508">
        <w:rPr>
          <w:sz w:val="23"/>
          <w:szCs w:val="23"/>
        </w:rPr>
        <w:t xml:space="preserve"> because:</w:t>
      </w:r>
    </w:p>
    <w:p w14:paraId="48F10856" w14:textId="77777777" w:rsidR="00005377" w:rsidRPr="00D31508" w:rsidRDefault="00005377" w:rsidP="00005377">
      <w:pPr>
        <w:pStyle w:val="ListParagraph"/>
        <w:numPr>
          <w:ilvl w:val="0"/>
          <w:numId w:val="13"/>
        </w:numPr>
        <w:spacing w:line="240" w:lineRule="auto"/>
        <w:ind w:left="714" w:hanging="357"/>
        <w:rPr>
          <w:sz w:val="23"/>
          <w:szCs w:val="23"/>
        </w:rPr>
      </w:pPr>
      <w:r w:rsidRPr="00D31508">
        <w:rPr>
          <w:b/>
          <w:bCs/>
          <w:sz w:val="23"/>
          <w:szCs w:val="23"/>
        </w:rPr>
        <w:t>Overall effects of poverty are worst for children</w:t>
      </w:r>
      <w:r w:rsidRPr="00D31508">
        <w:rPr>
          <w:sz w:val="23"/>
          <w:szCs w:val="23"/>
        </w:rPr>
        <w:t xml:space="preserve">: Child development is adversely affected by poverty, and can lead to detrimental effects for an entire life. </w:t>
      </w:r>
    </w:p>
    <w:p w14:paraId="61D9AD9F" w14:textId="77777777" w:rsidR="00005377" w:rsidRPr="00D31508" w:rsidRDefault="00005377" w:rsidP="00005377">
      <w:pPr>
        <w:pStyle w:val="ListParagraph"/>
        <w:numPr>
          <w:ilvl w:val="0"/>
          <w:numId w:val="13"/>
        </w:numPr>
        <w:spacing w:line="240" w:lineRule="auto"/>
        <w:rPr>
          <w:sz w:val="23"/>
          <w:szCs w:val="23"/>
        </w:rPr>
      </w:pPr>
      <w:r w:rsidRPr="00D31508">
        <w:rPr>
          <w:b/>
          <w:bCs/>
          <w:sz w:val="23"/>
          <w:szCs w:val="23"/>
        </w:rPr>
        <w:t xml:space="preserve">Children are more likely to experience poverty: </w:t>
      </w:r>
      <w:r w:rsidRPr="00D31508">
        <w:rPr>
          <w:sz w:val="23"/>
          <w:szCs w:val="23"/>
        </w:rPr>
        <w:t>Children are over-represented among those in deprived households.</w:t>
      </w:r>
    </w:p>
    <w:p w14:paraId="76E6998E" w14:textId="77777777" w:rsidR="00005377" w:rsidRPr="00D31508" w:rsidRDefault="00005377" w:rsidP="00005377">
      <w:pPr>
        <w:pStyle w:val="ListParagraph"/>
        <w:numPr>
          <w:ilvl w:val="0"/>
          <w:numId w:val="13"/>
        </w:numPr>
        <w:spacing w:line="240" w:lineRule="auto"/>
        <w:rPr>
          <w:sz w:val="23"/>
          <w:szCs w:val="23"/>
        </w:rPr>
      </w:pPr>
      <w:r w:rsidRPr="00D31508">
        <w:rPr>
          <w:b/>
          <w:bCs/>
          <w:sz w:val="23"/>
          <w:szCs w:val="23"/>
        </w:rPr>
        <w:t xml:space="preserve">Children don’t get a say: </w:t>
      </w:r>
      <w:r w:rsidRPr="00D31508">
        <w:rPr>
          <w:sz w:val="23"/>
          <w:szCs w:val="23"/>
        </w:rPr>
        <w:t>Decisions affecting children are made without their input; only adults can vote for parliamentary representation.</w:t>
      </w:r>
    </w:p>
    <w:p w14:paraId="079DD2E7" w14:textId="77777777" w:rsidR="00005377" w:rsidRPr="00C739A6" w:rsidRDefault="00005377" w:rsidP="00005377">
      <w:pPr>
        <w:pStyle w:val="Heading1"/>
      </w:pPr>
      <w:bookmarkStart w:id="2" w:name="_Toc66785658"/>
      <w:r w:rsidRPr="00C739A6">
        <w:t>About the authors</w:t>
      </w:r>
      <w:bookmarkEnd w:id="2"/>
    </w:p>
    <w:p w14:paraId="19CD61C7" w14:textId="77777777" w:rsidR="00642496" w:rsidRPr="00D31508" w:rsidRDefault="00642496" w:rsidP="00642496">
      <w:pPr>
        <w:spacing w:after="60" w:line="240" w:lineRule="auto"/>
        <w:rPr>
          <w:sz w:val="23"/>
          <w:szCs w:val="23"/>
        </w:rPr>
      </w:pPr>
      <w:r w:rsidRPr="00D31508">
        <w:rPr>
          <w:sz w:val="23"/>
          <w:szCs w:val="23"/>
        </w:rPr>
        <w:t xml:space="preserve">Susan St John is a founding member of CPAG and CPAG spokesperson on economics. She is an Associate Professor in the Department of Economics, University of Auckland and the Director of the Retirement Policy and Research Centre. </w:t>
      </w:r>
      <w:hyperlink r:id="rId11" w:history="1">
        <w:r w:rsidRPr="00D31508">
          <w:rPr>
            <w:rStyle w:val="Hyperlink"/>
            <w:sz w:val="23"/>
            <w:szCs w:val="23"/>
          </w:rPr>
          <w:t>s.stjohn@auckland.ac.nz</w:t>
        </w:r>
      </w:hyperlink>
      <w:r w:rsidRPr="00D31508">
        <w:rPr>
          <w:sz w:val="23"/>
          <w:szCs w:val="23"/>
        </w:rPr>
        <w:t xml:space="preserve"> </w:t>
      </w:r>
    </w:p>
    <w:p w14:paraId="4CB09433" w14:textId="4FF0574F" w:rsidR="00005377" w:rsidRPr="00D31508" w:rsidRDefault="00005377" w:rsidP="00005377">
      <w:pPr>
        <w:spacing w:after="60" w:line="240" w:lineRule="auto"/>
        <w:rPr>
          <w:sz w:val="23"/>
          <w:szCs w:val="23"/>
        </w:rPr>
      </w:pPr>
      <w:r w:rsidRPr="00D31508">
        <w:rPr>
          <w:sz w:val="23"/>
          <w:szCs w:val="23"/>
        </w:rPr>
        <w:t xml:space="preserve">Caitlin Neuwelt-Kearns is a researcher for CPAG. She completed a Master of Arts in Human Geography at the University of Auckland in 2019, with a thesis examining the use of crowdfunding platforms for health-related costs in Aotearoa. Her research interests include equity in access to health and social services. </w:t>
      </w:r>
      <w:hyperlink r:id="rId12" w:history="1">
        <w:r w:rsidRPr="00D31508">
          <w:rPr>
            <w:rStyle w:val="Hyperlink"/>
            <w:sz w:val="23"/>
            <w:szCs w:val="23"/>
          </w:rPr>
          <w:t>caitlin@cpag.org.nz</w:t>
        </w:r>
      </w:hyperlink>
      <w:r w:rsidRPr="00D31508">
        <w:rPr>
          <w:sz w:val="23"/>
          <w:szCs w:val="23"/>
        </w:rPr>
        <w:t xml:space="preserve"> </w:t>
      </w:r>
    </w:p>
    <w:p w14:paraId="62A8191B" w14:textId="1911FF6A" w:rsidR="00005377" w:rsidRPr="00D31508" w:rsidRDefault="00005377" w:rsidP="00005377">
      <w:pPr>
        <w:spacing w:line="240" w:lineRule="auto"/>
        <w:rPr>
          <w:sz w:val="23"/>
          <w:szCs w:val="23"/>
        </w:rPr>
      </w:pPr>
    </w:p>
    <w:p w14:paraId="65D80BBB" w14:textId="77777777" w:rsidR="00005377" w:rsidRPr="00C739A6" w:rsidRDefault="00005377" w:rsidP="00005377">
      <w:pPr>
        <w:pStyle w:val="Heading1"/>
      </w:pPr>
      <w:r>
        <w:t xml:space="preserve">Series: </w:t>
      </w:r>
      <w:r w:rsidRPr="00C739A6">
        <w:t>Time to Rethink Income Support for Children</w:t>
      </w:r>
    </w:p>
    <w:p w14:paraId="2C46E67E" w14:textId="4C708B5A" w:rsidR="00005377" w:rsidRPr="00D31508" w:rsidRDefault="00005377" w:rsidP="00005377">
      <w:pPr>
        <w:spacing w:after="0"/>
        <w:rPr>
          <w:sz w:val="23"/>
          <w:szCs w:val="23"/>
        </w:rPr>
      </w:pPr>
      <w:r w:rsidRPr="00D31508">
        <w:rPr>
          <w:sz w:val="23"/>
          <w:szCs w:val="23"/>
        </w:rPr>
        <w:t xml:space="preserve">This paper is the </w:t>
      </w:r>
      <w:r w:rsidR="00642496">
        <w:rPr>
          <w:sz w:val="23"/>
          <w:szCs w:val="23"/>
        </w:rPr>
        <w:t>second</w:t>
      </w:r>
      <w:r w:rsidRPr="00D31508">
        <w:rPr>
          <w:sz w:val="23"/>
          <w:szCs w:val="23"/>
        </w:rPr>
        <w:t xml:space="preserve"> of a series making recommendations for the Government’s planned Working for Families (WFF) overhaul. The full set of CPAG’s WFF recommendations includes:</w:t>
      </w:r>
    </w:p>
    <w:p w14:paraId="37053648" w14:textId="0DC3DF26" w:rsidR="00005377" w:rsidRPr="00D31508" w:rsidRDefault="00005377" w:rsidP="00005377">
      <w:pPr>
        <w:pStyle w:val="ListParagraph"/>
        <w:numPr>
          <w:ilvl w:val="0"/>
          <w:numId w:val="14"/>
        </w:numPr>
        <w:ind w:left="426"/>
        <w:rPr>
          <w:sz w:val="23"/>
          <w:szCs w:val="23"/>
        </w:rPr>
      </w:pPr>
      <w:r w:rsidRPr="00D31508">
        <w:rPr>
          <w:sz w:val="23"/>
          <w:szCs w:val="23"/>
        </w:rPr>
        <w:t xml:space="preserve">Indexing WFF payment rates to wages to halt relative erosion of income support for children, </w:t>
      </w:r>
      <w:r w:rsidRPr="008F0E1D">
        <w:rPr>
          <w:sz w:val="23"/>
          <w:szCs w:val="23"/>
        </w:rPr>
        <w:t>and indexing WFF thresholds, to CPI or minimum wage</w:t>
      </w:r>
      <w:r w:rsidR="008B5B29">
        <w:rPr>
          <w:sz w:val="23"/>
          <w:szCs w:val="23"/>
        </w:rPr>
        <w:t>.</w:t>
      </w:r>
      <w:r w:rsidR="00642496">
        <w:rPr>
          <w:iCs/>
          <w:sz w:val="23"/>
          <w:szCs w:val="23"/>
        </w:rPr>
        <w:t xml:space="preserve"> (</w:t>
      </w:r>
      <w:r w:rsidR="008B5B29">
        <w:rPr>
          <w:iCs/>
          <w:sz w:val="23"/>
          <w:szCs w:val="23"/>
        </w:rPr>
        <w:t>S</w:t>
      </w:r>
      <w:r w:rsidR="00642496">
        <w:rPr>
          <w:iCs/>
          <w:sz w:val="23"/>
          <w:szCs w:val="23"/>
        </w:rPr>
        <w:t xml:space="preserve">ubject of </w:t>
      </w:r>
      <w:hyperlink r:id="rId13" w:history="1">
        <w:r w:rsidR="00642496" w:rsidRPr="00642496">
          <w:rPr>
            <w:rStyle w:val="Hyperlink"/>
            <w:iCs/>
            <w:sz w:val="23"/>
            <w:szCs w:val="23"/>
          </w:rPr>
          <w:t>Part 1</w:t>
        </w:r>
      </w:hyperlink>
      <w:hyperlink r:id="rId14" w:history="1">
        <w:r w:rsidR="00642496" w:rsidRPr="008B5B29">
          <w:rPr>
            <w:rStyle w:val="Hyperlink"/>
            <w:iCs/>
            <w:sz w:val="23"/>
            <w:szCs w:val="23"/>
          </w:rPr>
          <w:t xml:space="preserve">: Ensuring Adequate Indexation of </w:t>
        </w:r>
        <w:r w:rsidR="00642496" w:rsidRPr="008B5B29">
          <w:rPr>
            <w:rStyle w:val="Hyperlink"/>
            <w:i/>
            <w:sz w:val="23"/>
            <w:szCs w:val="23"/>
          </w:rPr>
          <w:t>Working For Families</w:t>
        </w:r>
      </w:hyperlink>
      <w:r w:rsidR="008B5B29">
        <w:rPr>
          <w:iCs/>
          <w:sz w:val="23"/>
          <w:szCs w:val="23"/>
        </w:rPr>
        <w:t>.</w:t>
      </w:r>
      <w:r w:rsidR="00642496">
        <w:rPr>
          <w:iCs/>
          <w:sz w:val="23"/>
          <w:szCs w:val="23"/>
        </w:rPr>
        <w:t>)</w:t>
      </w:r>
    </w:p>
    <w:p w14:paraId="5E003F12" w14:textId="2E546F06" w:rsidR="00005377" w:rsidRDefault="00005377" w:rsidP="00005377">
      <w:pPr>
        <w:pStyle w:val="ListParagraph"/>
        <w:numPr>
          <w:ilvl w:val="0"/>
          <w:numId w:val="14"/>
        </w:numPr>
        <w:ind w:left="426"/>
        <w:rPr>
          <w:sz w:val="23"/>
          <w:szCs w:val="23"/>
        </w:rPr>
      </w:pPr>
      <w:r w:rsidRPr="00D31508">
        <w:rPr>
          <w:sz w:val="23"/>
          <w:szCs w:val="23"/>
        </w:rPr>
        <w:t xml:space="preserve">Make WFF child-centric by decoupling it from all paid work requirements. This entails extending the equivalent of the In-Work Tax Credit to all low-income children, whether their parents are on-benefit </w:t>
      </w:r>
      <w:r>
        <w:rPr>
          <w:sz w:val="23"/>
          <w:szCs w:val="23"/>
        </w:rPr>
        <w:t xml:space="preserve">or not, </w:t>
      </w:r>
      <w:r w:rsidRPr="00D31508">
        <w:rPr>
          <w:sz w:val="23"/>
          <w:szCs w:val="23"/>
        </w:rPr>
        <w:t>in order to help ensure incomes for all children are adequate in the most cost-effective manner.</w:t>
      </w:r>
      <w:r w:rsidR="00642496">
        <w:rPr>
          <w:sz w:val="23"/>
          <w:szCs w:val="23"/>
        </w:rPr>
        <w:t xml:space="preserve"> (A recommendation of this current paper</w:t>
      </w:r>
      <w:r w:rsidR="008B5B29">
        <w:rPr>
          <w:sz w:val="23"/>
          <w:szCs w:val="23"/>
        </w:rPr>
        <w:t>.</w:t>
      </w:r>
      <w:r w:rsidR="00642496">
        <w:rPr>
          <w:sz w:val="23"/>
          <w:szCs w:val="23"/>
        </w:rPr>
        <w:t>)</w:t>
      </w:r>
    </w:p>
    <w:p w14:paraId="4A808A5A" w14:textId="77777777" w:rsidR="00005377" w:rsidRPr="00D31508" w:rsidRDefault="00005377" w:rsidP="00005377">
      <w:pPr>
        <w:pStyle w:val="ListParagraph"/>
        <w:numPr>
          <w:ilvl w:val="0"/>
          <w:numId w:val="14"/>
        </w:numPr>
        <w:ind w:left="426"/>
        <w:rPr>
          <w:sz w:val="23"/>
          <w:szCs w:val="23"/>
        </w:rPr>
      </w:pPr>
      <w:r w:rsidRPr="008F0E1D">
        <w:rPr>
          <w:sz w:val="23"/>
          <w:szCs w:val="23"/>
        </w:rPr>
        <w:t xml:space="preserve">Increasing Family Tax Credit payment rates, over and above indexation, as a one-off (in conjunction with benefit increases), </w:t>
      </w:r>
      <w:r w:rsidRPr="00D31508">
        <w:rPr>
          <w:sz w:val="23"/>
          <w:szCs w:val="23"/>
        </w:rPr>
        <w:t>to help ensure incomes for all children are adequate</w:t>
      </w:r>
      <w:r>
        <w:rPr>
          <w:sz w:val="23"/>
          <w:szCs w:val="23"/>
        </w:rPr>
        <w:t xml:space="preserve"> and reduce government reliance on the Accommodation Supplement. </w:t>
      </w:r>
    </w:p>
    <w:p w14:paraId="40487F5A" w14:textId="77777777" w:rsidR="00005377" w:rsidRPr="00D31508" w:rsidRDefault="00005377" w:rsidP="00005377">
      <w:pPr>
        <w:pStyle w:val="ListParagraph"/>
        <w:numPr>
          <w:ilvl w:val="0"/>
          <w:numId w:val="14"/>
        </w:numPr>
        <w:ind w:left="426"/>
        <w:rPr>
          <w:sz w:val="23"/>
          <w:szCs w:val="23"/>
        </w:rPr>
      </w:pPr>
      <w:r w:rsidRPr="00D31508">
        <w:rPr>
          <w:sz w:val="23"/>
          <w:szCs w:val="23"/>
        </w:rPr>
        <w:t>Changing the WFF name, after appropriate consultation</w:t>
      </w:r>
      <w:r>
        <w:rPr>
          <w:sz w:val="23"/>
          <w:szCs w:val="23"/>
        </w:rPr>
        <w:t>,</w:t>
      </w:r>
      <w:r w:rsidRPr="00D31508">
        <w:rPr>
          <w:sz w:val="23"/>
          <w:szCs w:val="23"/>
        </w:rPr>
        <w:t xml:space="preserve"> to better reflect the purpose of ensuring all children can flourish, free of financial need.</w:t>
      </w:r>
    </w:p>
    <w:p w14:paraId="76A8C008" w14:textId="77777777" w:rsidR="00642496" w:rsidRDefault="00005377" w:rsidP="00005377">
      <w:pPr>
        <w:pStyle w:val="ListParagraph"/>
        <w:numPr>
          <w:ilvl w:val="0"/>
          <w:numId w:val="14"/>
        </w:numPr>
        <w:ind w:left="426"/>
        <w:rPr>
          <w:sz w:val="23"/>
          <w:szCs w:val="23"/>
        </w:rPr>
      </w:pPr>
      <w:r w:rsidRPr="00D31508">
        <w:rPr>
          <w:sz w:val="23"/>
          <w:szCs w:val="23"/>
        </w:rPr>
        <w:t>Abolishing the Minimum Family Tax Credit in favour of a fully seamless and integrated income support progression between the benefit system and paid work, in order to reduce insecurity of potential reduced income due to system gaps and potential faults</w:t>
      </w:r>
      <w:r>
        <w:rPr>
          <w:sz w:val="23"/>
          <w:szCs w:val="23"/>
        </w:rPr>
        <w:t>.</w:t>
      </w:r>
    </w:p>
    <w:p w14:paraId="7C2AF04B" w14:textId="17DC1181" w:rsidR="00C6787A" w:rsidRPr="00642496" w:rsidRDefault="00005377" w:rsidP="00F62C0A">
      <w:pPr>
        <w:pStyle w:val="ListParagraph"/>
        <w:numPr>
          <w:ilvl w:val="0"/>
          <w:numId w:val="14"/>
        </w:numPr>
        <w:ind w:left="426"/>
        <w:rPr>
          <w:sz w:val="23"/>
          <w:szCs w:val="23"/>
        </w:rPr>
      </w:pPr>
      <w:r w:rsidRPr="00642496">
        <w:rPr>
          <w:sz w:val="23"/>
          <w:szCs w:val="23"/>
        </w:rPr>
        <w:t>Decreasing the WFF abatement rate for low-income families, in order to lower their effective marginal tax rates.</w:t>
      </w:r>
      <w:r w:rsidRPr="00642496">
        <w:rPr>
          <w:b/>
          <w:bCs/>
          <w:sz w:val="36"/>
          <w:szCs w:val="36"/>
        </w:rPr>
        <w:br w:type="page"/>
      </w:r>
    </w:p>
    <w:p w14:paraId="4147F785" w14:textId="4FD0642A" w:rsidR="00830250" w:rsidRPr="0059452A" w:rsidRDefault="00642496" w:rsidP="00642496">
      <w:pPr>
        <w:pStyle w:val="Heading2"/>
        <w:spacing w:after="120"/>
      </w:pPr>
      <w:r>
        <w:lastRenderedPageBreak/>
        <w:t xml:space="preserve">Introduction </w:t>
      </w:r>
      <w:r w:rsidR="00F64C9F">
        <w:tab/>
      </w:r>
    </w:p>
    <w:p w14:paraId="28B69302" w14:textId="616E120C" w:rsidR="00830250" w:rsidRDefault="00830250" w:rsidP="00900E80">
      <w:pPr>
        <w:spacing w:after="120"/>
      </w:pPr>
      <w:r>
        <w:t xml:space="preserve">This backgrounder provides a comparison of the Australian and New Zealand family tax credits. This serves as an update to our more comprehensive comparison of Australia and New Zealand, </w:t>
      </w:r>
      <w:hyperlink r:id="rId15" w:history="1">
        <w:r w:rsidR="009A1677">
          <w:rPr>
            <w:rStyle w:val="Hyperlink"/>
            <w:i/>
            <w:iCs/>
          </w:rPr>
          <w:t>Family Tax Credits: D</w:t>
        </w:r>
        <w:r w:rsidRPr="000B1EE4">
          <w:rPr>
            <w:rStyle w:val="Hyperlink"/>
            <w:i/>
            <w:iCs/>
          </w:rPr>
          <w:t>o children get the support in New Zealand that they would get in Australia?</w:t>
        </w:r>
      </w:hyperlink>
      <w:r w:rsidR="000C3DE5">
        <w:rPr>
          <w:rStyle w:val="Hyperlink"/>
        </w:rPr>
        <w:t>,</w:t>
      </w:r>
      <w:r w:rsidR="00C6787A" w:rsidRPr="00C6787A">
        <w:t xml:space="preserve"> </w:t>
      </w:r>
      <w:r w:rsidR="0025265D">
        <w:t>(</w:t>
      </w:r>
      <w:r w:rsidR="00C6787A">
        <w:t>CPAG June 2020</w:t>
      </w:r>
      <w:r w:rsidR="0025265D">
        <w:t>)</w:t>
      </w:r>
      <w:r w:rsidR="00CC1789">
        <w:t>.</w:t>
      </w:r>
    </w:p>
    <w:p w14:paraId="072DD8D7" w14:textId="1411180F" w:rsidR="00431CD0" w:rsidRDefault="0025265D" w:rsidP="00F62C0A">
      <w:r>
        <w:t>B</w:t>
      </w:r>
      <w:r w:rsidR="009C4C61">
        <w:t xml:space="preserve">oth </w:t>
      </w:r>
      <w:r>
        <w:t xml:space="preserve">countries </w:t>
      </w:r>
      <w:r w:rsidR="009C4C61">
        <w:t>use a tax</w:t>
      </w:r>
      <w:r w:rsidR="008D0BD4">
        <w:t>-</w:t>
      </w:r>
      <w:r w:rsidR="009C4C61">
        <w:t xml:space="preserve">funded </w:t>
      </w:r>
      <w:r w:rsidR="008D0BD4">
        <w:t>p</w:t>
      </w:r>
      <w:r w:rsidR="009C4C61">
        <w:t>ayment to the caregiver to help with the costs of children</w:t>
      </w:r>
      <w:r w:rsidR="002C7869">
        <w:t>,</w:t>
      </w:r>
      <w:r w:rsidR="009C4C61">
        <w:t xml:space="preserve"> but </w:t>
      </w:r>
      <w:r w:rsidR="008D0BD4">
        <w:t>they differ</w:t>
      </w:r>
      <w:r w:rsidR="009C4C61">
        <w:t xml:space="preserve"> </w:t>
      </w:r>
      <w:r w:rsidR="008D0BD4">
        <w:t>f</w:t>
      </w:r>
      <w:r w:rsidR="009C4C61">
        <w:t>rom each other in the details of design of these family tax credits/ben</w:t>
      </w:r>
      <w:r w:rsidR="008D0BD4">
        <w:t>e</w:t>
      </w:r>
      <w:r w:rsidR="009C4C61">
        <w:t xml:space="preserve">fits. </w:t>
      </w:r>
      <w:r w:rsidR="00942230">
        <w:t xml:space="preserve">For </w:t>
      </w:r>
      <w:r w:rsidR="00830250">
        <w:t xml:space="preserve">our </w:t>
      </w:r>
      <w:r w:rsidR="00942230">
        <w:t>purposes here</w:t>
      </w:r>
      <w:r w:rsidR="009F489D">
        <w:t>,</w:t>
      </w:r>
      <w:r w:rsidR="00942230">
        <w:t xml:space="preserve"> </w:t>
      </w:r>
      <w:r w:rsidR="008D0BD4">
        <w:t xml:space="preserve">we limit </w:t>
      </w:r>
      <w:r w:rsidR="00942230">
        <w:t xml:space="preserve">the </w:t>
      </w:r>
      <w:r>
        <w:t>comparison to</w:t>
      </w:r>
      <w:r w:rsidR="00942230">
        <w:t xml:space="preserve"> </w:t>
      </w:r>
      <w:r w:rsidR="008D0BD4">
        <w:t>low-</w:t>
      </w:r>
      <w:r w:rsidR="00CA61FC">
        <w:t xml:space="preserve">income </w:t>
      </w:r>
      <w:r w:rsidR="00942230">
        <w:t>families with</w:t>
      </w:r>
      <w:r w:rsidR="00946D51">
        <w:t xml:space="preserve"> </w:t>
      </w:r>
      <w:r w:rsidR="00942230">
        <w:t xml:space="preserve">dependent </w:t>
      </w:r>
      <w:r w:rsidR="00946D51">
        <w:t xml:space="preserve">children </w:t>
      </w:r>
      <w:r w:rsidR="00F62C0A">
        <w:t>aged</w:t>
      </w:r>
      <w:r w:rsidR="00946D51">
        <w:t xml:space="preserve"> 5-18</w:t>
      </w:r>
      <w:r w:rsidR="00C05049">
        <w:t xml:space="preserve"> (19 in Australia)</w:t>
      </w:r>
      <w:r w:rsidR="00946D51">
        <w:t xml:space="preserve">. </w:t>
      </w:r>
      <w:r w:rsidR="00431CD0">
        <w:t>A broader study would include those aged 0-5, but each country has different provisions</w:t>
      </w:r>
      <w:r w:rsidR="00C05049">
        <w:t xml:space="preserve"> for younger children</w:t>
      </w:r>
      <w:r w:rsidR="00431CD0">
        <w:t xml:space="preserve"> and it would be </w:t>
      </w:r>
      <w:r w:rsidR="00C05049">
        <w:t xml:space="preserve">more </w:t>
      </w:r>
      <w:r w:rsidR="00431CD0">
        <w:t xml:space="preserve">complex. The simple picture we paint by </w:t>
      </w:r>
      <w:r w:rsidR="00F64C9F">
        <w:t>a</w:t>
      </w:r>
      <w:r w:rsidR="00431CD0">
        <w:t xml:space="preserve"> </w:t>
      </w:r>
      <w:r w:rsidR="005006AF">
        <w:t xml:space="preserve">more </w:t>
      </w:r>
      <w:r w:rsidR="00431CD0">
        <w:t xml:space="preserve">limited comparison </w:t>
      </w:r>
      <w:r w:rsidR="00C05049">
        <w:t>is sufficient to highlight</w:t>
      </w:r>
      <w:r w:rsidR="00431CD0">
        <w:t xml:space="preserve"> the</w:t>
      </w:r>
      <w:r w:rsidR="000C3DE5">
        <w:t xml:space="preserve"> significant</w:t>
      </w:r>
      <w:r w:rsidR="00431CD0">
        <w:t xml:space="preserve"> gulf between the two countries of the treatment of families supported by a benefit and those who are not.</w:t>
      </w:r>
    </w:p>
    <w:p w14:paraId="0B2F6788" w14:textId="137CEEF3" w:rsidR="00642496" w:rsidRDefault="00642496" w:rsidP="00642496">
      <w:pPr>
        <w:pStyle w:val="Heading2"/>
        <w:spacing w:after="120"/>
      </w:pPr>
      <w:r>
        <w:t>Comparison</w:t>
      </w:r>
    </w:p>
    <w:p w14:paraId="67C87A0C" w14:textId="5E4E932E" w:rsidR="00DD3AD9" w:rsidRDefault="00917077" w:rsidP="00E058B9">
      <w:r>
        <w:t>The starting point for comparison</w:t>
      </w:r>
      <w:r w:rsidR="00567071">
        <w:t xml:space="preserve"> is 1 July 2018</w:t>
      </w:r>
      <w:r w:rsidR="00830250">
        <w:t>,</w:t>
      </w:r>
      <w:r w:rsidR="00942230">
        <w:t xml:space="preserve"> when the NZ </w:t>
      </w:r>
      <w:hyperlink r:id="rId16" w:history="1">
        <w:r w:rsidR="00942230" w:rsidRPr="00830250">
          <w:rPr>
            <w:rStyle w:val="Hyperlink"/>
          </w:rPr>
          <w:t xml:space="preserve">Families </w:t>
        </w:r>
        <w:r w:rsidR="00830250" w:rsidRPr="00830250">
          <w:rPr>
            <w:rStyle w:val="Hyperlink"/>
          </w:rPr>
          <w:t>P</w:t>
        </w:r>
        <w:r w:rsidR="00942230" w:rsidRPr="00830250">
          <w:rPr>
            <w:rStyle w:val="Hyperlink"/>
          </w:rPr>
          <w:t>ackage</w:t>
        </w:r>
      </w:hyperlink>
      <w:r w:rsidR="00942230">
        <w:t xml:space="preserve"> was </w:t>
      </w:r>
      <w:r w:rsidR="00830250">
        <w:t>implemented</w:t>
      </w:r>
      <w:r w:rsidR="00614301">
        <w:t xml:space="preserve">. The end point is </w:t>
      </w:r>
      <w:r w:rsidR="00DD3AD9">
        <w:t xml:space="preserve">an estimated </w:t>
      </w:r>
      <w:r w:rsidR="0076356F">
        <w:t>1 July</w:t>
      </w:r>
      <w:r w:rsidR="002E044E">
        <w:t xml:space="preserve"> </w:t>
      </w:r>
      <w:r w:rsidR="00DD3AD9">
        <w:t xml:space="preserve">2023 position based on no changes except for those announced in November 2021 (an </w:t>
      </w:r>
      <w:r w:rsidR="002E044E">
        <w:t xml:space="preserve">automatic </w:t>
      </w:r>
      <w:r w:rsidR="00DD3AD9">
        <w:t xml:space="preserve">inflation adjustment plus </w:t>
      </w:r>
      <w:r w:rsidR="002E044E">
        <w:t xml:space="preserve">a </w:t>
      </w:r>
      <w:r w:rsidR="00DD3AD9">
        <w:t>$5 increase to the Family Tax Credit</w:t>
      </w:r>
      <w:r w:rsidR="002E044E">
        <w:t xml:space="preserve"> </w:t>
      </w:r>
      <w:r w:rsidR="00DD3AD9">
        <w:t>scheduled for April 2022).</w:t>
      </w:r>
      <w:r w:rsidR="00DD3AD9">
        <w:rPr>
          <w:rStyle w:val="FootnoteReference"/>
        </w:rPr>
        <w:footnoteReference w:id="1"/>
      </w:r>
    </w:p>
    <w:p w14:paraId="36B146B1" w14:textId="30B8D4C3" w:rsidR="00713099" w:rsidRDefault="00130069" w:rsidP="00E058B9">
      <w:r>
        <w:t>Table 1</w:t>
      </w:r>
      <w:r w:rsidR="00752C45">
        <w:t xml:space="preserve">a and </w:t>
      </w:r>
      <w:r w:rsidR="002960C6">
        <w:t>Table 1</w:t>
      </w:r>
      <w:r w:rsidR="00752C45">
        <w:t xml:space="preserve">b </w:t>
      </w:r>
      <w:r w:rsidR="0071159B">
        <w:t>contrast</w:t>
      </w:r>
      <w:r>
        <w:t xml:space="preserve"> the </w:t>
      </w:r>
      <w:r w:rsidRPr="00570E49">
        <w:t>maximum</w:t>
      </w:r>
      <w:r>
        <w:t xml:space="preserve"> </w:t>
      </w:r>
      <w:r w:rsidR="00B363A6">
        <w:t xml:space="preserve">weekly </w:t>
      </w:r>
      <w:r w:rsidR="00CA61FC">
        <w:t>Working For Families (WFF)</w:t>
      </w:r>
      <w:r>
        <w:t xml:space="preserve"> </w:t>
      </w:r>
      <w:r w:rsidR="005730BE">
        <w:t xml:space="preserve">tax credit </w:t>
      </w:r>
      <w:r>
        <w:t xml:space="preserve">support for </w:t>
      </w:r>
      <w:r w:rsidR="0071159B">
        <w:t xml:space="preserve">each child in </w:t>
      </w:r>
      <w:r w:rsidR="00054517">
        <w:t xml:space="preserve">New Zealand </w:t>
      </w:r>
      <w:r>
        <w:t>families</w:t>
      </w:r>
      <w:r w:rsidR="002960C6">
        <w:t>,</w:t>
      </w:r>
      <w:r>
        <w:t xml:space="preserve"> on</w:t>
      </w:r>
      <w:r w:rsidR="00CD6991">
        <w:t>-</w:t>
      </w:r>
      <w:r>
        <w:t xml:space="preserve"> and off</w:t>
      </w:r>
      <w:r w:rsidR="00CD6991">
        <w:t>-</w:t>
      </w:r>
      <w:r>
        <w:t xml:space="preserve">benefit. </w:t>
      </w:r>
      <w:r w:rsidR="00713099">
        <w:t>Families</w:t>
      </w:r>
      <w:r w:rsidR="00CD6991">
        <w:t xml:space="preserve"> who are receiving a main benefit</w:t>
      </w:r>
      <w:r w:rsidR="00713099">
        <w:t xml:space="preserve"> do not qualify for the </w:t>
      </w:r>
      <w:r w:rsidR="00C0278D">
        <w:t>In</w:t>
      </w:r>
      <w:r w:rsidR="00DD3AD9">
        <w:t>-</w:t>
      </w:r>
      <w:r w:rsidR="00C0278D">
        <w:t>Work Tax Credit (</w:t>
      </w:r>
      <w:r w:rsidR="00713099">
        <w:t>IWTC</w:t>
      </w:r>
      <w:r w:rsidR="00C0278D">
        <w:t>)</w:t>
      </w:r>
      <w:r w:rsidR="00713099">
        <w:t xml:space="preserve">, </w:t>
      </w:r>
      <w:r w:rsidR="002E044E">
        <w:t xml:space="preserve">even if they are in paid work, </w:t>
      </w:r>
      <w:r w:rsidR="00CD6991">
        <w:t xml:space="preserve">meaning they miss </w:t>
      </w:r>
      <w:r w:rsidR="00713099">
        <w:t>out on a</w:t>
      </w:r>
      <w:r w:rsidR="0071159B">
        <w:t xml:space="preserve"> weekly $72.50</w:t>
      </w:r>
      <w:r w:rsidR="00C05049">
        <w:t>,</w:t>
      </w:r>
      <w:r w:rsidR="0071159B">
        <w:t xml:space="preserve"> or an</w:t>
      </w:r>
      <w:r w:rsidR="00713099">
        <w:t xml:space="preserve"> annual income of $3</w:t>
      </w:r>
      <w:r w:rsidR="00CD6991">
        <w:t>,</w:t>
      </w:r>
      <w:r w:rsidR="00713099">
        <w:t xml:space="preserve">770 </w:t>
      </w:r>
      <w:r w:rsidR="0071159B">
        <w:t xml:space="preserve">when there is up to </w:t>
      </w:r>
      <w:r w:rsidR="00713099">
        <w:t>3 children</w:t>
      </w:r>
      <w:r w:rsidR="008D0BD4">
        <w:t>,</w:t>
      </w:r>
      <w:r w:rsidR="00713099">
        <w:t xml:space="preserve"> and an extra </w:t>
      </w:r>
      <w:r w:rsidR="0071159B">
        <w:t xml:space="preserve">$15 weekly income, or </w:t>
      </w:r>
      <w:r w:rsidR="00713099">
        <w:t>$750 per</w:t>
      </w:r>
      <w:r w:rsidR="00CD6991">
        <w:t xml:space="preserve"> annum </w:t>
      </w:r>
      <w:r w:rsidR="0071159B">
        <w:t xml:space="preserve">for each child </w:t>
      </w:r>
      <w:r w:rsidR="005006AF">
        <w:t xml:space="preserve">in </w:t>
      </w:r>
      <w:r w:rsidR="00713099">
        <w:t>larger families</w:t>
      </w:r>
      <w:r w:rsidR="00E931B0">
        <w:t xml:space="preserve"> (</w:t>
      </w:r>
      <w:r w:rsidR="00CD6991">
        <w:t xml:space="preserve">see </w:t>
      </w:r>
      <w:r w:rsidR="00E931B0">
        <w:t>Table 1c)</w:t>
      </w:r>
      <w:r w:rsidR="00713099">
        <w:t xml:space="preserve">. </w:t>
      </w:r>
    </w:p>
    <w:p w14:paraId="2A886D9C" w14:textId="21ECD941" w:rsidR="00984471" w:rsidRPr="006C30CE" w:rsidRDefault="0036603C" w:rsidP="00900E80">
      <w:pPr>
        <w:spacing w:after="0"/>
        <w:rPr>
          <w:b/>
          <w:bCs/>
        </w:rPr>
      </w:pPr>
      <w:r w:rsidRPr="006C30CE">
        <w:rPr>
          <w:b/>
          <w:bCs/>
        </w:rPr>
        <w:t>Table 1</w:t>
      </w:r>
      <w:r w:rsidR="00E10831" w:rsidRPr="006C30CE">
        <w:rPr>
          <w:b/>
          <w:bCs/>
        </w:rPr>
        <w:t xml:space="preserve">a </w:t>
      </w:r>
      <w:r w:rsidR="007B56D2">
        <w:rPr>
          <w:b/>
          <w:bCs/>
        </w:rPr>
        <w:t>Maximum n</w:t>
      </w:r>
      <w:r w:rsidR="00450E09" w:rsidRPr="006C30CE">
        <w:rPr>
          <w:b/>
          <w:bCs/>
        </w:rPr>
        <w:t>omin</w:t>
      </w:r>
      <w:r w:rsidR="00C72271" w:rsidRPr="006C30CE">
        <w:rPr>
          <w:b/>
          <w:bCs/>
        </w:rPr>
        <w:t>al</w:t>
      </w:r>
      <w:r w:rsidR="00450E09" w:rsidRPr="006C30CE">
        <w:rPr>
          <w:b/>
          <w:bCs/>
        </w:rPr>
        <w:t xml:space="preserve"> </w:t>
      </w:r>
      <w:r w:rsidR="00FC13CE">
        <w:rPr>
          <w:b/>
          <w:bCs/>
        </w:rPr>
        <w:t>weekly</w:t>
      </w:r>
      <w:r w:rsidR="00C6787A">
        <w:rPr>
          <w:b/>
          <w:bCs/>
        </w:rPr>
        <w:t xml:space="preserve"> per </w:t>
      </w:r>
      <w:r w:rsidR="00305CC4" w:rsidRPr="006C30CE">
        <w:rPr>
          <w:b/>
          <w:bCs/>
        </w:rPr>
        <w:t xml:space="preserve">child </w:t>
      </w:r>
      <w:r w:rsidR="00450E09" w:rsidRPr="006C30CE">
        <w:rPr>
          <w:b/>
          <w:bCs/>
        </w:rPr>
        <w:t xml:space="preserve">tax credits </w:t>
      </w:r>
      <w:r w:rsidR="00305CC4" w:rsidRPr="006C30CE">
        <w:rPr>
          <w:b/>
          <w:bCs/>
        </w:rPr>
        <w:t>in NZ</w:t>
      </w:r>
      <w:r w:rsidR="00E10831" w:rsidRPr="006C30CE">
        <w:rPr>
          <w:b/>
          <w:bCs/>
        </w:rPr>
        <w:t xml:space="preserve"> </w:t>
      </w:r>
      <w:r w:rsidR="00E10831" w:rsidRPr="007718FE">
        <w:rPr>
          <w:b/>
          <w:bCs/>
          <w:i/>
          <w:iCs/>
        </w:rPr>
        <w:t>with</w:t>
      </w:r>
      <w:r w:rsidR="00E10831" w:rsidRPr="006C30CE">
        <w:rPr>
          <w:b/>
          <w:bCs/>
        </w:rPr>
        <w:t xml:space="preserve"> IWTC</w:t>
      </w:r>
      <w:r w:rsidR="001E1927">
        <w:rPr>
          <w:b/>
          <w:bCs/>
        </w:rPr>
        <w:t xml:space="preserve"> (not on benefit) </w:t>
      </w:r>
      <w:r w:rsidR="000B1EE4">
        <w:rPr>
          <w:b/>
          <w:bCs/>
        </w:rPr>
        <w:t>(NZD)</w:t>
      </w:r>
    </w:p>
    <w:tbl>
      <w:tblPr>
        <w:tblW w:w="6594" w:type="dxa"/>
        <w:tblInd w:w="113" w:type="dxa"/>
        <w:tblLook w:val="04A0" w:firstRow="1" w:lastRow="0" w:firstColumn="1" w:lastColumn="0" w:noHBand="0" w:noVBand="1"/>
      </w:tblPr>
      <w:tblGrid>
        <w:gridCol w:w="1860"/>
        <w:gridCol w:w="960"/>
        <w:gridCol w:w="960"/>
        <w:gridCol w:w="1331"/>
        <w:gridCol w:w="1483"/>
      </w:tblGrid>
      <w:tr w:rsidR="00490EBE" w:rsidRPr="00490EBE" w14:paraId="6B63A9EC" w14:textId="77777777" w:rsidTr="00240C77">
        <w:trPr>
          <w:trHeight w:val="600"/>
        </w:trPr>
        <w:tc>
          <w:tcPr>
            <w:tcW w:w="1860" w:type="dxa"/>
            <w:tcBorders>
              <w:top w:val="single" w:sz="4" w:space="0" w:color="auto"/>
              <w:left w:val="single" w:sz="4" w:space="0" w:color="auto"/>
              <w:bottom w:val="single" w:sz="4" w:space="0" w:color="auto"/>
              <w:right w:val="nil"/>
            </w:tcBorders>
            <w:shd w:val="clear" w:color="auto" w:fill="auto"/>
            <w:vAlign w:val="bottom"/>
            <w:hideMark/>
          </w:tcPr>
          <w:p w14:paraId="00E46C1A" w14:textId="6F10930F" w:rsidR="00490EBE" w:rsidRPr="009743C2" w:rsidRDefault="007718FE" w:rsidP="00490EBE">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C</w:t>
            </w:r>
            <w:r w:rsidR="00490EBE" w:rsidRPr="009743C2">
              <w:rPr>
                <w:rFonts w:ascii="Calibri" w:eastAsia="Times New Roman" w:hAnsi="Calibri" w:cs="Calibri"/>
                <w:b/>
                <w:bCs/>
                <w:color w:val="000000"/>
                <w:lang w:eastAsia="en-NZ"/>
              </w:rPr>
              <w:t>hildren aged 5-1</w:t>
            </w:r>
            <w:r w:rsidR="00C05049">
              <w:rPr>
                <w:rFonts w:ascii="Calibri" w:eastAsia="Times New Roman" w:hAnsi="Calibri" w:cs="Calibri"/>
                <w:b/>
                <w:bCs/>
                <w:color w:val="000000"/>
                <w:lang w:eastAsia="en-NZ"/>
              </w:rPr>
              <w:t>8</w:t>
            </w:r>
            <w:r>
              <w:rPr>
                <w:rFonts w:ascii="Calibri" w:eastAsia="Times New Roman" w:hAnsi="Calibri" w:cs="Calibri"/>
                <w:b/>
                <w:bCs/>
                <w:color w:val="000000"/>
                <w:lang w:eastAsia="en-NZ"/>
              </w:rPr>
              <w:t>,</w:t>
            </w:r>
            <w:r w:rsidR="0071159B">
              <w:rPr>
                <w:rFonts w:ascii="Calibri" w:eastAsia="Times New Roman" w:hAnsi="Calibri" w:cs="Calibri"/>
                <w:b/>
                <w:bCs/>
                <w:color w:val="000000"/>
                <w:lang w:eastAsia="en-NZ"/>
              </w:rPr>
              <w:t xml:space="preserve"> per child</w:t>
            </w:r>
          </w:p>
        </w:tc>
        <w:tc>
          <w:tcPr>
            <w:tcW w:w="960" w:type="dxa"/>
            <w:tcBorders>
              <w:top w:val="single" w:sz="4" w:space="0" w:color="auto"/>
              <w:left w:val="nil"/>
              <w:bottom w:val="single" w:sz="4" w:space="0" w:color="auto"/>
              <w:right w:val="nil"/>
            </w:tcBorders>
            <w:shd w:val="clear" w:color="auto" w:fill="auto"/>
            <w:noWrap/>
            <w:vAlign w:val="bottom"/>
            <w:hideMark/>
          </w:tcPr>
          <w:p w14:paraId="6B8BB4EB" w14:textId="77777777" w:rsidR="0068008C" w:rsidRDefault="0068008C" w:rsidP="00490EBE">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As at</w:t>
            </w:r>
          </w:p>
          <w:p w14:paraId="5613D79E" w14:textId="41DA3763" w:rsidR="00490EBE" w:rsidRPr="009743C2" w:rsidRDefault="0071159B" w:rsidP="00490EBE">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00490EBE" w:rsidRPr="009743C2">
              <w:rPr>
                <w:rFonts w:ascii="Calibri" w:eastAsia="Times New Roman" w:hAnsi="Calibri" w:cs="Calibri"/>
                <w:b/>
                <w:bCs/>
                <w:color w:val="000000"/>
                <w:lang w:eastAsia="en-NZ"/>
              </w:rPr>
              <w:t>Jul-18</w:t>
            </w:r>
            <w:r w:rsidR="00662800">
              <w:rPr>
                <w:rFonts w:ascii="Calibri" w:eastAsia="Times New Roman" w:hAnsi="Calibri" w:cs="Calibri"/>
                <w:b/>
                <w:bCs/>
                <w:color w:val="000000"/>
                <w:lang w:eastAsia="en-NZ"/>
              </w:rPr>
              <w:t xml:space="preserve"> $</w:t>
            </w:r>
          </w:p>
        </w:tc>
        <w:tc>
          <w:tcPr>
            <w:tcW w:w="960" w:type="dxa"/>
            <w:tcBorders>
              <w:top w:val="single" w:sz="4" w:space="0" w:color="auto"/>
              <w:left w:val="nil"/>
              <w:bottom w:val="single" w:sz="4" w:space="0" w:color="auto"/>
              <w:right w:val="nil"/>
            </w:tcBorders>
            <w:shd w:val="clear" w:color="auto" w:fill="auto"/>
            <w:noWrap/>
            <w:vAlign w:val="bottom"/>
            <w:hideMark/>
          </w:tcPr>
          <w:p w14:paraId="5243AEC0" w14:textId="38B1FC03" w:rsidR="00490EBE" w:rsidRPr="009743C2" w:rsidRDefault="0071159B" w:rsidP="00490EBE">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00490EBE" w:rsidRPr="009743C2">
              <w:rPr>
                <w:rFonts w:ascii="Calibri" w:eastAsia="Times New Roman" w:hAnsi="Calibri" w:cs="Calibri"/>
                <w:b/>
                <w:bCs/>
                <w:color w:val="000000"/>
                <w:lang w:eastAsia="en-NZ"/>
              </w:rPr>
              <w:t>Jul-21</w:t>
            </w:r>
            <w:r w:rsidR="00662800">
              <w:rPr>
                <w:rFonts w:ascii="Calibri" w:eastAsia="Times New Roman" w:hAnsi="Calibri" w:cs="Calibri"/>
                <w:b/>
                <w:bCs/>
                <w:color w:val="000000"/>
                <w:lang w:eastAsia="en-NZ"/>
              </w:rPr>
              <w:t xml:space="preserve"> $</w:t>
            </w:r>
          </w:p>
        </w:tc>
        <w:tc>
          <w:tcPr>
            <w:tcW w:w="1331" w:type="dxa"/>
            <w:tcBorders>
              <w:top w:val="single" w:sz="4" w:space="0" w:color="auto"/>
              <w:left w:val="nil"/>
              <w:bottom w:val="single" w:sz="4" w:space="0" w:color="auto"/>
              <w:right w:val="nil"/>
            </w:tcBorders>
            <w:shd w:val="clear" w:color="auto" w:fill="auto"/>
            <w:noWrap/>
            <w:vAlign w:val="bottom"/>
            <w:hideMark/>
          </w:tcPr>
          <w:p w14:paraId="5F193B10" w14:textId="77777777" w:rsidR="002E732E" w:rsidRDefault="0068008C" w:rsidP="002E732E">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1-Jul </w:t>
            </w:r>
          </w:p>
          <w:p w14:paraId="0993E5B4" w14:textId="70EDE21F" w:rsidR="00490EBE" w:rsidRPr="009743C2" w:rsidRDefault="00852499" w:rsidP="0068008C">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23</w:t>
            </w:r>
            <w:r w:rsidR="00570E49">
              <w:rPr>
                <w:rFonts w:ascii="Calibri" w:eastAsia="Times New Roman" w:hAnsi="Calibri" w:cs="Calibri"/>
                <w:b/>
                <w:bCs/>
                <w:color w:val="000000"/>
                <w:lang w:eastAsia="en-NZ"/>
              </w:rPr>
              <w:t xml:space="preserve"> $</w:t>
            </w:r>
            <w:r w:rsidR="002E732E">
              <w:rPr>
                <w:rStyle w:val="FootnoteReference"/>
                <w:rFonts w:ascii="Calibri" w:eastAsia="Times New Roman" w:hAnsi="Calibri" w:cs="Calibri"/>
                <w:b/>
                <w:bCs/>
                <w:color w:val="000000"/>
                <w:lang w:eastAsia="en-NZ"/>
              </w:rPr>
              <w:footnoteReference w:id="2"/>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05292359" w14:textId="77777777" w:rsidR="007718FE" w:rsidRDefault="008F5F32" w:rsidP="0059452A">
            <w:pPr>
              <w:spacing w:after="0" w:line="240" w:lineRule="auto"/>
              <w:jc w:val="center"/>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5 year</w:t>
            </w:r>
          </w:p>
          <w:p w14:paraId="09DFD7BA" w14:textId="0AF7D6B4" w:rsidR="00490EBE" w:rsidRPr="009743C2" w:rsidRDefault="007718FE" w:rsidP="0059452A">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expected</w:t>
            </w:r>
            <w:r w:rsidR="008F5F32" w:rsidRPr="009743C2">
              <w:rPr>
                <w:rFonts w:ascii="Calibri" w:eastAsia="Times New Roman" w:hAnsi="Calibri" w:cs="Calibri"/>
                <w:b/>
                <w:bCs/>
                <w:color w:val="000000"/>
                <w:lang w:eastAsia="en-NZ"/>
              </w:rPr>
              <w:t xml:space="preserve"> </w:t>
            </w:r>
            <w:r w:rsidR="00490EBE" w:rsidRPr="009743C2">
              <w:rPr>
                <w:rFonts w:ascii="Calibri" w:eastAsia="Times New Roman" w:hAnsi="Calibri" w:cs="Calibri"/>
                <w:b/>
                <w:bCs/>
                <w:color w:val="000000"/>
                <w:lang w:eastAsia="en-NZ"/>
              </w:rPr>
              <w:t>increase</w:t>
            </w:r>
          </w:p>
        </w:tc>
      </w:tr>
      <w:tr w:rsidR="00240C77" w:rsidRPr="00490EBE" w14:paraId="3760564B" w14:textId="77777777" w:rsidTr="00C61183">
        <w:trPr>
          <w:trHeight w:val="300"/>
        </w:trPr>
        <w:tc>
          <w:tcPr>
            <w:tcW w:w="1860" w:type="dxa"/>
            <w:tcBorders>
              <w:top w:val="nil"/>
              <w:left w:val="single" w:sz="4" w:space="0" w:color="auto"/>
              <w:bottom w:val="nil"/>
              <w:right w:val="nil"/>
            </w:tcBorders>
            <w:shd w:val="clear" w:color="auto" w:fill="auto"/>
            <w:noWrap/>
            <w:vAlign w:val="bottom"/>
            <w:hideMark/>
          </w:tcPr>
          <w:p w14:paraId="697ABB24" w14:textId="06138B1A" w:rsidR="00240C77" w:rsidRPr="00490EBE" w:rsidRDefault="00240C77" w:rsidP="00240C77">
            <w:pPr>
              <w:spacing w:after="0" w:line="240" w:lineRule="auto"/>
              <w:ind w:left="492"/>
              <w:rPr>
                <w:rFonts w:ascii="Calibri" w:eastAsia="Times New Roman" w:hAnsi="Calibri" w:cs="Calibri"/>
                <w:color w:val="000000"/>
                <w:lang w:eastAsia="en-NZ"/>
              </w:rPr>
            </w:pPr>
            <w:r>
              <w:rPr>
                <w:rFonts w:ascii="Calibri" w:eastAsia="Times New Roman" w:hAnsi="Calibri" w:cs="Calibri"/>
                <w:color w:val="000000"/>
                <w:lang w:eastAsia="en-NZ"/>
              </w:rPr>
              <w:t>1</w:t>
            </w:r>
            <w:r w:rsidRPr="00900E80">
              <w:rPr>
                <w:rFonts w:ascii="Calibri" w:eastAsia="Times New Roman" w:hAnsi="Calibri" w:cs="Calibri"/>
                <w:color w:val="000000"/>
                <w:vertAlign w:val="superscript"/>
                <w:lang w:eastAsia="en-NZ"/>
              </w:rPr>
              <w:t xml:space="preserve">st </w:t>
            </w:r>
            <w:r w:rsidRPr="00490EBE">
              <w:rPr>
                <w:rFonts w:ascii="Calibri" w:eastAsia="Times New Roman" w:hAnsi="Calibri" w:cs="Calibri"/>
                <w:color w:val="000000"/>
                <w:lang w:eastAsia="en-NZ"/>
              </w:rPr>
              <w:t xml:space="preserve">child </w:t>
            </w:r>
          </w:p>
        </w:tc>
        <w:tc>
          <w:tcPr>
            <w:tcW w:w="960" w:type="dxa"/>
            <w:tcBorders>
              <w:top w:val="nil"/>
              <w:left w:val="nil"/>
              <w:bottom w:val="nil"/>
              <w:right w:val="nil"/>
            </w:tcBorders>
            <w:shd w:val="clear" w:color="auto" w:fill="auto"/>
            <w:noWrap/>
            <w:vAlign w:val="bottom"/>
            <w:hideMark/>
          </w:tcPr>
          <w:p w14:paraId="246A5063" w14:textId="0B151030" w:rsidR="00240C77" w:rsidRPr="00490EBE" w:rsidRDefault="00240C77" w:rsidP="00C61183">
            <w:pPr>
              <w:spacing w:after="0" w:line="240" w:lineRule="auto"/>
              <w:rPr>
                <w:rFonts w:ascii="Calibri" w:eastAsia="Times New Roman" w:hAnsi="Calibri" w:cs="Calibri"/>
                <w:color w:val="000000"/>
                <w:lang w:eastAsia="en-NZ"/>
              </w:rPr>
            </w:pPr>
            <w:r w:rsidRPr="00490EBE">
              <w:rPr>
                <w:rFonts w:ascii="Calibri" w:eastAsia="Times New Roman" w:hAnsi="Calibri" w:cs="Calibri"/>
                <w:color w:val="000000"/>
                <w:lang w:eastAsia="en-NZ"/>
              </w:rPr>
              <w:t>185.5</w:t>
            </w:r>
          </w:p>
        </w:tc>
        <w:tc>
          <w:tcPr>
            <w:tcW w:w="960" w:type="dxa"/>
            <w:tcBorders>
              <w:top w:val="nil"/>
              <w:left w:val="nil"/>
              <w:bottom w:val="nil"/>
              <w:right w:val="nil"/>
            </w:tcBorders>
            <w:shd w:val="clear" w:color="auto" w:fill="auto"/>
            <w:noWrap/>
            <w:vAlign w:val="bottom"/>
            <w:hideMark/>
          </w:tcPr>
          <w:p w14:paraId="1D9AA68E" w14:textId="421AAC72" w:rsidR="00240C77" w:rsidRPr="00490EBE" w:rsidRDefault="00240C77" w:rsidP="00C61183">
            <w:pPr>
              <w:spacing w:after="0" w:line="240" w:lineRule="auto"/>
              <w:rPr>
                <w:rFonts w:ascii="Calibri" w:eastAsia="Times New Roman" w:hAnsi="Calibri" w:cs="Calibri"/>
                <w:color w:val="000000"/>
                <w:lang w:eastAsia="en-NZ"/>
              </w:rPr>
            </w:pPr>
            <w:r w:rsidRPr="00490EBE">
              <w:rPr>
                <w:rFonts w:ascii="Calibri" w:eastAsia="Times New Roman" w:hAnsi="Calibri" w:cs="Calibri"/>
                <w:color w:val="000000"/>
                <w:lang w:eastAsia="en-NZ"/>
              </w:rPr>
              <w:t>185.5</w:t>
            </w:r>
          </w:p>
        </w:tc>
        <w:tc>
          <w:tcPr>
            <w:tcW w:w="1331" w:type="dxa"/>
            <w:tcBorders>
              <w:top w:val="nil"/>
              <w:left w:val="nil"/>
              <w:bottom w:val="nil"/>
              <w:right w:val="nil"/>
            </w:tcBorders>
            <w:shd w:val="clear" w:color="auto" w:fill="auto"/>
            <w:noWrap/>
            <w:vAlign w:val="bottom"/>
            <w:hideMark/>
          </w:tcPr>
          <w:p w14:paraId="50F45F17" w14:textId="6445E218" w:rsidR="00240C77" w:rsidRPr="00490EBE" w:rsidRDefault="00240C77" w:rsidP="00C61183">
            <w:pPr>
              <w:spacing w:after="0" w:line="240" w:lineRule="auto"/>
              <w:rPr>
                <w:rFonts w:ascii="Calibri" w:eastAsia="Times New Roman" w:hAnsi="Calibri" w:cs="Calibri"/>
                <w:color w:val="000000"/>
                <w:lang w:eastAsia="en-NZ"/>
              </w:rPr>
            </w:pPr>
            <w:r>
              <w:rPr>
                <w:rFonts w:ascii="Calibri" w:hAnsi="Calibri" w:cs="Calibri"/>
                <w:color w:val="000000"/>
              </w:rPr>
              <w:t>200.5</w:t>
            </w:r>
          </w:p>
        </w:tc>
        <w:tc>
          <w:tcPr>
            <w:tcW w:w="1483" w:type="dxa"/>
            <w:tcBorders>
              <w:top w:val="nil"/>
              <w:left w:val="nil"/>
              <w:bottom w:val="nil"/>
              <w:right w:val="single" w:sz="4" w:space="0" w:color="auto"/>
            </w:tcBorders>
            <w:shd w:val="clear" w:color="auto" w:fill="auto"/>
            <w:noWrap/>
            <w:vAlign w:val="bottom"/>
            <w:hideMark/>
          </w:tcPr>
          <w:p w14:paraId="49F0D676" w14:textId="67FFA116" w:rsidR="00240C77" w:rsidRPr="00490EBE" w:rsidRDefault="00240C77" w:rsidP="00240C77">
            <w:pPr>
              <w:spacing w:after="0" w:line="240" w:lineRule="auto"/>
              <w:jc w:val="center"/>
              <w:rPr>
                <w:rFonts w:ascii="Calibri" w:eastAsia="Times New Roman" w:hAnsi="Calibri" w:cs="Calibri"/>
                <w:color w:val="000000"/>
                <w:lang w:eastAsia="en-NZ"/>
              </w:rPr>
            </w:pPr>
            <w:r>
              <w:rPr>
                <w:rFonts w:ascii="Calibri" w:hAnsi="Calibri" w:cs="Calibri"/>
                <w:color w:val="000000"/>
              </w:rPr>
              <w:t>8.06%</w:t>
            </w:r>
          </w:p>
        </w:tc>
      </w:tr>
      <w:tr w:rsidR="00240C77" w:rsidRPr="00490EBE" w14:paraId="4692200C" w14:textId="77777777" w:rsidTr="00C61183">
        <w:trPr>
          <w:trHeight w:val="300"/>
        </w:trPr>
        <w:tc>
          <w:tcPr>
            <w:tcW w:w="1860" w:type="dxa"/>
            <w:tcBorders>
              <w:top w:val="nil"/>
              <w:left w:val="single" w:sz="4" w:space="0" w:color="auto"/>
              <w:bottom w:val="nil"/>
              <w:right w:val="nil"/>
            </w:tcBorders>
            <w:shd w:val="clear" w:color="auto" w:fill="auto"/>
            <w:noWrap/>
            <w:vAlign w:val="bottom"/>
            <w:hideMark/>
          </w:tcPr>
          <w:p w14:paraId="05DB4488" w14:textId="77777777" w:rsidR="00240C77" w:rsidRPr="00490EBE" w:rsidRDefault="00240C77" w:rsidP="00240C77">
            <w:pPr>
              <w:spacing w:after="0" w:line="240" w:lineRule="auto"/>
              <w:ind w:left="492"/>
              <w:rPr>
                <w:rFonts w:ascii="Calibri" w:eastAsia="Times New Roman" w:hAnsi="Calibri" w:cs="Calibri"/>
                <w:color w:val="000000"/>
                <w:lang w:eastAsia="en-NZ"/>
              </w:rPr>
            </w:pPr>
            <w:r w:rsidRPr="00490EBE">
              <w:rPr>
                <w:rFonts w:ascii="Calibri" w:eastAsia="Times New Roman" w:hAnsi="Calibri" w:cs="Calibri"/>
                <w:color w:val="000000"/>
                <w:lang w:eastAsia="en-NZ"/>
              </w:rPr>
              <w:t>2</w:t>
            </w:r>
            <w:r w:rsidRPr="00900E80">
              <w:rPr>
                <w:rFonts w:ascii="Calibri" w:eastAsia="Times New Roman" w:hAnsi="Calibri" w:cs="Calibri"/>
                <w:color w:val="000000"/>
                <w:vertAlign w:val="superscript"/>
                <w:lang w:eastAsia="en-NZ"/>
              </w:rPr>
              <w:t>nd</w:t>
            </w:r>
            <w:r w:rsidRPr="00490EBE">
              <w:rPr>
                <w:rFonts w:ascii="Calibri" w:eastAsia="Times New Roman" w:hAnsi="Calibri" w:cs="Calibri"/>
                <w:color w:val="000000"/>
                <w:lang w:eastAsia="en-NZ"/>
              </w:rPr>
              <w:t xml:space="preserve"> child </w:t>
            </w:r>
          </w:p>
        </w:tc>
        <w:tc>
          <w:tcPr>
            <w:tcW w:w="960" w:type="dxa"/>
            <w:tcBorders>
              <w:top w:val="nil"/>
              <w:left w:val="nil"/>
              <w:bottom w:val="nil"/>
              <w:right w:val="nil"/>
            </w:tcBorders>
            <w:shd w:val="clear" w:color="auto" w:fill="auto"/>
            <w:noWrap/>
            <w:vAlign w:val="bottom"/>
            <w:hideMark/>
          </w:tcPr>
          <w:p w14:paraId="47E0BB3F" w14:textId="6AEE8C4A" w:rsidR="00240C77" w:rsidRPr="00490EBE" w:rsidRDefault="00C61183" w:rsidP="00C61183">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240C77" w:rsidRPr="00490EBE">
              <w:rPr>
                <w:rFonts w:ascii="Calibri" w:eastAsia="Times New Roman" w:hAnsi="Calibri" w:cs="Calibri"/>
                <w:color w:val="000000"/>
                <w:lang w:eastAsia="en-NZ"/>
              </w:rPr>
              <w:t>91</w:t>
            </w:r>
          </w:p>
        </w:tc>
        <w:tc>
          <w:tcPr>
            <w:tcW w:w="960" w:type="dxa"/>
            <w:tcBorders>
              <w:top w:val="nil"/>
              <w:left w:val="nil"/>
              <w:bottom w:val="nil"/>
              <w:right w:val="nil"/>
            </w:tcBorders>
            <w:shd w:val="clear" w:color="auto" w:fill="auto"/>
            <w:noWrap/>
            <w:vAlign w:val="bottom"/>
            <w:hideMark/>
          </w:tcPr>
          <w:p w14:paraId="137C2F50" w14:textId="23400AE4" w:rsidR="00240C77" w:rsidRPr="00490EBE" w:rsidRDefault="00C61183" w:rsidP="00C61183">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240C77" w:rsidRPr="00490EBE">
              <w:rPr>
                <w:rFonts w:ascii="Calibri" w:eastAsia="Times New Roman" w:hAnsi="Calibri" w:cs="Calibri"/>
                <w:color w:val="000000"/>
                <w:lang w:eastAsia="en-NZ"/>
              </w:rPr>
              <w:t>91</w:t>
            </w:r>
          </w:p>
        </w:tc>
        <w:tc>
          <w:tcPr>
            <w:tcW w:w="1331" w:type="dxa"/>
            <w:tcBorders>
              <w:top w:val="nil"/>
              <w:left w:val="nil"/>
              <w:bottom w:val="nil"/>
              <w:right w:val="nil"/>
            </w:tcBorders>
            <w:shd w:val="clear" w:color="auto" w:fill="auto"/>
            <w:noWrap/>
            <w:vAlign w:val="bottom"/>
            <w:hideMark/>
          </w:tcPr>
          <w:p w14:paraId="1E2FD839" w14:textId="18132F94" w:rsidR="00240C77" w:rsidRPr="00490EBE" w:rsidRDefault="00240C77" w:rsidP="00C61183">
            <w:pPr>
              <w:spacing w:after="0" w:line="240" w:lineRule="auto"/>
              <w:rPr>
                <w:rFonts w:ascii="Calibri" w:eastAsia="Times New Roman" w:hAnsi="Calibri" w:cs="Calibri"/>
                <w:color w:val="000000"/>
                <w:lang w:eastAsia="en-NZ"/>
              </w:rPr>
            </w:pPr>
            <w:r>
              <w:rPr>
                <w:rFonts w:ascii="Calibri" w:hAnsi="Calibri" w:cs="Calibri"/>
                <w:color w:val="000000"/>
              </w:rPr>
              <w:t>104</w:t>
            </w:r>
          </w:p>
        </w:tc>
        <w:tc>
          <w:tcPr>
            <w:tcW w:w="1483" w:type="dxa"/>
            <w:tcBorders>
              <w:top w:val="nil"/>
              <w:left w:val="nil"/>
              <w:bottom w:val="nil"/>
              <w:right w:val="single" w:sz="4" w:space="0" w:color="auto"/>
            </w:tcBorders>
            <w:shd w:val="clear" w:color="auto" w:fill="auto"/>
            <w:noWrap/>
            <w:vAlign w:val="bottom"/>
            <w:hideMark/>
          </w:tcPr>
          <w:p w14:paraId="2C86B31D" w14:textId="594DD231" w:rsidR="00240C77" w:rsidRPr="00490EBE" w:rsidRDefault="00240C77" w:rsidP="00240C77">
            <w:pPr>
              <w:spacing w:after="0" w:line="240" w:lineRule="auto"/>
              <w:jc w:val="center"/>
              <w:rPr>
                <w:rFonts w:ascii="Calibri" w:eastAsia="Times New Roman" w:hAnsi="Calibri" w:cs="Calibri"/>
                <w:color w:val="000000"/>
                <w:lang w:eastAsia="en-NZ"/>
              </w:rPr>
            </w:pPr>
            <w:r>
              <w:rPr>
                <w:rFonts w:ascii="Calibri" w:hAnsi="Calibri" w:cs="Calibri"/>
                <w:color w:val="000000"/>
              </w:rPr>
              <w:t>14.29%</w:t>
            </w:r>
          </w:p>
        </w:tc>
      </w:tr>
      <w:tr w:rsidR="00240C77" w:rsidRPr="00490EBE" w14:paraId="2F7F3E9E" w14:textId="77777777" w:rsidTr="00C61183">
        <w:trPr>
          <w:trHeight w:val="300"/>
        </w:trPr>
        <w:tc>
          <w:tcPr>
            <w:tcW w:w="1860" w:type="dxa"/>
            <w:tcBorders>
              <w:top w:val="nil"/>
              <w:left w:val="single" w:sz="4" w:space="0" w:color="auto"/>
              <w:bottom w:val="nil"/>
              <w:right w:val="nil"/>
            </w:tcBorders>
            <w:shd w:val="clear" w:color="auto" w:fill="auto"/>
            <w:noWrap/>
            <w:vAlign w:val="bottom"/>
            <w:hideMark/>
          </w:tcPr>
          <w:p w14:paraId="6EE45542" w14:textId="77777777" w:rsidR="00240C77" w:rsidRPr="00490EBE" w:rsidRDefault="00240C77" w:rsidP="00240C77">
            <w:pPr>
              <w:spacing w:after="0" w:line="240" w:lineRule="auto"/>
              <w:ind w:left="492"/>
              <w:rPr>
                <w:rFonts w:ascii="Calibri" w:eastAsia="Times New Roman" w:hAnsi="Calibri" w:cs="Calibri"/>
                <w:color w:val="000000"/>
                <w:lang w:eastAsia="en-NZ"/>
              </w:rPr>
            </w:pPr>
            <w:r w:rsidRPr="00490EBE">
              <w:rPr>
                <w:rFonts w:ascii="Calibri" w:eastAsia="Times New Roman" w:hAnsi="Calibri" w:cs="Calibri"/>
                <w:color w:val="000000"/>
                <w:lang w:eastAsia="en-NZ"/>
              </w:rPr>
              <w:t>3</w:t>
            </w:r>
            <w:r w:rsidRPr="00900E80">
              <w:rPr>
                <w:rFonts w:ascii="Calibri" w:eastAsia="Times New Roman" w:hAnsi="Calibri" w:cs="Calibri"/>
                <w:color w:val="000000"/>
                <w:vertAlign w:val="superscript"/>
                <w:lang w:eastAsia="en-NZ"/>
              </w:rPr>
              <w:t>rd</w:t>
            </w:r>
          </w:p>
        </w:tc>
        <w:tc>
          <w:tcPr>
            <w:tcW w:w="960" w:type="dxa"/>
            <w:tcBorders>
              <w:top w:val="nil"/>
              <w:left w:val="nil"/>
              <w:bottom w:val="nil"/>
              <w:right w:val="nil"/>
            </w:tcBorders>
            <w:shd w:val="clear" w:color="auto" w:fill="auto"/>
            <w:noWrap/>
            <w:vAlign w:val="bottom"/>
            <w:hideMark/>
          </w:tcPr>
          <w:p w14:paraId="48A7AA34" w14:textId="5C88ED50" w:rsidR="00240C77" w:rsidRPr="00490EBE" w:rsidRDefault="00C61183" w:rsidP="00C61183">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240C77" w:rsidRPr="00490EBE">
              <w:rPr>
                <w:rFonts w:ascii="Calibri" w:eastAsia="Times New Roman" w:hAnsi="Calibri" w:cs="Calibri"/>
                <w:color w:val="000000"/>
                <w:lang w:eastAsia="en-NZ"/>
              </w:rPr>
              <w:t>91</w:t>
            </w:r>
          </w:p>
        </w:tc>
        <w:tc>
          <w:tcPr>
            <w:tcW w:w="960" w:type="dxa"/>
            <w:tcBorders>
              <w:top w:val="nil"/>
              <w:left w:val="nil"/>
              <w:bottom w:val="nil"/>
              <w:right w:val="nil"/>
            </w:tcBorders>
            <w:shd w:val="clear" w:color="auto" w:fill="auto"/>
            <w:noWrap/>
            <w:vAlign w:val="bottom"/>
            <w:hideMark/>
          </w:tcPr>
          <w:p w14:paraId="63397603" w14:textId="7CF37798" w:rsidR="00240C77" w:rsidRPr="00490EBE" w:rsidRDefault="00C61183" w:rsidP="00C61183">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 xml:space="preserve">  </w:t>
            </w:r>
            <w:r w:rsidR="00240C77" w:rsidRPr="00490EBE">
              <w:rPr>
                <w:rFonts w:ascii="Calibri" w:eastAsia="Times New Roman" w:hAnsi="Calibri" w:cs="Calibri"/>
                <w:color w:val="000000"/>
                <w:lang w:eastAsia="en-NZ"/>
              </w:rPr>
              <w:t>91</w:t>
            </w:r>
          </w:p>
        </w:tc>
        <w:tc>
          <w:tcPr>
            <w:tcW w:w="1331" w:type="dxa"/>
            <w:tcBorders>
              <w:top w:val="nil"/>
              <w:left w:val="nil"/>
              <w:bottom w:val="nil"/>
              <w:right w:val="nil"/>
            </w:tcBorders>
            <w:shd w:val="clear" w:color="auto" w:fill="auto"/>
            <w:noWrap/>
            <w:vAlign w:val="bottom"/>
            <w:hideMark/>
          </w:tcPr>
          <w:p w14:paraId="2E714B39" w14:textId="2A831E87" w:rsidR="00240C77" w:rsidRPr="00490EBE" w:rsidRDefault="00240C77" w:rsidP="00C61183">
            <w:pPr>
              <w:spacing w:after="0" w:line="240" w:lineRule="auto"/>
              <w:rPr>
                <w:rFonts w:ascii="Calibri" w:eastAsia="Times New Roman" w:hAnsi="Calibri" w:cs="Calibri"/>
                <w:color w:val="000000"/>
                <w:lang w:eastAsia="en-NZ"/>
              </w:rPr>
            </w:pPr>
            <w:r>
              <w:rPr>
                <w:rFonts w:ascii="Calibri" w:hAnsi="Calibri" w:cs="Calibri"/>
                <w:color w:val="000000"/>
              </w:rPr>
              <w:t>104</w:t>
            </w:r>
          </w:p>
        </w:tc>
        <w:tc>
          <w:tcPr>
            <w:tcW w:w="1483" w:type="dxa"/>
            <w:tcBorders>
              <w:top w:val="nil"/>
              <w:left w:val="nil"/>
              <w:bottom w:val="nil"/>
              <w:right w:val="single" w:sz="4" w:space="0" w:color="auto"/>
            </w:tcBorders>
            <w:shd w:val="clear" w:color="auto" w:fill="auto"/>
            <w:noWrap/>
            <w:vAlign w:val="bottom"/>
            <w:hideMark/>
          </w:tcPr>
          <w:p w14:paraId="4B5FA665" w14:textId="330A1B8D" w:rsidR="00240C77" w:rsidRPr="00490EBE" w:rsidRDefault="00240C77" w:rsidP="00240C77">
            <w:pPr>
              <w:spacing w:after="0" w:line="240" w:lineRule="auto"/>
              <w:jc w:val="center"/>
              <w:rPr>
                <w:rFonts w:ascii="Calibri" w:eastAsia="Times New Roman" w:hAnsi="Calibri" w:cs="Calibri"/>
                <w:color w:val="000000"/>
                <w:lang w:eastAsia="en-NZ"/>
              </w:rPr>
            </w:pPr>
            <w:r>
              <w:rPr>
                <w:rFonts w:ascii="Calibri" w:hAnsi="Calibri" w:cs="Calibri"/>
                <w:color w:val="000000"/>
              </w:rPr>
              <w:t>14.29%</w:t>
            </w:r>
          </w:p>
        </w:tc>
      </w:tr>
      <w:tr w:rsidR="00240C77" w:rsidRPr="00490EBE" w14:paraId="629476F7" w14:textId="77777777" w:rsidTr="00C61183">
        <w:trPr>
          <w:trHeight w:val="300"/>
        </w:trPr>
        <w:tc>
          <w:tcPr>
            <w:tcW w:w="1860" w:type="dxa"/>
            <w:tcBorders>
              <w:top w:val="nil"/>
              <w:left w:val="single" w:sz="4" w:space="0" w:color="auto"/>
              <w:bottom w:val="nil"/>
              <w:right w:val="nil"/>
            </w:tcBorders>
            <w:shd w:val="clear" w:color="auto" w:fill="auto"/>
            <w:noWrap/>
            <w:vAlign w:val="bottom"/>
            <w:hideMark/>
          </w:tcPr>
          <w:p w14:paraId="3F9209A4" w14:textId="77777777" w:rsidR="00240C77" w:rsidRPr="00490EBE" w:rsidRDefault="00240C77" w:rsidP="00240C77">
            <w:pPr>
              <w:spacing w:after="0" w:line="240" w:lineRule="auto"/>
              <w:ind w:left="492"/>
              <w:rPr>
                <w:rFonts w:ascii="Calibri" w:eastAsia="Times New Roman" w:hAnsi="Calibri" w:cs="Calibri"/>
                <w:color w:val="000000"/>
                <w:lang w:eastAsia="en-NZ"/>
              </w:rPr>
            </w:pPr>
            <w:r w:rsidRPr="00490EBE">
              <w:rPr>
                <w:rFonts w:ascii="Calibri" w:eastAsia="Times New Roman" w:hAnsi="Calibri" w:cs="Calibri"/>
                <w:color w:val="000000"/>
                <w:lang w:eastAsia="en-NZ"/>
              </w:rPr>
              <w:t>4</w:t>
            </w:r>
            <w:r w:rsidRPr="00900E80">
              <w:rPr>
                <w:rFonts w:ascii="Calibri" w:eastAsia="Times New Roman" w:hAnsi="Calibri" w:cs="Calibri"/>
                <w:color w:val="000000"/>
                <w:vertAlign w:val="superscript"/>
                <w:lang w:eastAsia="en-NZ"/>
              </w:rPr>
              <w:t>th</w:t>
            </w:r>
          </w:p>
        </w:tc>
        <w:tc>
          <w:tcPr>
            <w:tcW w:w="960" w:type="dxa"/>
            <w:tcBorders>
              <w:top w:val="nil"/>
              <w:left w:val="nil"/>
              <w:bottom w:val="nil"/>
              <w:right w:val="nil"/>
            </w:tcBorders>
            <w:shd w:val="clear" w:color="auto" w:fill="auto"/>
            <w:noWrap/>
            <w:vAlign w:val="bottom"/>
            <w:hideMark/>
          </w:tcPr>
          <w:p w14:paraId="6088B50A" w14:textId="0336DA24" w:rsidR="00240C77" w:rsidRPr="00490EBE" w:rsidRDefault="00240C77" w:rsidP="00C61183">
            <w:pPr>
              <w:spacing w:after="0" w:line="240" w:lineRule="auto"/>
              <w:rPr>
                <w:rFonts w:ascii="Calibri" w:eastAsia="Times New Roman" w:hAnsi="Calibri" w:cs="Calibri"/>
                <w:color w:val="000000"/>
                <w:lang w:eastAsia="en-NZ"/>
              </w:rPr>
            </w:pPr>
            <w:r w:rsidRPr="00490EBE">
              <w:rPr>
                <w:rFonts w:ascii="Calibri" w:eastAsia="Times New Roman" w:hAnsi="Calibri" w:cs="Calibri"/>
                <w:color w:val="000000"/>
                <w:lang w:eastAsia="en-NZ"/>
              </w:rPr>
              <w:t>106</w:t>
            </w:r>
          </w:p>
        </w:tc>
        <w:tc>
          <w:tcPr>
            <w:tcW w:w="960" w:type="dxa"/>
            <w:tcBorders>
              <w:top w:val="nil"/>
              <w:left w:val="nil"/>
              <w:bottom w:val="nil"/>
              <w:right w:val="nil"/>
            </w:tcBorders>
            <w:shd w:val="clear" w:color="auto" w:fill="auto"/>
            <w:noWrap/>
            <w:vAlign w:val="bottom"/>
            <w:hideMark/>
          </w:tcPr>
          <w:p w14:paraId="77962003" w14:textId="6A5B5A49" w:rsidR="00240C77" w:rsidRPr="00490EBE" w:rsidRDefault="00240C77" w:rsidP="00C61183">
            <w:pPr>
              <w:spacing w:after="0" w:line="240" w:lineRule="auto"/>
              <w:rPr>
                <w:rFonts w:ascii="Calibri" w:eastAsia="Times New Roman" w:hAnsi="Calibri" w:cs="Calibri"/>
                <w:color w:val="000000"/>
                <w:lang w:eastAsia="en-NZ"/>
              </w:rPr>
            </w:pPr>
            <w:r w:rsidRPr="00490EBE">
              <w:rPr>
                <w:rFonts w:ascii="Calibri" w:eastAsia="Times New Roman" w:hAnsi="Calibri" w:cs="Calibri"/>
                <w:color w:val="000000"/>
                <w:lang w:eastAsia="en-NZ"/>
              </w:rPr>
              <w:t>106</w:t>
            </w:r>
          </w:p>
        </w:tc>
        <w:tc>
          <w:tcPr>
            <w:tcW w:w="1331" w:type="dxa"/>
            <w:tcBorders>
              <w:top w:val="nil"/>
              <w:left w:val="nil"/>
              <w:bottom w:val="nil"/>
              <w:right w:val="nil"/>
            </w:tcBorders>
            <w:shd w:val="clear" w:color="auto" w:fill="auto"/>
            <w:noWrap/>
            <w:vAlign w:val="bottom"/>
            <w:hideMark/>
          </w:tcPr>
          <w:p w14:paraId="55571C0F" w14:textId="1941E069" w:rsidR="00240C77" w:rsidRPr="00490EBE" w:rsidRDefault="00240C77" w:rsidP="00C61183">
            <w:pPr>
              <w:spacing w:after="0" w:line="240" w:lineRule="auto"/>
              <w:rPr>
                <w:rFonts w:ascii="Calibri" w:eastAsia="Times New Roman" w:hAnsi="Calibri" w:cs="Calibri"/>
                <w:color w:val="000000"/>
                <w:lang w:eastAsia="en-NZ"/>
              </w:rPr>
            </w:pPr>
            <w:r>
              <w:rPr>
                <w:rFonts w:ascii="Calibri" w:hAnsi="Calibri" w:cs="Calibri"/>
                <w:color w:val="000000"/>
              </w:rPr>
              <w:t>119</w:t>
            </w:r>
          </w:p>
        </w:tc>
        <w:tc>
          <w:tcPr>
            <w:tcW w:w="1483" w:type="dxa"/>
            <w:tcBorders>
              <w:top w:val="nil"/>
              <w:left w:val="nil"/>
              <w:bottom w:val="nil"/>
              <w:right w:val="single" w:sz="4" w:space="0" w:color="auto"/>
            </w:tcBorders>
            <w:shd w:val="clear" w:color="auto" w:fill="auto"/>
            <w:noWrap/>
            <w:vAlign w:val="bottom"/>
            <w:hideMark/>
          </w:tcPr>
          <w:p w14:paraId="09DC46CA" w14:textId="438DEB11" w:rsidR="00240C77" w:rsidRPr="00490EBE" w:rsidRDefault="00240C77" w:rsidP="00240C77">
            <w:pPr>
              <w:spacing w:after="0" w:line="240" w:lineRule="auto"/>
              <w:jc w:val="center"/>
              <w:rPr>
                <w:rFonts w:ascii="Calibri" w:eastAsia="Times New Roman" w:hAnsi="Calibri" w:cs="Calibri"/>
                <w:color w:val="000000"/>
                <w:lang w:eastAsia="en-NZ"/>
              </w:rPr>
            </w:pPr>
            <w:r>
              <w:rPr>
                <w:rFonts w:ascii="Calibri" w:hAnsi="Calibri" w:cs="Calibri"/>
                <w:color w:val="000000"/>
              </w:rPr>
              <w:t>12.26%</w:t>
            </w:r>
          </w:p>
        </w:tc>
      </w:tr>
      <w:tr w:rsidR="00240C77" w:rsidRPr="00490EBE" w14:paraId="6CE39ED4" w14:textId="77777777" w:rsidTr="00C61183">
        <w:trPr>
          <w:trHeight w:val="300"/>
        </w:trPr>
        <w:tc>
          <w:tcPr>
            <w:tcW w:w="1860" w:type="dxa"/>
            <w:tcBorders>
              <w:top w:val="nil"/>
              <w:left w:val="single" w:sz="4" w:space="0" w:color="auto"/>
              <w:bottom w:val="nil"/>
              <w:right w:val="nil"/>
            </w:tcBorders>
            <w:shd w:val="clear" w:color="auto" w:fill="auto"/>
            <w:noWrap/>
            <w:vAlign w:val="bottom"/>
            <w:hideMark/>
          </w:tcPr>
          <w:p w14:paraId="74A4DBC9" w14:textId="77777777" w:rsidR="00240C77" w:rsidRPr="00490EBE" w:rsidRDefault="00240C77" w:rsidP="00240C77">
            <w:pPr>
              <w:spacing w:after="0" w:line="240" w:lineRule="auto"/>
              <w:ind w:left="492"/>
              <w:rPr>
                <w:rFonts w:ascii="Calibri" w:eastAsia="Times New Roman" w:hAnsi="Calibri" w:cs="Calibri"/>
                <w:color w:val="000000"/>
                <w:lang w:eastAsia="en-NZ"/>
              </w:rPr>
            </w:pPr>
            <w:r w:rsidRPr="00490EBE">
              <w:rPr>
                <w:rFonts w:ascii="Calibri" w:eastAsia="Times New Roman" w:hAnsi="Calibri" w:cs="Calibri"/>
                <w:color w:val="000000"/>
                <w:lang w:eastAsia="en-NZ"/>
              </w:rPr>
              <w:t>5</w:t>
            </w:r>
            <w:r w:rsidRPr="00900E80">
              <w:rPr>
                <w:rFonts w:ascii="Calibri" w:eastAsia="Times New Roman" w:hAnsi="Calibri" w:cs="Calibri"/>
                <w:color w:val="000000"/>
                <w:vertAlign w:val="superscript"/>
                <w:lang w:eastAsia="en-NZ"/>
              </w:rPr>
              <w:t>th</w:t>
            </w:r>
          </w:p>
        </w:tc>
        <w:tc>
          <w:tcPr>
            <w:tcW w:w="960" w:type="dxa"/>
            <w:tcBorders>
              <w:top w:val="nil"/>
              <w:left w:val="nil"/>
              <w:bottom w:val="nil"/>
              <w:right w:val="nil"/>
            </w:tcBorders>
            <w:shd w:val="clear" w:color="auto" w:fill="auto"/>
            <w:noWrap/>
            <w:vAlign w:val="bottom"/>
          </w:tcPr>
          <w:p w14:paraId="7390AA19" w14:textId="0F4AE341" w:rsidR="00240C77" w:rsidRPr="00490EBE" w:rsidRDefault="00240C77" w:rsidP="00C61183">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106</w:t>
            </w:r>
          </w:p>
        </w:tc>
        <w:tc>
          <w:tcPr>
            <w:tcW w:w="960" w:type="dxa"/>
            <w:tcBorders>
              <w:top w:val="nil"/>
              <w:left w:val="nil"/>
              <w:bottom w:val="nil"/>
              <w:right w:val="nil"/>
            </w:tcBorders>
            <w:shd w:val="clear" w:color="auto" w:fill="auto"/>
            <w:noWrap/>
            <w:vAlign w:val="bottom"/>
          </w:tcPr>
          <w:p w14:paraId="0FDA797F" w14:textId="46FCF68D" w:rsidR="00240C77" w:rsidRPr="00490EBE" w:rsidRDefault="00240C77" w:rsidP="00C61183">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106</w:t>
            </w:r>
          </w:p>
        </w:tc>
        <w:tc>
          <w:tcPr>
            <w:tcW w:w="1331" w:type="dxa"/>
            <w:tcBorders>
              <w:top w:val="nil"/>
              <w:left w:val="nil"/>
              <w:bottom w:val="nil"/>
              <w:right w:val="nil"/>
            </w:tcBorders>
            <w:shd w:val="clear" w:color="auto" w:fill="auto"/>
            <w:noWrap/>
            <w:vAlign w:val="bottom"/>
            <w:hideMark/>
          </w:tcPr>
          <w:p w14:paraId="4B73ACB7" w14:textId="718B5311" w:rsidR="00240C77" w:rsidRPr="00490EBE" w:rsidRDefault="00240C77" w:rsidP="00C61183">
            <w:pPr>
              <w:spacing w:after="0" w:line="240" w:lineRule="auto"/>
              <w:rPr>
                <w:rFonts w:ascii="Calibri" w:eastAsia="Times New Roman" w:hAnsi="Calibri" w:cs="Calibri"/>
                <w:color w:val="000000"/>
                <w:lang w:eastAsia="en-NZ"/>
              </w:rPr>
            </w:pPr>
            <w:r>
              <w:rPr>
                <w:rFonts w:ascii="Calibri" w:hAnsi="Calibri" w:cs="Calibri"/>
                <w:color w:val="000000"/>
              </w:rPr>
              <w:t>119</w:t>
            </w:r>
          </w:p>
        </w:tc>
        <w:tc>
          <w:tcPr>
            <w:tcW w:w="1483" w:type="dxa"/>
            <w:tcBorders>
              <w:top w:val="nil"/>
              <w:left w:val="nil"/>
              <w:bottom w:val="nil"/>
              <w:right w:val="single" w:sz="4" w:space="0" w:color="auto"/>
            </w:tcBorders>
            <w:shd w:val="clear" w:color="auto" w:fill="auto"/>
            <w:noWrap/>
            <w:vAlign w:val="bottom"/>
            <w:hideMark/>
          </w:tcPr>
          <w:p w14:paraId="2FB5CF6F" w14:textId="5F00B8C3" w:rsidR="00240C77" w:rsidRPr="00490EBE" w:rsidRDefault="00240C77" w:rsidP="00240C77">
            <w:pPr>
              <w:spacing w:after="0" w:line="240" w:lineRule="auto"/>
              <w:jc w:val="center"/>
              <w:rPr>
                <w:rFonts w:ascii="Calibri" w:eastAsia="Times New Roman" w:hAnsi="Calibri" w:cs="Calibri"/>
                <w:color w:val="000000"/>
                <w:lang w:eastAsia="en-NZ"/>
              </w:rPr>
            </w:pPr>
            <w:r>
              <w:rPr>
                <w:rFonts w:ascii="Calibri" w:hAnsi="Calibri" w:cs="Calibri"/>
                <w:color w:val="000000"/>
              </w:rPr>
              <w:t>12.26%</w:t>
            </w:r>
          </w:p>
        </w:tc>
      </w:tr>
      <w:tr w:rsidR="00240C77" w:rsidRPr="00490EBE" w14:paraId="78D3F1E0" w14:textId="77777777" w:rsidTr="00C61183">
        <w:trPr>
          <w:trHeight w:val="300"/>
        </w:trPr>
        <w:tc>
          <w:tcPr>
            <w:tcW w:w="1860" w:type="dxa"/>
            <w:tcBorders>
              <w:top w:val="nil"/>
              <w:left w:val="single" w:sz="4" w:space="0" w:color="auto"/>
              <w:bottom w:val="single" w:sz="4" w:space="0" w:color="auto"/>
              <w:right w:val="nil"/>
            </w:tcBorders>
            <w:shd w:val="clear" w:color="auto" w:fill="auto"/>
            <w:noWrap/>
            <w:vAlign w:val="bottom"/>
            <w:hideMark/>
          </w:tcPr>
          <w:p w14:paraId="73510C1F" w14:textId="77777777" w:rsidR="00240C77" w:rsidRPr="00490EBE" w:rsidRDefault="00240C77" w:rsidP="00240C77">
            <w:pPr>
              <w:spacing w:after="0" w:line="240" w:lineRule="auto"/>
              <w:ind w:left="492"/>
              <w:rPr>
                <w:rFonts w:ascii="Calibri" w:eastAsia="Times New Roman" w:hAnsi="Calibri" w:cs="Calibri"/>
                <w:color w:val="000000"/>
                <w:lang w:eastAsia="en-NZ"/>
              </w:rPr>
            </w:pPr>
            <w:r w:rsidRPr="00490EBE">
              <w:rPr>
                <w:rFonts w:ascii="Calibri" w:eastAsia="Times New Roman" w:hAnsi="Calibri" w:cs="Calibri"/>
                <w:color w:val="000000"/>
                <w:lang w:eastAsia="en-NZ"/>
              </w:rPr>
              <w:t>6</w:t>
            </w:r>
            <w:r w:rsidRPr="00900E80">
              <w:rPr>
                <w:rFonts w:ascii="Calibri" w:eastAsia="Times New Roman" w:hAnsi="Calibri" w:cs="Calibri"/>
                <w:color w:val="000000"/>
                <w:vertAlign w:val="superscript"/>
                <w:lang w:eastAsia="en-NZ"/>
              </w:rPr>
              <w:t>th</w:t>
            </w:r>
          </w:p>
        </w:tc>
        <w:tc>
          <w:tcPr>
            <w:tcW w:w="960" w:type="dxa"/>
            <w:tcBorders>
              <w:top w:val="nil"/>
              <w:left w:val="nil"/>
              <w:bottom w:val="single" w:sz="4" w:space="0" w:color="auto"/>
              <w:right w:val="nil"/>
            </w:tcBorders>
            <w:shd w:val="clear" w:color="auto" w:fill="auto"/>
            <w:noWrap/>
            <w:vAlign w:val="bottom"/>
            <w:hideMark/>
          </w:tcPr>
          <w:p w14:paraId="074AEAB1" w14:textId="08FE96D6" w:rsidR="00240C77" w:rsidRPr="00490EBE" w:rsidRDefault="00240C77" w:rsidP="00C61183">
            <w:pPr>
              <w:spacing w:after="0" w:line="240" w:lineRule="auto"/>
              <w:rPr>
                <w:rFonts w:ascii="Calibri" w:eastAsia="Times New Roman" w:hAnsi="Calibri" w:cs="Calibri"/>
                <w:color w:val="000000"/>
                <w:lang w:eastAsia="en-NZ"/>
              </w:rPr>
            </w:pPr>
            <w:r w:rsidRPr="00490EBE">
              <w:rPr>
                <w:rFonts w:ascii="Calibri" w:eastAsia="Times New Roman" w:hAnsi="Calibri" w:cs="Calibri"/>
                <w:color w:val="000000"/>
                <w:lang w:eastAsia="en-NZ"/>
              </w:rPr>
              <w:t>1</w:t>
            </w:r>
            <w:r>
              <w:rPr>
                <w:rFonts w:ascii="Calibri" w:eastAsia="Times New Roman" w:hAnsi="Calibri" w:cs="Calibri"/>
                <w:color w:val="000000"/>
                <w:lang w:eastAsia="en-NZ"/>
              </w:rPr>
              <w:t>06</w:t>
            </w:r>
          </w:p>
        </w:tc>
        <w:tc>
          <w:tcPr>
            <w:tcW w:w="960" w:type="dxa"/>
            <w:tcBorders>
              <w:top w:val="nil"/>
              <w:left w:val="nil"/>
              <w:bottom w:val="single" w:sz="4" w:space="0" w:color="auto"/>
              <w:right w:val="nil"/>
            </w:tcBorders>
            <w:shd w:val="clear" w:color="auto" w:fill="auto"/>
            <w:noWrap/>
            <w:vAlign w:val="bottom"/>
            <w:hideMark/>
          </w:tcPr>
          <w:p w14:paraId="601A2B4A" w14:textId="29ED3356" w:rsidR="00240C77" w:rsidRPr="00490EBE" w:rsidRDefault="00240C77" w:rsidP="00C61183">
            <w:pPr>
              <w:spacing w:after="0" w:line="240" w:lineRule="auto"/>
              <w:rPr>
                <w:rFonts w:ascii="Calibri" w:eastAsia="Times New Roman" w:hAnsi="Calibri" w:cs="Calibri"/>
                <w:color w:val="000000"/>
                <w:lang w:eastAsia="en-NZ"/>
              </w:rPr>
            </w:pPr>
            <w:r w:rsidRPr="00490EBE">
              <w:rPr>
                <w:rFonts w:ascii="Calibri" w:eastAsia="Times New Roman" w:hAnsi="Calibri" w:cs="Calibri"/>
                <w:color w:val="000000"/>
                <w:lang w:eastAsia="en-NZ"/>
              </w:rPr>
              <w:t>1</w:t>
            </w:r>
            <w:r>
              <w:rPr>
                <w:rFonts w:ascii="Calibri" w:eastAsia="Times New Roman" w:hAnsi="Calibri" w:cs="Calibri"/>
                <w:color w:val="000000"/>
                <w:lang w:eastAsia="en-NZ"/>
              </w:rPr>
              <w:t>06</w:t>
            </w:r>
          </w:p>
        </w:tc>
        <w:tc>
          <w:tcPr>
            <w:tcW w:w="1331" w:type="dxa"/>
            <w:tcBorders>
              <w:top w:val="nil"/>
              <w:left w:val="nil"/>
              <w:bottom w:val="single" w:sz="4" w:space="0" w:color="auto"/>
              <w:right w:val="nil"/>
            </w:tcBorders>
            <w:shd w:val="clear" w:color="auto" w:fill="auto"/>
            <w:noWrap/>
            <w:vAlign w:val="bottom"/>
            <w:hideMark/>
          </w:tcPr>
          <w:p w14:paraId="66FBAF6A" w14:textId="5836FB05" w:rsidR="00240C77" w:rsidRPr="00490EBE" w:rsidRDefault="00240C77" w:rsidP="00C61183">
            <w:pPr>
              <w:spacing w:after="0" w:line="240" w:lineRule="auto"/>
              <w:rPr>
                <w:rFonts w:ascii="Calibri" w:eastAsia="Times New Roman" w:hAnsi="Calibri" w:cs="Calibri"/>
                <w:color w:val="000000"/>
                <w:lang w:eastAsia="en-NZ"/>
              </w:rPr>
            </w:pPr>
            <w:r>
              <w:rPr>
                <w:rFonts w:ascii="Calibri" w:hAnsi="Calibri" w:cs="Calibri"/>
                <w:color w:val="000000"/>
              </w:rPr>
              <w:t>119</w:t>
            </w:r>
          </w:p>
        </w:tc>
        <w:tc>
          <w:tcPr>
            <w:tcW w:w="1483" w:type="dxa"/>
            <w:tcBorders>
              <w:top w:val="nil"/>
              <w:left w:val="nil"/>
              <w:bottom w:val="single" w:sz="4" w:space="0" w:color="auto"/>
              <w:right w:val="single" w:sz="4" w:space="0" w:color="auto"/>
            </w:tcBorders>
            <w:shd w:val="clear" w:color="auto" w:fill="auto"/>
            <w:noWrap/>
            <w:vAlign w:val="bottom"/>
            <w:hideMark/>
          </w:tcPr>
          <w:p w14:paraId="6085672C" w14:textId="20A359F4" w:rsidR="00240C77" w:rsidRPr="00490EBE" w:rsidRDefault="00240C77" w:rsidP="00240C77">
            <w:pPr>
              <w:spacing w:after="0" w:line="240" w:lineRule="auto"/>
              <w:jc w:val="center"/>
              <w:rPr>
                <w:rFonts w:ascii="Calibri" w:eastAsia="Times New Roman" w:hAnsi="Calibri" w:cs="Calibri"/>
                <w:color w:val="000000"/>
                <w:lang w:eastAsia="en-NZ"/>
              </w:rPr>
            </w:pPr>
            <w:r>
              <w:rPr>
                <w:rFonts w:ascii="Calibri" w:hAnsi="Calibri" w:cs="Calibri"/>
                <w:color w:val="000000"/>
              </w:rPr>
              <w:t>12.26%</w:t>
            </w:r>
          </w:p>
        </w:tc>
      </w:tr>
    </w:tbl>
    <w:p w14:paraId="53B1A63D" w14:textId="77777777" w:rsidR="00662800" w:rsidRDefault="00713099" w:rsidP="00900E80">
      <w:pPr>
        <w:spacing w:after="0"/>
        <w:rPr>
          <w:b/>
          <w:bCs/>
        </w:rPr>
      </w:pPr>
      <w:r w:rsidRPr="00900E80">
        <w:rPr>
          <w:sz w:val="18"/>
          <w:szCs w:val="18"/>
        </w:rPr>
        <w:lastRenderedPageBreak/>
        <w:br/>
      </w:r>
    </w:p>
    <w:p w14:paraId="6C3ABF84" w14:textId="77777777" w:rsidR="00662800" w:rsidRDefault="00662800" w:rsidP="00900E80">
      <w:pPr>
        <w:spacing w:after="0"/>
        <w:rPr>
          <w:b/>
          <w:bCs/>
        </w:rPr>
      </w:pPr>
    </w:p>
    <w:p w14:paraId="636A8E94" w14:textId="0BCD8A0A" w:rsidR="00E10831" w:rsidRPr="006C30CE" w:rsidRDefault="00E10831" w:rsidP="00900E80">
      <w:pPr>
        <w:spacing w:after="0"/>
        <w:rPr>
          <w:b/>
          <w:bCs/>
        </w:rPr>
      </w:pPr>
      <w:r w:rsidRPr="006C30CE">
        <w:rPr>
          <w:b/>
          <w:bCs/>
        </w:rPr>
        <w:t xml:space="preserve">Table 1 </w:t>
      </w:r>
      <w:r w:rsidR="00490EBE">
        <w:rPr>
          <w:b/>
          <w:bCs/>
        </w:rPr>
        <w:t>b</w:t>
      </w:r>
      <w:r w:rsidRPr="006C30CE">
        <w:rPr>
          <w:b/>
          <w:bCs/>
        </w:rPr>
        <w:t xml:space="preserve"> </w:t>
      </w:r>
      <w:r w:rsidR="00852499">
        <w:rPr>
          <w:b/>
          <w:bCs/>
        </w:rPr>
        <w:t xml:space="preserve">Maximum </w:t>
      </w:r>
      <w:r w:rsidR="00490EBE">
        <w:rPr>
          <w:b/>
          <w:bCs/>
        </w:rPr>
        <w:t>N</w:t>
      </w:r>
      <w:r w:rsidRPr="006C30CE">
        <w:rPr>
          <w:b/>
          <w:bCs/>
        </w:rPr>
        <w:t xml:space="preserve">ominal </w:t>
      </w:r>
      <w:r w:rsidR="003423C6">
        <w:rPr>
          <w:b/>
          <w:bCs/>
        </w:rPr>
        <w:t xml:space="preserve">weekly </w:t>
      </w:r>
      <w:r w:rsidRPr="006C30CE">
        <w:rPr>
          <w:b/>
          <w:bCs/>
        </w:rPr>
        <w:t xml:space="preserve">child tax credits in NZ </w:t>
      </w:r>
      <w:r w:rsidRPr="007718FE">
        <w:rPr>
          <w:b/>
          <w:bCs/>
          <w:i/>
          <w:iCs/>
        </w:rPr>
        <w:t>with</w:t>
      </w:r>
      <w:r w:rsidR="006C30CE" w:rsidRPr="007718FE">
        <w:rPr>
          <w:b/>
          <w:bCs/>
          <w:i/>
          <w:iCs/>
        </w:rPr>
        <w:t>out</w:t>
      </w:r>
      <w:r w:rsidRPr="006C30CE">
        <w:rPr>
          <w:b/>
          <w:bCs/>
        </w:rPr>
        <w:t xml:space="preserve"> IWTC</w:t>
      </w:r>
      <w:r w:rsidR="001E1927">
        <w:rPr>
          <w:b/>
          <w:bCs/>
        </w:rPr>
        <w:t xml:space="preserve"> (on benefit)</w:t>
      </w:r>
      <w:r w:rsidR="000B1EE4">
        <w:rPr>
          <w:b/>
          <w:bCs/>
        </w:rPr>
        <w:t xml:space="preserve"> (NZD)</w:t>
      </w:r>
    </w:p>
    <w:tbl>
      <w:tblPr>
        <w:tblW w:w="6632" w:type="dxa"/>
        <w:tblInd w:w="113" w:type="dxa"/>
        <w:tblLayout w:type="fixed"/>
        <w:tblLook w:val="04A0" w:firstRow="1" w:lastRow="0" w:firstColumn="1" w:lastColumn="0" w:noHBand="0" w:noVBand="1"/>
      </w:tblPr>
      <w:tblGrid>
        <w:gridCol w:w="1860"/>
        <w:gridCol w:w="1103"/>
        <w:gridCol w:w="1103"/>
        <w:gridCol w:w="1103"/>
        <w:gridCol w:w="1463"/>
      </w:tblGrid>
      <w:tr w:rsidR="00AC168A" w:rsidRPr="005F554E" w14:paraId="24CB7138" w14:textId="77777777" w:rsidTr="00662800">
        <w:trPr>
          <w:trHeight w:val="600"/>
        </w:trPr>
        <w:tc>
          <w:tcPr>
            <w:tcW w:w="1860" w:type="dxa"/>
            <w:tcBorders>
              <w:top w:val="single" w:sz="4" w:space="0" w:color="auto"/>
              <w:left w:val="single" w:sz="4" w:space="0" w:color="auto"/>
              <w:bottom w:val="single" w:sz="4" w:space="0" w:color="auto"/>
              <w:right w:val="nil"/>
            </w:tcBorders>
            <w:shd w:val="clear" w:color="auto" w:fill="auto"/>
            <w:vAlign w:val="bottom"/>
            <w:hideMark/>
          </w:tcPr>
          <w:p w14:paraId="5B9E6465" w14:textId="438FB61B" w:rsidR="00AC168A" w:rsidRPr="009743C2" w:rsidRDefault="004F324B" w:rsidP="00AC168A">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C</w:t>
            </w:r>
            <w:r w:rsidR="00AC168A" w:rsidRPr="009743C2">
              <w:rPr>
                <w:rFonts w:ascii="Calibri" w:eastAsia="Times New Roman" w:hAnsi="Calibri" w:cs="Calibri"/>
                <w:b/>
                <w:bCs/>
                <w:color w:val="000000"/>
                <w:lang w:eastAsia="en-NZ"/>
              </w:rPr>
              <w:t>hildren aged 5-1</w:t>
            </w:r>
            <w:r>
              <w:rPr>
                <w:rFonts w:ascii="Calibri" w:eastAsia="Times New Roman" w:hAnsi="Calibri" w:cs="Calibri"/>
                <w:b/>
                <w:bCs/>
                <w:color w:val="000000"/>
                <w:lang w:eastAsia="en-NZ"/>
              </w:rPr>
              <w:t>8,</w:t>
            </w:r>
            <w:r w:rsidR="00AC168A">
              <w:rPr>
                <w:rFonts w:ascii="Calibri" w:eastAsia="Times New Roman" w:hAnsi="Calibri" w:cs="Calibri"/>
                <w:b/>
                <w:bCs/>
                <w:color w:val="000000"/>
                <w:lang w:eastAsia="en-NZ"/>
              </w:rPr>
              <w:t xml:space="preserve"> per child</w:t>
            </w:r>
          </w:p>
        </w:tc>
        <w:tc>
          <w:tcPr>
            <w:tcW w:w="1103" w:type="dxa"/>
            <w:tcBorders>
              <w:top w:val="single" w:sz="4" w:space="0" w:color="auto"/>
              <w:left w:val="nil"/>
              <w:bottom w:val="single" w:sz="4" w:space="0" w:color="auto"/>
              <w:right w:val="nil"/>
            </w:tcBorders>
            <w:shd w:val="clear" w:color="auto" w:fill="auto"/>
            <w:noWrap/>
            <w:vAlign w:val="bottom"/>
            <w:hideMark/>
          </w:tcPr>
          <w:p w14:paraId="2CBA7BB2" w14:textId="77777777" w:rsidR="00AC168A" w:rsidRDefault="00AC168A" w:rsidP="00AC168A">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Pr="009743C2">
              <w:rPr>
                <w:rFonts w:ascii="Calibri" w:eastAsia="Times New Roman" w:hAnsi="Calibri" w:cs="Calibri"/>
                <w:b/>
                <w:bCs/>
                <w:color w:val="000000"/>
                <w:lang w:eastAsia="en-NZ"/>
              </w:rPr>
              <w:t>Jul-18</w:t>
            </w:r>
          </w:p>
          <w:p w14:paraId="667E6043" w14:textId="092821A7" w:rsidR="00662800" w:rsidRPr="009743C2"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103" w:type="dxa"/>
            <w:tcBorders>
              <w:top w:val="single" w:sz="4" w:space="0" w:color="auto"/>
              <w:left w:val="nil"/>
              <w:bottom w:val="single" w:sz="4" w:space="0" w:color="auto"/>
              <w:right w:val="nil"/>
            </w:tcBorders>
            <w:shd w:val="clear" w:color="auto" w:fill="auto"/>
            <w:noWrap/>
            <w:vAlign w:val="bottom"/>
            <w:hideMark/>
          </w:tcPr>
          <w:p w14:paraId="7F422F21" w14:textId="77777777" w:rsidR="00AC168A" w:rsidRDefault="00AC168A" w:rsidP="00AC168A">
            <w:pPr>
              <w:spacing w:after="0" w:line="240" w:lineRule="auto"/>
              <w:jc w:val="right"/>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1-Jul-21</w:t>
            </w:r>
          </w:p>
          <w:p w14:paraId="193FE7EC" w14:textId="29170963" w:rsidR="00662800" w:rsidRPr="009743C2"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103" w:type="dxa"/>
            <w:tcBorders>
              <w:top w:val="single" w:sz="4" w:space="0" w:color="auto"/>
              <w:left w:val="nil"/>
              <w:bottom w:val="single" w:sz="4" w:space="0" w:color="auto"/>
              <w:right w:val="nil"/>
            </w:tcBorders>
            <w:shd w:val="clear" w:color="auto" w:fill="auto"/>
            <w:noWrap/>
            <w:vAlign w:val="bottom"/>
            <w:hideMark/>
          </w:tcPr>
          <w:p w14:paraId="0BB5D719" w14:textId="609EF57D" w:rsidR="00AC168A" w:rsidRDefault="002E732E" w:rsidP="00AC168A">
            <w:pPr>
              <w:spacing w:after="0" w:line="240" w:lineRule="auto"/>
              <w:jc w:val="right"/>
              <w:rPr>
                <w:rFonts w:ascii="Calibri" w:hAnsi="Calibri" w:cs="Calibri"/>
                <w:b/>
                <w:bCs/>
                <w:color w:val="000000"/>
              </w:rPr>
            </w:pPr>
            <w:r>
              <w:rPr>
                <w:rFonts w:ascii="Calibri" w:hAnsi="Calibri" w:cs="Calibri"/>
                <w:b/>
                <w:bCs/>
                <w:color w:val="000000"/>
              </w:rPr>
              <w:t>1-Jul</w:t>
            </w:r>
            <w:r w:rsidR="00EE166B">
              <w:rPr>
                <w:rFonts w:ascii="Calibri" w:hAnsi="Calibri" w:cs="Calibri"/>
                <w:b/>
                <w:bCs/>
                <w:color w:val="000000"/>
              </w:rPr>
              <w:t>-23</w:t>
            </w:r>
          </w:p>
          <w:p w14:paraId="43B10CB2" w14:textId="5A0992F4" w:rsidR="00662800" w:rsidRPr="007718FE" w:rsidRDefault="00662800" w:rsidP="00662800">
            <w:pPr>
              <w:spacing w:after="0" w:line="240" w:lineRule="auto"/>
              <w:jc w:val="center"/>
              <w:rPr>
                <w:rFonts w:ascii="Calibri" w:eastAsia="Times New Roman" w:hAnsi="Calibri" w:cs="Calibri"/>
                <w:b/>
                <w:bCs/>
                <w:color w:val="000000"/>
                <w:lang w:eastAsia="en-NZ"/>
              </w:rPr>
            </w:pPr>
            <w:r>
              <w:rPr>
                <w:rFonts w:ascii="Calibri" w:hAnsi="Calibri" w:cs="Calibri"/>
                <w:b/>
                <w:bCs/>
                <w:color w:val="000000"/>
              </w:rPr>
              <w:t>$</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7A40D8D6" w14:textId="10665F6C" w:rsidR="00AC168A" w:rsidRPr="007718FE" w:rsidRDefault="00AC168A" w:rsidP="00AC168A">
            <w:pPr>
              <w:spacing w:after="0" w:line="240" w:lineRule="auto"/>
              <w:rPr>
                <w:rFonts w:ascii="Calibri" w:eastAsia="Times New Roman" w:hAnsi="Calibri" w:cs="Calibri"/>
                <w:b/>
                <w:bCs/>
                <w:color w:val="000000"/>
                <w:lang w:eastAsia="en-NZ"/>
              </w:rPr>
            </w:pPr>
            <w:r w:rsidRPr="007718FE">
              <w:rPr>
                <w:rFonts w:ascii="Calibri" w:hAnsi="Calibri" w:cs="Calibri"/>
                <w:b/>
                <w:bCs/>
                <w:color w:val="000000"/>
              </w:rPr>
              <w:t>5</w:t>
            </w:r>
            <w:r w:rsidR="007718FE" w:rsidRPr="007718FE">
              <w:rPr>
                <w:rFonts w:ascii="Calibri" w:hAnsi="Calibri" w:cs="Calibri"/>
                <w:b/>
                <w:bCs/>
                <w:color w:val="000000"/>
              </w:rPr>
              <w:t>-</w:t>
            </w:r>
            <w:r w:rsidRPr="007718FE">
              <w:rPr>
                <w:rFonts w:ascii="Calibri" w:hAnsi="Calibri" w:cs="Calibri"/>
                <w:b/>
                <w:bCs/>
                <w:color w:val="000000"/>
              </w:rPr>
              <w:t>year expected increase</w:t>
            </w:r>
          </w:p>
        </w:tc>
      </w:tr>
      <w:tr w:rsidR="00505D84" w:rsidRPr="005F554E" w14:paraId="346F1ADB" w14:textId="77777777" w:rsidTr="00662800">
        <w:trPr>
          <w:trHeight w:val="300"/>
        </w:trPr>
        <w:tc>
          <w:tcPr>
            <w:tcW w:w="1860" w:type="dxa"/>
            <w:tcBorders>
              <w:top w:val="nil"/>
              <w:left w:val="single" w:sz="4" w:space="0" w:color="auto"/>
              <w:bottom w:val="nil"/>
              <w:right w:val="nil"/>
            </w:tcBorders>
            <w:shd w:val="clear" w:color="auto" w:fill="auto"/>
            <w:noWrap/>
            <w:vAlign w:val="bottom"/>
            <w:hideMark/>
          </w:tcPr>
          <w:p w14:paraId="2BC34557" w14:textId="2918950D" w:rsidR="00505D84" w:rsidRPr="005F554E" w:rsidRDefault="00505D84" w:rsidP="00505D84">
            <w:pPr>
              <w:spacing w:after="0" w:line="240" w:lineRule="auto"/>
              <w:ind w:left="402"/>
              <w:rPr>
                <w:rFonts w:ascii="Calibri" w:eastAsia="Times New Roman" w:hAnsi="Calibri" w:cs="Calibri"/>
                <w:color w:val="000000"/>
                <w:lang w:eastAsia="en-NZ"/>
              </w:rPr>
            </w:pPr>
            <w:r>
              <w:rPr>
                <w:rFonts w:ascii="Calibri" w:eastAsia="Times New Roman" w:hAnsi="Calibri" w:cs="Calibri"/>
                <w:color w:val="000000"/>
                <w:lang w:eastAsia="en-NZ"/>
              </w:rPr>
              <w:t>1</w:t>
            </w:r>
            <w:r w:rsidRPr="00900E80">
              <w:rPr>
                <w:rFonts w:ascii="Calibri" w:eastAsia="Times New Roman" w:hAnsi="Calibri" w:cs="Calibri"/>
                <w:color w:val="000000"/>
                <w:vertAlign w:val="superscript"/>
                <w:lang w:eastAsia="en-NZ"/>
              </w:rPr>
              <w:t>st</w:t>
            </w:r>
            <w:r w:rsidRPr="005F554E">
              <w:rPr>
                <w:rFonts w:ascii="Calibri" w:eastAsia="Times New Roman" w:hAnsi="Calibri" w:cs="Calibri"/>
                <w:color w:val="000000"/>
                <w:lang w:eastAsia="en-NZ"/>
              </w:rPr>
              <w:t xml:space="preserve"> child </w:t>
            </w:r>
          </w:p>
        </w:tc>
        <w:tc>
          <w:tcPr>
            <w:tcW w:w="1103" w:type="dxa"/>
            <w:tcBorders>
              <w:top w:val="nil"/>
              <w:left w:val="nil"/>
              <w:bottom w:val="nil"/>
              <w:right w:val="nil"/>
            </w:tcBorders>
            <w:shd w:val="clear" w:color="auto" w:fill="auto"/>
            <w:noWrap/>
            <w:vAlign w:val="bottom"/>
            <w:hideMark/>
          </w:tcPr>
          <w:p w14:paraId="7D47E5D4" w14:textId="77777777" w:rsidR="00505D84" w:rsidRPr="005F554E" w:rsidRDefault="00505D84" w:rsidP="00505D84">
            <w:pPr>
              <w:spacing w:after="0" w:line="240" w:lineRule="auto"/>
              <w:jc w:val="center"/>
              <w:rPr>
                <w:rFonts w:ascii="Calibri" w:eastAsia="Times New Roman" w:hAnsi="Calibri" w:cs="Calibri"/>
                <w:color w:val="000000"/>
                <w:lang w:eastAsia="en-NZ"/>
              </w:rPr>
            </w:pPr>
            <w:r w:rsidRPr="005F554E">
              <w:rPr>
                <w:rFonts w:ascii="Calibri" w:eastAsia="Times New Roman" w:hAnsi="Calibri" w:cs="Calibri"/>
                <w:color w:val="000000"/>
                <w:lang w:eastAsia="en-NZ"/>
              </w:rPr>
              <w:t>113</w:t>
            </w:r>
          </w:p>
        </w:tc>
        <w:tc>
          <w:tcPr>
            <w:tcW w:w="1103" w:type="dxa"/>
            <w:tcBorders>
              <w:top w:val="nil"/>
              <w:left w:val="nil"/>
              <w:bottom w:val="nil"/>
              <w:right w:val="nil"/>
            </w:tcBorders>
            <w:shd w:val="clear" w:color="auto" w:fill="auto"/>
            <w:noWrap/>
            <w:vAlign w:val="bottom"/>
            <w:hideMark/>
          </w:tcPr>
          <w:p w14:paraId="4A49044E" w14:textId="77777777" w:rsidR="00505D84" w:rsidRPr="005F554E" w:rsidRDefault="00505D84" w:rsidP="00505D84">
            <w:pPr>
              <w:spacing w:after="0" w:line="240" w:lineRule="auto"/>
              <w:jc w:val="center"/>
              <w:rPr>
                <w:rFonts w:ascii="Calibri" w:eastAsia="Times New Roman" w:hAnsi="Calibri" w:cs="Calibri"/>
                <w:color w:val="000000"/>
                <w:lang w:eastAsia="en-NZ"/>
              </w:rPr>
            </w:pPr>
            <w:r w:rsidRPr="005F554E">
              <w:rPr>
                <w:rFonts w:ascii="Calibri" w:eastAsia="Times New Roman" w:hAnsi="Calibri" w:cs="Calibri"/>
                <w:color w:val="000000"/>
                <w:lang w:eastAsia="en-NZ"/>
              </w:rPr>
              <w:t>113</w:t>
            </w:r>
          </w:p>
        </w:tc>
        <w:tc>
          <w:tcPr>
            <w:tcW w:w="1103" w:type="dxa"/>
            <w:tcBorders>
              <w:top w:val="nil"/>
              <w:left w:val="nil"/>
              <w:bottom w:val="nil"/>
              <w:right w:val="nil"/>
            </w:tcBorders>
            <w:shd w:val="clear" w:color="auto" w:fill="auto"/>
            <w:noWrap/>
            <w:vAlign w:val="bottom"/>
            <w:hideMark/>
          </w:tcPr>
          <w:p w14:paraId="6E36FBC6" w14:textId="35BEA28F"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128</w:t>
            </w:r>
          </w:p>
        </w:tc>
        <w:tc>
          <w:tcPr>
            <w:tcW w:w="1463" w:type="dxa"/>
            <w:tcBorders>
              <w:top w:val="single" w:sz="4" w:space="0" w:color="auto"/>
              <w:left w:val="nil"/>
              <w:bottom w:val="nil"/>
              <w:right w:val="single" w:sz="4" w:space="0" w:color="auto"/>
            </w:tcBorders>
            <w:shd w:val="clear" w:color="auto" w:fill="auto"/>
            <w:noWrap/>
            <w:vAlign w:val="bottom"/>
            <w:hideMark/>
          </w:tcPr>
          <w:p w14:paraId="4E65DA28" w14:textId="6D6F1546"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13.27%</w:t>
            </w:r>
          </w:p>
        </w:tc>
      </w:tr>
      <w:tr w:rsidR="00505D84" w:rsidRPr="005F554E" w14:paraId="604B3D5F" w14:textId="77777777" w:rsidTr="00662800">
        <w:trPr>
          <w:trHeight w:val="300"/>
        </w:trPr>
        <w:tc>
          <w:tcPr>
            <w:tcW w:w="1860" w:type="dxa"/>
            <w:tcBorders>
              <w:top w:val="nil"/>
              <w:left w:val="single" w:sz="4" w:space="0" w:color="auto"/>
              <w:bottom w:val="nil"/>
              <w:right w:val="nil"/>
            </w:tcBorders>
            <w:shd w:val="clear" w:color="auto" w:fill="auto"/>
            <w:noWrap/>
            <w:vAlign w:val="bottom"/>
            <w:hideMark/>
          </w:tcPr>
          <w:p w14:paraId="256613BC" w14:textId="77777777" w:rsidR="00505D84" w:rsidRPr="005F554E" w:rsidRDefault="00505D84" w:rsidP="00505D84">
            <w:pPr>
              <w:spacing w:after="0" w:line="240" w:lineRule="auto"/>
              <w:ind w:left="402"/>
              <w:rPr>
                <w:rFonts w:ascii="Calibri" w:eastAsia="Times New Roman" w:hAnsi="Calibri" w:cs="Calibri"/>
                <w:color w:val="000000"/>
                <w:lang w:eastAsia="en-NZ"/>
              </w:rPr>
            </w:pPr>
            <w:r w:rsidRPr="005F554E">
              <w:rPr>
                <w:rFonts w:ascii="Calibri" w:eastAsia="Times New Roman" w:hAnsi="Calibri" w:cs="Calibri"/>
                <w:color w:val="000000"/>
                <w:lang w:eastAsia="en-NZ"/>
              </w:rPr>
              <w:t>2</w:t>
            </w:r>
            <w:r w:rsidRPr="00900E80">
              <w:rPr>
                <w:rFonts w:ascii="Calibri" w:eastAsia="Times New Roman" w:hAnsi="Calibri" w:cs="Calibri"/>
                <w:color w:val="000000"/>
                <w:vertAlign w:val="superscript"/>
                <w:lang w:eastAsia="en-NZ"/>
              </w:rPr>
              <w:t>nd</w:t>
            </w:r>
            <w:r w:rsidRPr="005F554E">
              <w:rPr>
                <w:rFonts w:ascii="Calibri" w:eastAsia="Times New Roman" w:hAnsi="Calibri" w:cs="Calibri"/>
                <w:color w:val="000000"/>
                <w:lang w:eastAsia="en-NZ"/>
              </w:rPr>
              <w:t xml:space="preserve"> child </w:t>
            </w:r>
          </w:p>
        </w:tc>
        <w:tc>
          <w:tcPr>
            <w:tcW w:w="1103" w:type="dxa"/>
            <w:tcBorders>
              <w:top w:val="nil"/>
              <w:left w:val="nil"/>
              <w:bottom w:val="nil"/>
              <w:right w:val="nil"/>
            </w:tcBorders>
            <w:shd w:val="clear" w:color="auto" w:fill="auto"/>
            <w:noWrap/>
            <w:vAlign w:val="bottom"/>
            <w:hideMark/>
          </w:tcPr>
          <w:p w14:paraId="580FD469" w14:textId="77777777" w:rsidR="00505D84" w:rsidRPr="005F554E" w:rsidRDefault="00505D84" w:rsidP="00505D84">
            <w:pPr>
              <w:spacing w:after="0" w:line="240" w:lineRule="auto"/>
              <w:jc w:val="center"/>
              <w:rPr>
                <w:rFonts w:ascii="Calibri" w:eastAsia="Times New Roman" w:hAnsi="Calibri" w:cs="Calibri"/>
                <w:color w:val="000000"/>
                <w:lang w:eastAsia="en-NZ"/>
              </w:rPr>
            </w:pPr>
            <w:r w:rsidRPr="005F554E">
              <w:rPr>
                <w:rFonts w:ascii="Calibri" w:eastAsia="Times New Roman" w:hAnsi="Calibri" w:cs="Calibri"/>
                <w:color w:val="000000"/>
                <w:lang w:eastAsia="en-NZ"/>
              </w:rPr>
              <w:t>91</w:t>
            </w:r>
          </w:p>
        </w:tc>
        <w:tc>
          <w:tcPr>
            <w:tcW w:w="1103" w:type="dxa"/>
            <w:tcBorders>
              <w:top w:val="nil"/>
              <w:left w:val="nil"/>
              <w:bottom w:val="nil"/>
              <w:right w:val="nil"/>
            </w:tcBorders>
            <w:shd w:val="clear" w:color="auto" w:fill="auto"/>
            <w:noWrap/>
            <w:vAlign w:val="bottom"/>
            <w:hideMark/>
          </w:tcPr>
          <w:p w14:paraId="72549410" w14:textId="77777777" w:rsidR="00505D84" w:rsidRPr="005F554E" w:rsidRDefault="00505D84" w:rsidP="00505D84">
            <w:pPr>
              <w:spacing w:after="0" w:line="240" w:lineRule="auto"/>
              <w:jc w:val="center"/>
              <w:rPr>
                <w:rFonts w:ascii="Calibri" w:eastAsia="Times New Roman" w:hAnsi="Calibri" w:cs="Calibri"/>
                <w:color w:val="000000"/>
                <w:lang w:eastAsia="en-NZ"/>
              </w:rPr>
            </w:pPr>
            <w:r w:rsidRPr="005F554E">
              <w:rPr>
                <w:rFonts w:ascii="Calibri" w:eastAsia="Times New Roman" w:hAnsi="Calibri" w:cs="Calibri"/>
                <w:color w:val="000000"/>
                <w:lang w:eastAsia="en-NZ"/>
              </w:rPr>
              <w:t>91</w:t>
            </w:r>
          </w:p>
        </w:tc>
        <w:tc>
          <w:tcPr>
            <w:tcW w:w="1103" w:type="dxa"/>
            <w:tcBorders>
              <w:top w:val="nil"/>
              <w:left w:val="nil"/>
              <w:bottom w:val="nil"/>
              <w:right w:val="nil"/>
            </w:tcBorders>
            <w:shd w:val="clear" w:color="auto" w:fill="auto"/>
            <w:noWrap/>
            <w:vAlign w:val="bottom"/>
            <w:hideMark/>
          </w:tcPr>
          <w:p w14:paraId="31C11470" w14:textId="599009A7"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104</w:t>
            </w:r>
          </w:p>
        </w:tc>
        <w:tc>
          <w:tcPr>
            <w:tcW w:w="1463" w:type="dxa"/>
            <w:tcBorders>
              <w:top w:val="nil"/>
              <w:left w:val="nil"/>
              <w:bottom w:val="nil"/>
              <w:right w:val="single" w:sz="4" w:space="0" w:color="auto"/>
            </w:tcBorders>
            <w:shd w:val="clear" w:color="auto" w:fill="auto"/>
            <w:noWrap/>
            <w:vAlign w:val="bottom"/>
            <w:hideMark/>
          </w:tcPr>
          <w:p w14:paraId="5739D272" w14:textId="05CF22D0"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14.29%</w:t>
            </w:r>
          </w:p>
        </w:tc>
      </w:tr>
      <w:tr w:rsidR="00505D84" w:rsidRPr="005F554E" w14:paraId="2DF077D5" w14:textId="77777777" w:rsidTr="00662800">
        <w:trPr>
          <w:trHeight w:val="300"/>
        </w:trPr>
        <w:tc>
          <w:tcPr>
            <w:tcW w:w="1860" w:type="dxa"/>
            <w:tcBorders>
              <w:top w:val="nil"/>
              <w:left w:val="single" w:sz="4" w:space="0" w:color="auto"/>
              <w:bottom w:val="nil"/>
              <w:right w:val="nil"/>
            </w:tcBorders>
            <w:shd w:val="clear" w:color="auto" w:fill="auto"/>
            <w:noWrap/>
            <w:vAlign w:val="bottom"/>
            <w:hideMark/>
          </w:tcPr>
          <w:p w14:paraId="417E5D2C" w14:textId="77777777" w:rsidR="00505D84" w:rsidRPr="005F554E" w:rsidRDefault="00505D84" w:rsidP="00505D84">
            <w:pPr>
              <w:spacing w:after="0" w:line="240" w:lineRule="auto"/>
              <w:ind w:left="402"/>
              <w:rPr>
                <w:rFonts w:ascii="Calibri" w:eastAsia="Times New Roman" w:hAnsi="Calibri" w:cs="Calibri"/>
                <w:color w:val="000000"/>
                <w:lang w:eastAsia="en-NZ"/>
              </w:rPr>
            </w:pPr>
            <w:r w:rsidRPr="005F554E">
              <w:rPr>
                <w:rFonts w:ascii="Calibri" w:eastAsia="Times New Roman" w:hAnsi="Calibri" w:cs="Calibri"/>
                <w:color w:val="000000"/>
                <w:lang w:eastAsia="en-NZ"/>
              </w:rPr>
              <w:t>3</w:t>
            </w:r>
            <w:r w:rsidRPr="00642496">
              <w:rPr>
                <w:rFonts w:ascii="Calibri" w:eastAsia="Times New Roman" w:hAnsi="Calibri" w:cs="Calibri"/>
                <w:color w:val="000000"/>
                <w:vertAlign w:val="superscript"/>
                <w:lang w:eastAsia="en-NZ"/>
              </w:rPr>
              <w:t>rd</w:t>
            </w:r>
          </w:p>
        </w:tc>
        <w:tc>
          <w:tcPr>
            <w:tcW w:w="1103" w:type="dxa"/>
            <w:tcBorders>
              <w:top w:val="nil"/>
              <w:left w:val="nil"/>
              <w:bottom w:val="nil"/>
              <w:right w:val="nil"/>
            </w:tcBorders>
            <w:shd w:val="clear" w:color="auto" w:fill="auto"/>
            <w:noWrap/>
            <w:vAlign w:val="bottom"/>
            <w:hideMark/>
          </w:tcPr>
          <w:p w14:paraId="27C93DE6" w14:textId="77777777" w:rsidR="00505D84" w:rsidRPr="005F554E" w:rsidRDefault="00505D84" w:rsidP="00505D84">
            <w:pPr>
              <w:spacing w:after="0" w:line="240" w:lineRule="auto"/>
              <w:jc w:val="center"/>
              <w:rPr>
                <w:rFonts w:ascii="Calibri" w:eastAsia="Times New Roman" w:hAnsi="Calibri" w:cs="Calibri"/>
                <w:color w:val="000000"/>
                <w:lang w:eastAsia="en-NZ"/>
              </w:rPr>
            </w:pPr>
            <w:r w:rsidRPr="005F554E">
              <w:rPr>
                <w:rFonts w:ascii="Calibri" w:eastAsia="Times New Roman" w:hAnsi="Calibri" w:cs="Calibri"/>
                <w:color w:val="000000"/>
                <w:lang w:eastAsia="en-NZ"/>
              </w:rPr>
              <w:t>91</w:t>
            </w:r>
          </w:p>
        </w:tc>
        <w:tc>
          <w:tcPr>
            <w:tcW w:w="1103" w:type="dxa"/>
            <w:tcBorders>
              <w:top w:val="nil"/>
              <w:left w:val="nil"/>
              <w:bottom w:val="nil"/>
              <w:right w:val="nil"/>
            </w:tcBorders>
            <w:shd w:val="clear" w:color="auto" w:fill="auto"/>
            <w:noWrap/>
            <w:vAlign w:val="bottom"/>
            <w:hideMark/>
          </w:tcPr>
          <w:p w14:paraId="6E585D05" w14:textId="77777777" w:rsidR="00505D84" w:rsidRPr="005F554E" w:rsidRDefault="00505D84" w:rsidP="00505D84">
            <w:pPr>
              <w:spacing w:after="0" w:line="240" w:lineRule="auto"/>
              <w:jc w:val="center"/>
              <w:rPr>
                <w:rFonts w:ascii="Calibri" w:eastAsia="Times New Roman" w:hAnsi="Calibri" w:cs="Calibri"/>
                <w:color w:val="000000"/>
                <w:lang w:eastAsia="en-NZ"/>
              </w:rPr>
            </w:pPr>
            <w:r w:rsidRPr="005F554E">
              <w:rPr>
                <w:rFonts w:ascii="Calibri" w:eastAsia="Times New Roman" w:hAnsi="Calibri" w:cs="Calibri"/>
                <w:color w:val="000000"/>
                <w:lang w:eastAsia="en-NZ"/>
              </w:rPr>
              <w:t>91</w:t>
            </w:r>
          </w:p>
        </w:tc>
        <w:tc>
          <w:tcPr>
            <w:tcW w:w="1103" w:type="dxa"/>
            <w:tcBorders>
              <w:top w:val="nil"/>
              <w:left w:val="nil"/>
              <w:bottom w:val="nil"/>
              <w:right w:val="nil"/>
            </w:tcBorders>
            <w:shd w:val="clear" w:color="auto" w:fill="auto"/>
            <w:noWrap/>
            <w:vAlign w:val="bottom"/>
            <w:hideMark/>
          </w:tcPr>
          <w:p w14:paraId="4EF5790F" w14:textId="7677428D"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104</w:t>
            </w:r>
          </w:p>
        </w:tc>
        <w:tc>
          <w:tcPr>
            <w:tcW w:w="1463" w:type="dxa"/>
            <w:tcBorders>
              <w:top w:val="nil"/>
              <w:left w:val="nil"/>
              <w:bottom w:val="nil"/>
              <w:right w:val="single" w:sz="4" w:space="0" w:color="auto"/>
            </w:tcBorders>
            <w:shd w:val="clear" w:color="auto" w:fill="auto"/>
            <w:noWrap/>
            <w:vAlign w:val="bottom"/>
            <w:hideMark/>
          </w:tcPr>
          <w:p w14:paraId="3A32122F" w14:textId="584115E1"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14.29%</w:t>
            </w:r>
          </w:p>
        </w:tc>
      </w:tr>
      <w:tr w:rsidR="00505D84" w:rsidRPr="005F554E" w14:paraId="3EEC993D" w14:textId="77777777" w:rsidTr="00662800">
        <w:trPr>
          <w:trHeight w:val="300"/>
        </w:trPr>
        <w:tc>
          <w:tcPr>
            <w:tcW w:w="1860" w:type="dxa"/>
            <w:tcBorders>
              <w:top w:val="nil"/>
              <w:left w:val="single" w:sz="4" w:space="0" w:color="auto"/>
              <w:bottom w:val="nil"/>
              <w:right w:val="nil"/>
            </w:tcBorders>
            <w:shd w:val="clear" w:color="auto" w:fill="auto"/>
            <w:noWrap/>
            <w:vAlign w:val="bottom"/>
            <w:hideMark/>
          </w:tcPr>
          <w:p w14:paraId="7D31E949" w14:textId="77777777" w:rsidR="00505D84" w:rsidRPr="005F554E" w:rsidRDefault="00505D84" w:rsidP="00505D84">
            <w:pPr>
              <w:spacing w:after="0" w:line="240" w:lineRule="auto"/>
              <w:ind w:left="402"/>
              <w:rPr>
                <w:rFonts w:ascii="Calibri" w:eastAsia="Times New Roman" w:hAnsi="Calibri" w:cs="Calibri"/>
                <w:color w:val="000000"/>
                <w:lang w:eastAsia="en-NZ"/>
              </w:rPr>
            </w:pPr>
            <w:r w:rsidRPr="005F554E">
              <w:rPr>
                <w:rFonts w:ascii="Calibri" w:eastAsia="Times New Roman" w:hAnsi="Calibri" w:cs="Calibri"/>
                <w:color w:val="000000"/>
                <w:lang w:eastAsia="en-NZ"/>
              </w:rPr>
              <w:t>4</w:t>
            </w:r>
            <w:r w:rsidRPr="00642496">
              <w:rPr>
                <w:rFonts w:ascii="Calibri" w:eastAsia="Times New Roman" w:hAnsi="Calibri" w:cs="Calibri"/>
                <w:color w:val="000000"/>
                <w:vertAlign w:val="superscript"/>
                <w:lang w:eastAsia="en-NZ"/>
              </w:rPr>
              <w:t>th</w:t>
            </w:r>
          </w:p>
        </w:tc>
        <w:tc>
          <w:tcPr>
            <w:tcW w:w="1103" w:type="dxa"/>
            <w:tcBorders>
              <w:top w:val="nil"/>
              <w:left w:val="nil"/>
              <w:bottom w:val="nil"/>
              <w:right w:val="nil"/>
            </w:tcBorders>
            <w:shd w:val="clear" w:color="auto" w:fill="auto"/>
            <w:noWrap/>
            <w:vAlign w:val="bottom"/>
            <w:hideMark/>
          </w:tcPr>
          <w:p w14:paraId="7ECF9D96" w14:textId="315BD1FA"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91</w:t>
            </w:r>
          </w:p>
        </w:tc>
        <w:tc>
          <w:tcPr>
            <w:tcW w:w="1103" w:type="dxa"/>
            <w:tcBorders>
              <w:top w:val="nil"/>
              <w:left w:val="nil"/>
              <w:bottom w:val="nil"/>
              <w:right w:val="nil"/>
            </w:tcBorders>
            <w:shd w:val="clear" w:color="auto" w:fill="auto"/>
            <w:noWrap/>
            <w:vAlign w:val="bottom"/>
            <w:hideMark/>
          </w:tcPr>
          <w:p w14:paraId="7DDD7E4C" w14:textId="0895D291"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91</w:t>
            </w:r>
          </w:p>
        </w:tc>
        <w:tc>
          <w:tcPr>
            <w:tcW w:w="1103" w:type="dxa"/>
            <w:tcBorders>
              <w:top w:val="nil"/>
              <w:left w:val="nil"/>
              <w:bottom w:val="nil"/>
              <w:right w:val="nil"/>
            </w:tcBorders>
            <w:shd w:val="clear" w:color="auto" w:fill="auto"/>
            <w:noWrap/>
            <w:vAlign w:val="bottom"/>
            <w:hideMark/>
          </w:tcPr>
          <w:p w14:paraId="35431EB9" w14:textId="53F13FEA"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104</w:t>
            </w:r>
          </w:p>
        </w:tc>
        <w:tc>
          <w:tcPr>
            <w:tcW w:w="1463" w:type="dxa"/>
            <w:tcBorders>
              <w:top w:val="nil"/>
              <w:left w:val="nil"/>
              <w:bottom w:val="nil"/>
              <w:right w:val="single" w:sz="4" w:space="0" w:color="auto"/>
            </w:tcBorders>
            <w:shd w:val="clear" w:color="auto" w:fill="auto"/>
            <w:noWrap/>
            <w:vAlign w:val="bottom"/>
            <w:hideMark/>
          </w:tcPr>
          <w:p w14:paraId="6AFE7572" w14:textId="692DD26A"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14.29%</w:t>
            </w:r>
          </w:p>
        </w:tc>
      </w:tr>
      <w:tr w:rsidR="00505D84" w:rsidRPr="005F554E" w14:paraId="064D52CA" w14:textId="77777777" w:rsidTr="00662800">
        <w:trPr>
          <w:trHeight w:val="300"/>
        </w:trPr>
        <w:tc>
          <w:tcPr>
            <w:tcW w:w="1860" w:type="dxa"/>
            <w:tcBorders>
              <w:top w:val="nil"/>
              <w:left w:val="single" w:sz="4" w:space="0" w:color="auto"/>
              <w:bottom w:val="nil"/>
              <w:right w:val="nil"/>
            </w:tcBorders>
            <w:shd w:val="clear" w:color="auto" w:fill="auto"/>
            <w:noWrap/>
            <w:vAlign w:val="bottom"/>
            <w:hideMark/>
          </w:tcPr>
          <w:p w14:paraId="15BF98B2" w14:textId="77777777" w:rsidR="00505D84" w:rsidRPr="005F554E" w:rsidRDefault="00505D84" w:rsidP="00505D84">
            <w:pPr>
              <w:spacing w:after="0" w:line="240" w:lineRule="auto"/>
              <w:ind w:left="402"/>
              <w:rPr>
                <w:rFonts w:ascii="Calibri" w:eastAsia="Times New Roman" w:hAnsi="Calibri" w:cs="Calibri"/>
                <w:color w:val="000000"/>
                <w:lang w:eastAsia="en-NZ"/>
              </w:rPr>
            </w:pPr>
            <w:r w:rsidRPr="005F554E">
              <w:rPr>
                <w:rFonts w:ascii="Calibri" w:eastAsia="Times New Roman" w:hAnsi="Calibri" w:cs="Calibri"/>
                <w:color w:val="000000"/>
                <w:lang w:eastAsia="en-NZ"/>
              </w:rPr>
              <w:t>5</w:t>
            </w:r>
            <w:r w:rsidRPr="00642496">
              <w:rPr>
                <w:rFonts w:ascii="Calibri" w:eastAsia="Times New Roman" w:hAnsi="Calibri" w:cs="Calibri"/>
                <w:color w:val="000000"/>
                <w:vertAlign w:val="superscript"/>
                <w:lang w:eastAsia="en-NZ"/>
              </w:rPr>
              <w:t>th</w:t>
            </w:r>
          </w:p>
        </w:tc>
        <w:tc>
          <w:tcPr>
            <w:tcW w:w="1103" w:type="dxa"/>
            <w:tcBorders>
              <w:top w:val="nil"/>
              <w:left w:val="nil"/>
              <w:bottom w:val="nil"/>
              <w:right w:val="nil"/>
            </w:tcBorders>
            <w:shd w:val="clear" w:color="auto" w:fill="auto"/>
            <w:noWrap/>
            <w:vAlign w:val="bottom"/>
            <w:hideMark/>
          </w:tcPr>
          <w:p w14:paraId="7251AED7" w14:textId="2702E903"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91</w:t>
            </w:r>
          </w:p>
        </w:tc>
        <w:tc>
          <w:tcPr>
            <w:tcW w:w="1103" w:type="dxa"/>
            <w:tcBorders>
              <w:top w:val="nil"/>
              <w:left w:val="nil"/>
              <w:bottom w:val="nil"/>
              <w:right w:val="nil"/>
            </w:tcBorders>
            <w:shd w:val="clear" w:color="auto" w:fill="auto"/>
            <w:noWrap/>
            <w:vAlign w:val="bottom"/>
            <w:hideMark/>
          </w:tcPr>
          <w:p w14:paraId="42AD6790" w14:textId="0D5A0333"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9</w:t>
            </w:r>
            <w:r w:rsidRPr="005F554E">
              <w:rPr>
                <w:rFonts w:ascii="Calibri" w:eastAsia="Times New Roman" w:hAnsi="Calibri" w:cs="Calibri"/>
                <w:color w:val="000000"/>
                <w:lang w:eastAsia="en-NZ"/>
              </w:rPr>
              <w:t>1</w:t>
            </w:r>
          </w:p>
        </w:tc>
        <w:tc>
          <w:tcPr>
            <w:tcW w:w="1103" w:type="dxa"/>
            <w:tcBorders>
              <w:top w:val="nil"/>
              <w:left w:val="nil"/>
              <w:bottom w:val="nil"/>
              <w:right w:val="nil"/>
            </w:tcBorders>
            <w:shd w:val="clear" w:color="auto" w:fill="auto"/>
            <w:noWrap/>
            <w:vAlign w:val="bottom"/>
            <w:hideMark/>
          </w:tcPr>
          <w:p w14:paraId="116AEA17" w14:textId="1DEE279E"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104</w:t>
            </w:r>
          </w:p>
        </w:tc>
        <w:tc>
          <w:tcPr>
            <w:tcW w:w="1463" w:type="dxa"/>
            <w:tcBorders>
              <w:top w:val="nil"/>
              <w:left w:val="nil"/>
              <w:bottom w:val="nil"/>
              <w:right w:val="single" w:sz="4" w:space="0" w:color="auto"/>
            </w:tcBorders>
            <w:shd w:val="clear" w:color="auto" w:fill="auto"/>
            <w:noWrap/>
            <w:vAlign w:val="bottom"/>
            <w:hideMark/>
          </w:tcPr>
          <w:p w14:paraId="4DA3219D" w14:textId="54729C95"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14.29%</w:t>
            </w:r>
          </w:p>
        </w:tc>
      </w:tr>
      <w:tr w:rsidR="00505D84" w:rsidRPr="005F554E" w14:paraId="43081C43" w14:textId="77777777" w:rsidTr="00662800">
        <w:trPr>
          <w:trHeight w:val="300"/>
        </w:trPr>
        <w:tc>
          <w:tcPr>
            <w:tcW w:w="1860" w:type="dxa"/>
            <w:tcBorders>
              <w:top w:val="nil"/>
              <w:left w:val="single" w:sz="4" w:space="0" w:color="auto"/>
              <w:bottom w:val="single" w:sz="4" w:space="0" w:color="auto"/>
              <w:right w:val="nil"/>
            </w:tcBorders>
            <w:shd w:val="clear" w:color="auto" w:fill="auto"/>
            <w:noWrap/>
            <w:vAlign w:val="bottom"/>
            <w:hideMark/>
          </w:tcPr>
          <w:p w14:paraId="5F6DBF2F" w14:textId="77777777" w:rsidR="00505D84" w:rsidRPr="005F554E" w:rsidRDefault="00505D84" w:rsidP="00505D84">
            <w:pPr>
              <w:spacing w:after="0" w:line="240" w:lineRule="auto"/>
              <w:ind w:left="402"/>
              <w:rPr>
                <w:rFonts w:ascii="Calibri" w:eastAsia="Times New Roman" w:hAnsi="Calibri" w:cs="Calibri"/>
                <w:color w:val="000000"/>
                <w:lang w:eastAsia="en-NZ"/>
              </w:rPr>
            </w:pPr>
            <w:r w:rsidRPr="005F554E">
              <w:rPr>
                <w:rFonts w:ascii="Calibri" w:eastAsia="Times New Roman" w:hAnsi="Calibri" w:cs="Calibri"/>
                <w:color w:val="000000"/>
                <w:lang w:eastAsia="en-NZ"/>
              </w:rPr>
              <w:t>6</w:t>
            </w:r>
            <w:r w:rsidRPr="00642496">
              <w:rPr>
                <w:rFonts w:ascii="Calibri" w:eastAsia="Times New Roman" w:hAnsi="Calibri" w:cs="Calibri"/>
                <w:color w:val="000000"/>
                <w:vertAlign w:val="superscript"/>
                <w:lang w:eastAsia="en-NZ"/>
              </w:rPr>
              <w:t>th</w:t>
            </w:r>
          </w:p>
        </w:tc>
        <w:tc>
          <w:tcPr>
            <w:tcW w:w="1103" w:type="dxa"/>
            <w:tcBorders>
              <w:top w:val="nil"/>
              <w:left w:val="nil"/>
              <w:bottom w:val="single" w:sz="4" w:space="0" w:color="auto"/>
              <w:right w:val="nil"/>
            </w:tcBorders>
            <w:shd w:val="clear" w:color="auto" w:fill="auto"/>
            <w:noWrap/>
            <w:vAlign w:val="bottom"/>
            <w:hideMark/>
          </w:tcPr>
          <w:p w14:paraId="104C69EF" w14:textId="1B1B60BB"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91</w:t>
            </w:r>
          </w:p>
        </w:tc>
        <w:tc>
          <w:tcPr>
            <w:tcW w:w="1103" w:type="dxa"/>
            <w:tcBorders>
              <w:top w:val="nil"/>
              <w:left w:val="nil"/>
              <w:bottom w:val="single" w:sz="4" w:space="0" w:color="auto"/>
              <w:right w:val="nil"/>
            </w:tcBorders>
            <w:shd w:val="clear" w:color="auto" w:fill="auto"/>
            <w:noWrap/>
            <w:vAlign w:val="bottom"/>
            <w:hideMark/>
          </w:tcPr>
          <w:p w14:paraId="5E88B2F7" w14:textId="4FED32BE"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eastAsia="Times New Roman" w:hAnsi="Calibri" w:cs="Calibri"/>
                <w:color w:val="000000"/>
                <w:lang w:eastAsia="en-NZ"/>
              </w:rPr>
              <w:t>91</w:t>
            </w:r>
          </w:p>
        </w:tc>
        <w:tc>
          <w:tcPr>
            <w:tcW w:w="1103" w:type="dxa"/>
            <w:tcBorders>
              <w:top w:val="nil"/>
              <w:left w:val="nil"/>
              <w:bottom w:val="single" w:sz="4" w:space="0" w:color="auto"/>
              <w:right w:val="nil"/>
            </w:tcBorders>
            <w:shd w:val="clear" w:color="auto" w:fill="auto"/>
            <w:noWrap/>
            <w:vAlign w:val="bottom"/>
            <w:hideMark/>
          </w:tcPr>
          <w:p w14:paraId="3D468FF6" w14:textId="4BEDE535"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104</w:t>
            </w:r>
          </w:p>
        </w:tc>
        <w:tc>
          <w:tcPr>
            <w:tcW w:w="1463" w:type="dxa"/>
            <w:tcBorders>
              <w:top w:val="nil"/>
              <w:left w:val="nil"/>
              <w:bottom w:val="single" w:sz="4" w:space="0" w:color="auto"/>
              <w:right w:val="single" w:sz="4" w:space="0" w:color="auto"/>
            </w:tcBorders>
            <w:shd w:val="clear" w:color="auto" w:fill="auto"/>
            <w:noWrap/>
            <w:vAlign w:val="bottom"/>
            <w:hideMark/>
          </w:tcPr>
          <w:p w14:paraId="570DAF3A" w14:textId="007EFD5F" w:rsidR="00505D84" w:rsidRPr="005F554E" w:rsidRDefault="00505D84" w:rsidP="00505D84">
            <w:pPr>
              <w:spacing w:after="0" w:line="240" w:lineRule="auto"/>
              <w:jc w:val="center"/>
              <w:rPr>
                <w:rFonts w:ascii="Calibri" w:eastAsia="Times New Roman" w:hAnsi="Calibri" w:cs="Calibri"/>
                <w:color w:val="000000"/>
                <w:lang w:eastAsia="en-NZ"/>
              </w:rPr>
            </w:pPr>
            <w:r>
              <w:rPr>
                <w:rFonts w:ascii="Calibri" w:hAnsi="Calibri" w:cs="Calibri"/>
                <w:color w:val="000000"/>
              </w:rPr>
              <w:t>14.29%</w:t>
            </w:r>
          </w:p>
        </w:tc>
      </w:tr>
    </w:tbl>
    <w:p w14:paraId="153B9E10" w14:textId="77777777" w:rsidR="00505D84" w:rsidRDefault="00505D84" w:rsidP="00900E80">
      <w:pPr>
        <w:spacing w:after="0" w:line="240" w:lineRule="auto"/>
        <w:rPr>
          <w:b/>
          <w:bCs/>
        </w:rPr>
      </w:pPr>
    </w:p>
    <w:p w14:paraId="61E3254C" w14:textId="18D9C136" w:rsidR="003A1821" w:rsidRPr="00B13CF6" w:rsidRDefault="00A06C0C" w:rsidP="00900E80">
      <w:pPr>
        <w:spacing w:after="0" w:line="240" w:lineRule="auto"/>
        <w:rPr>
          <w:b/>
          <w:bCs/>
        </w:rPr>
      </w:pPr>
      <w:r w:rsidRPr="00B13CF6">
        <w:rPr>
          <w:b/>
          <w:bCs/>
        </w:rPr>
        <w:t>T</w:t>
      </w:r>
      <w:r w:rsidR="00B13CF6" w:rsidRPr="00B13CF6">
        <w:rPr>
          <w:b/>
          <w:bCs/>
        </w:rPr>
        <w:t>a</w:t>
      </w:r>
      <w:r w:rsidRPr="00B13CF6">
        <w:rPr>
          <w:b/>
          <w:bCs/>
        </w:rPr>
        <w:t>ble 1 c</w:t>
      </w:r>
      <w:r w:rsidR="00B13CF6" w:rsidRPr="00B13CF6">
        <w:rPr>
          <w:b/>
          <w:bCs/>
        </w:rPr>
        <w:t xml:space="preserve">. </w:t>
      </w:r>
      <w:r w:rsidR="00852499">
        <w:rPr>
          <w:b/>
          <w:bCs/>
        </w:rPr>
        <w:t>Maximum</w:t>
      </w:r>
      <w:r w:rsidR="00852499" w:rsidRPr="00B13CF6">
        <w:rPr>
          <w:b/>
          <w:bCs/>
        </w:rPr>
        <w:t xml:space="preserve"> </w:t>
      </w:r>
      <w:r w:rsidR="00B13CF6" w:rsidRPr="00B13CF6">
        <w:rPr>
          <w:b/>
          <w:bCs/>
        </w:rPr>
        <w:t>Nominal annual WF</w:t>
      </w:r>
      <w:r w:rsidR="005006AF">
        <w:rPr>
          <w:b/>
          <w:bCs/>
        </w:rPr>
        <w:t>F</w:t>
      </w:r>
      <w:r w:rsidR="00B13CF6" w:rsidRPr="00B13CF6">
        <w:rPr>
          <w:b/>
          <w:bCs/>
        </w:rPr>
        <w:t xml:space="preserve"> tax credits for families 1-6 children</w:t>
      </w:r>
      <w:r w:rsidR="009743C2">
        <w:rPr>
          <w:b/>
          <w:bCs/>
        </w:rPr>
        <w:t>, with and without the IWTC</w:t>
      </w:r>
      <w:r w:rsidR="00AC168A">
        <w:rPr>
          <w:b/>
          <w:bCs/>
        </w:rPr>
        <w:t xml:space="preserve"> as at </w:t>
      </w:r>
      <w:r w:rsidR="00070CF2">
        <w:rPr>
          <w:b/>
          <w:bCs/>
        </w:rPr>
        <w:t xml:space="preserve">1 </w:t>
      </w:r>
      <w:r w:rsidR="00AC168A">
        <w:rPr>
          <w:b/>
          <w:bCs/>
        </w:rPr>
        <w:t>July 2021</w:t>
      </w:r>
      <w:r w:rsidR="005006AF">
        <w:rPr>
          <w:b/>
          <w:bCs/>
        </w:rPr>
        <w:t>, 5 year cumulative loss for those on benefits.</w:t>
      </w:r>
      <w:r w:rsidR="00B13CF6" w:rsidRPr="00B13CF6">
        <w:rPr>
          <w:b/>
          <w:bCs/>
        </w:rPr>
        <w:t xml:space="preserve"> </w:t>
      </w:r>
      <w:r w:rsidR="000B1EE4">
        <w:rPr>
          <w:b/>
          <w:bCs/>
        </w:rPr>
        <w:t>(NZD)</w:t>
      </w:r>
    </w:p>
    <w:tbl>
      <w:tblPr>
        <w:tblpPr w:leftFromText="180" w:rightFromText="180" w:vertAnchor="text" w:tblpY="1"/>
        <w:tblOverlap w:val="never"/>
        <w:tblW w:w="75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0"/>
        <w:gridCol w:w="999"/>
        <w:gridCol w:w="1007"/>
        <w:gridCol w:w="1276"/>
        <w:gridCol w:w="964"/>
        <w:gridCol w:w="1417"/>
      </w:tblGrid>
      <w:tr w:rsidR="006304DA" w:rsidRPr="006304DA" w14:paraId="277A5001" w14:textId="77777777" w:rsidTr="00587E3E">
        <w:trPr>
          <w:trHeight w:val="900"/>
        </w:trPr>
        <w:tc>
          <w:tcPr>
            <w:tcW w:w="1860" w:type="dxa"/>
            <w:tcBorders>
              <w:top w:val="single" w:sz="4" w:space="0" w:color="auto"/>
              <w:bottom w:val="single" w:sz="4" w:space="0" w:color="auto"/>
            </w:tcBorders>
            <w:shd w:val="clear" w:color="auto" w:fill="auto"/>
            <w:vAlign w:val="center"/>
            <w:hideMark/>
          </w:tcPr>
          <w:p w14:paraId="3C0FBD21" w14:textId="77777777" w:rsidR="006304DA" w:rsidRPr="009743C2" w:rsidRDefault="006304DA" w:rsidP="00587E3E">
            <w:pPr>
              <w:spacing w:after="0" w:line="240" w:lineRule="auto"/>
              <w:jc w:val="center"/>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 xml:space="preserve">WFF annual totals </w:t>
            </w:r>
          </w:p>
        </w:tc>
        <w:tc>
          <w:tcPr>
            <w:tcW w:w="999" w:type="dxa"/>
            <w:tcBorders>
              <w:top w:val="single" w:sz="4" w:space="0" w:color="auto"/>
              <w:bottom w:val="single" w:sz="4" w:space="0" w:color="auto"/>
            </w:tcBorders>
            <w:shd w:val="clear" w:color="auto" w:fill="auto"/>
            <w:noWrap/>
            <w:vAlign w:val="center"/>
            <w:hideMark/>
          </w:tcPr>
          <w:p w14:paraId="20094246" w14:textId="77777777" w:rsidR="006304DA" w:rsidRPr="009743C2" w:rsidRDefault="006304DA" w:rsidP="00587E3E">
            <w:pPr>
              <w:spacing w:after="0" w:line="240" w:lineRule="auto"/>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with IWTC</w:t>
            </w:r>
          </w:p>
          <w:p w14:paraId="42D779D9" w14:textId="1E4042A9" w:rsidR="00126DC6" w:rsidRPr="009743C2" w:rsidRDefault="00126DC6" w:rsidP="00587E3E">
            <w:pPr>
              <w:spacing w:after="0" w:line="240" w:lineRule="auto"/>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w:t>
            </w:r>
          </w:p>
        </w:tc>
        <w:tc>
          <w:tcPr>
            <w:tcW w:w="992" w:type="dxa"/>
            <w:tcBorders>
              <w:top w:val="single" w:sz="4" w:space="0" w:color="auto"/>
              <w:bottom w:val="single" w:sz="4" w:space="0" w:color="auto"/>
            </w:tcBorders>
            <w:shd w:val="clear" w:color="auto" w:fill="auto"/>
            <w:vAlign w:val="center"/>
            <w:hideMark/>
          </w:tcPr>
          <w:p w14:paraId="0E2CA460" w14:textId="77777777" w:rsidR="006304DA" w:rsidRPr="009743C2" w:rsidRDefault="006304DA" w:rsidP="00587E3E">
            <w:pPr>
              <w:spacing w:after="0" w:line="240" w:lineRule="auto"/>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without IWTC</w:t>
            </w:r>
          </w:p>
          <w:p w14:paraId="5F6A5205" w14:textId="61AAA268" w:rsidR="00126DC6" w:rsidRPr="009743C2" w:rsidRDefault="00126DC6" w:rsidP="00587E3E">
            <w:pPr>
              <w:spacing w:after="0" w:line="240" w:lineRule="auto"/>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w:t>
            </w:r>
          </w:p>
        </w:tc>
        <w:tc>
          <w:tcPr>
            <w:tcW w:w="1276" w:type="dxa"/>
            <w:tcBorders>
              <w:top w:val="single" w:sz="4" w:space="0" w:color="auto"/>
              <w:bottom w:val="single" w:sz="4" w:space="0" w:color="auto"/>
            </w:tcBorders>
            <w:shd w:val="clear" w:color="auto" w:fill="auto"/>
            <w:vAlign w:val="bottom"/>
            <w:hideMark/>
          </w:tcPr>
          <w:p w14:paraId="3CA78C54" w14:textId="77777777" w:rsidR="00EB000C" w:rsidRDefault="006304DA" w:rsidP="00587E3E">
            <w:pPr>
              <w:spacing w:after="0" w:line="240" w:lineRule="auto"/>
              <w:jc w:val="center"/>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 xml:space="preserve">Annual loss </w:t>
            </w:r>
            <w:r w:rsidR="00EB000C">
              <w:rPr>
                <w:rFonts w:ascii="Calibri" w:eastAsia="Times New Roman" w:hAnsi="Calibri" w:cs="Calibri"/>
                <w:b/>
                <w:bCs/>
                <w:color w:val="000000"/>
                <w:lang w:eastAsia="en-NZ"/>
              </w:rPr>
              <w:t>without</w:t>
            </w:r>
          </w:p>
          <w:p w14:paraId="1E8F2411" w14:textId="74675EAA" w:rsidR="00EB000C" w:rsidRDefault="00EB000C" w:rsidP="00587E3E">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IWTC</w:t>
            </w:r>
          </w:p>
          <w:p w14:paraId="0CD98201" w14:textId="36CE2C88" w:rsidR="006304DA" w:rsidRPr="009743C2" w:rsidRDefault="00662800" w:rsidP="00587E3E">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 $</w:t>
            </w:r>
          </w:p>
        </w:tc>
        <w:tc>
          <w:tcPr>
            <w:tcW w:w="964" w:type="dxa"/>
            <w:tcBorders>
              <w:top w:val="single" w:sz="4" w:space="0" w:color="auto"/>
              <w:bottom w:val="single" w:sz="4" w:space="0" w:color="auto"/>
            </w:tcBorders>
            <w:shd w:val="clear" w:color="auto" w:fill="auto"/>
            <w:vAlign w:val="center"/>
            <w:hideMark/>
          </w:tcPr>
          <w:p w14:paraId="098D5AF2" w14:textId="77777777" w:rsidR="00587E3E" w:rsidRDefault="006304DA" w:rsidP="00587E3E">
            <w:pPr>
              <w:spacing w:after="0" w:line="240" w:lineRule="auto"/>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 xml:space="preserve">IWTC </w:t>
            </w:r>
          </w:p>
          <w:p w14:paraId="0F5D2154" w14:textId="27191D7F" w:rsidR="006304DA" w:rsidRPr="009743C2" w:rsidRDefault="006304DA" w:rsidP="00587E3E">
            <w:pPr>
              <w:spacing w:after="0" w:line="240" w:lineRule="auto"/>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as % WFF</w:t>
            </w:r>
          </w:p>
        </w:tc>
        <w:tc>
          <w:tcPr>
            <w:tcW w:w="1417" w:type="dxa"/>
            <w:tcBorders>
              <w:top w:val="single" w:sz="4" w:space="0" w:color="auto"/>
              <w:bottom w:val="single" w:sz="4" w:space="0" w:color="auto"/>
            </w:tcBorders>
            <w:shd w:val="clear" w:color="auto" w:fill="auto"/>
            <w:vAlign w:val="center"/>
            <w:hideMark/>
          </w:tcPr>
          <w:p w14:paraId="77FA54CD" w14:textId="1DB01490" w:rsidR="006304DA" w:rsidRPr="009743C2" w:rsidRDefault="00587E3E" w:rsidP="00587E3E">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Estimated </w:t>
            </w:r>
            <w:r w:rsidR="00714B49">
              <w:rPr>
                <w:rFonts w:ascii="Calibri" w:eastAsia="Times New Roman" w:hAnsi="Calibri" w:cs="Calibri"/>
                <w:b/>
                <w:bCs/>
                <w:color w:val="000000"/>
                <w:lang w:eastAsia="en-NZ"/>
              </w:rPr>
              <w:t xml:space="preserve"> </w:t>
            </w:r>
            <w:r w:rsidR="006304DA" w:rsidRPr="009743C2">
              <w:rPr>
                <w:rFonts w:ascii="Calibri" w:eastAsia="Times New Roman" w:hAnsi="Calibri" w:cs="Calibri"/>
                <w:b/>
                <w:bCs/>
                <w:color w:val="000000"/>
                <w:lang w:eastAsia="en-NZ"/>
              </w:rPr>
              <w:t>5</w:t>
            </w:r>
            <w:r w:rsidR="00714B49">
              <w:rPr>
                <w:rFonts w:ascii="Calibri" w:eastAsia="Times New Roman" w:hAnsi="Calibri" w:cs="Calibri"/>
                <w:b/>
                <w:bCs/>
                <w:color w:val="000000"/>
                <w:lang w:eastAsia="en-NZ"/>
              </w:rPr>
              <w:t>-</w:t>
            </w:r>
            <w:r w:rsidR="006304DA" w:rsidRPr="009743C2">
              <w:rPr>
                <w:rFonts w:ascii="Calibri" w:eastAsia="Times New Roman" w:hAnsi="Calibri" w:cs="Calibri"/>
                <w:b/>
                <w:bCs/>
                <w:color w:val="000000"/>
                <w:lang w:eastAsia="en-NZ"/>
              </w:rPr>
              <w:t>yearly loss</w:t>
            </w:r>
            <w:r w:rsidR="00714B49">
              <w:rPr>
                <w:rFonts w:ascii="Calibri" w:eastAsia="Times New Roman" w:hAnsi="Calibri" w:cs="Calibri"/>
                <w:b/>
                <w:bCs/>
                <w:color w:val="000000"/>
                <w:lang w:eastAsia="en-NZ"/>
              </w:rPr>
              <w:t xml:space="preserve"> (2018</w:t>
            </w:r>
            <w:r w:rsidR="007B56D2">
              <w:rPr>
                <w:rFonts w:ascii="Calibri" w:eastAsia="Times New Roman" w:hAnsi="Calibri" w:cs="Calibri"/>
                <w:b/>
                <w:bCs/>
                <w:color w:val="000000"/>
                <w:lang w:eastAsia="en-NZ"/>
              </w:rPr>
              <w:t>/19</w:t>
            </w:r>
            <w:r w:rsidR="00714B49">
              <w:rPr>
                <w:rFonts w:ascii="Calibri" w:eastAsia="Times New Roman" w:hAnsi="Calibri" w:cs="Calibri"/>
                <w:b/>
                <w:bCs/>
                <w:color w:val="000000"/>
                <w:lang w:eastAsia="en-NZ"/>
              </w:rPr>
              <w:t>-20</w:t>
            </w:r>
            <w:r w:rsidR="007B56D2">
              <w:rPr>
                <w:rFonts w:ascii="Calibri" w:eastAsia="Times New Roman" w:hAnsi="Calibri" w:cs="Calibri"/>
                <w:b/>
                <w:bCs/>
                <w:color w:val="000000"/>
                <w:lang w:eastAsia="en-NZ"/>
              </w:rPr>
              <w:t>22/</w:t>
            </w:r>
            <w:r w:rsidR="00714B49">
              <w:rPr>
                <w:rFonts w:ascii="Calibri" w:eastAsia="Times New Roman" w:hAnsi="Calibri" w:cs="Calibri"/>
                <w:b/>
                <w:bCs/>
                <w:color w:val="000000"/>
                <w:lang w:eastAsia="en-NZ"/>
              </w:rPr>
              <w:t>23)</w:t>
            </w:r>
          </w:p>
          <w:p w14:paraId="02D45981" w14:textId="59942BD1" w:rsidR="00126DC6" w:rsidRPr="009743C2" w:rsidRDefault="00126DC6" w:rsidP="00587E3E">
            <w:pPr>
              <w:spacing w:after="0" w:line="240" w:lineRule="auto"/>
              <w:rPr>
                <w:rFonts w:ascii="Calibri" w:eastAsia="Times New Roman" w:hAnsi="Calibri" w:cs="Calibri"/>
                <w:b/>
                <w:bCs/>
                <w:color w:val="000000"/>
                <w:lang w:eastAsia="en-NZ"/>
              </w:rPr>
            </w:pPr>
            <w:r w:rsidRPr="009743C2">
              <w:rPr>
                <w:rFonts w:ascii="Calibri" w:eastAsia="Times New Roman" w:hAnsi="Calibri" w:cs="Calibri"/>
                <w:b/>
                <w:bCs/>
                <w:color w:val="000000"/>
                <w:lang w:eastAsia="en-NZ"/>
              </w:rPr>
              <w:t>$</w:t>
            </w:r>
          </w:p>
        </w:tc>
      </w:tr>
      <w:tr w:rsidR="006304DA" w:rsidRPr="006304DA" w14:paraId="1603AEA9" w14:textId="77777777" w:rsidTr="00005377">
        <w:trPr>
          <w:trHeight w:val="300"/>
        </w:trPr>
        <w:tc>
          <w:tcPr>
            <w:tcW w:w="1860" w:type="dxa"/>
            <w:tcBorders>
              <w:top w:val="single" w:sz="4" w:space="0" w:color="auto"/>
            </w:tcBorders>
            <w:shd w:val="clear" w:color="auto" w:fill="auto"/>
            <w:noWrap/>
            <w:vAlign w:val="bottom"/>
            <w:hideMark/>
          </w:tcPr>
          <w:p w14:paraId="1A5BFB4D" w14:textId="3E0ABCDF" w:rsidR="006304DA" w:rsidRPr="006304DA" w:rsidRDefault="00570E49" w:rsidP="00587E3E">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1-</w:t>
            </w:r>
            <w:r w:rsidR="006304DA" w:rsidRPr="006304DA">
              <w:rPr>
                <w:rFonts w:ascii="Calibri" w:eastAsia="Times New Roman" w:hAnsi="Calibri" w:cs="Calibri"/>
                <w:color w:val="000000"/>
                <w:lang w:eastAsia="en-NZ"/>
              </w:rPr>
              <w:t xml:space="preserve"> child family</w:t>
            </w:r>
          </w:p>
        </w:tc>
        <w:tc>
          <w:tcPr>
            <w:tcW w:w="999" w:type="dxa"/>
            <w:tcBorders>
              <w:top w:val="single" w:sz="4" w:space="0" w:color="auto"/>
            </w:tcBorders>
            <w:shd w:val="clear" w:color="auto" w:fill="auto"/>
            <w:noWrap/>
            <w:vAlign w:val="center"/>
            <w:hideMark/>
          </w:tcPr>
          <w:p w14:paraId="55C487A5" w14:textId="6992A725"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9,648</w:t>
            </w:r>
          </w:p>
        </w:tc>
        <w:tc>
          <w:tcPr>
            <w:tcW w:w="992" w:type="dxa"/>
            <w:tcBorders>
              <w:top w:val="single" w:sz="4" w:space="0" w:color="auto"/>
            </w:tcBorders>
            <w:shd w:val="clear" w:color="auto" w:fill="auto"/>
            <w:noWrap/>
            <w:vAlign w:val="center"/>
            <w:hideMark/>
          </w:tcPr>
          <w:p w14:paraId="6F94BA80" w14:textId="3A232FD3"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5,878</w:t>
            </w:r>
          </w:p>
        </w:tc>
        <w:tc>
          <w:tcPr>
            <w:tcW w:w="1276" w:type="dxa"/>
            <w:tcBorders>
              <w:top w:val="single" w:sz="4" w:space="0" w:color="auto"/>
            </w:tcBorders>
            <w:shd w:val="clear" w:color="auto" w:fill="auto"/>
            <w:noWrap/>
            <w:vAlign w:val="center"/>
            <w:hideMark/>
          </w:tcPr>
          <w:p w14:paraId="37C3C07A" w14:textId="51D0132B"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3,770</w:t>
            </w:r>
          </w:p>
        </w:tc>
        <w:tc>
          <w:tcPr>
            <w:tcW w:w="964" w:type="dxa"/>
            <w:tcBorders>
              <w:top w:val="single" w:sz="4" w:space="0" w:color="auto"/>
            </w:tcBorders>
            <w:shd w:val="clear" w:color="auto" w:fill="auto"/>
            <w:noWrap/>
            <w:vAlign w:val="center"/>
            <w:hideMark/>
          </w:tcPr>
          <w:p w14:paraId="6BBBEB73" w14:textId="77777777"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39%</w:t>
            </w:r>
          </w:p>
        </w:tc>
        <w:tc>
          <w:tcPr>
            <w:tcW w:w="1417" w:type="dxa"/>
            <w:tcBorders>
              <w:top w:val="single" w:sz="4" w:space="0" w:color="auto"/>
            </w:tcBorders>
            <w:shd w:val="clear" w:color="auto" w:fill="auto"/>
            <w:noWrap/>
            <w:vAlign w:val="center"/>
            <w:hideMark/>
          </w:tcPr>
          <w:p w14:paraId="23448088" w14:textId="72EE9561"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18,850</w:t>
            </w:r>
          </w:p>
        </w:tc>
      </w:tr>
      <w:tr w:rsidR="006304DA" w:rsidRPr="006304DA" w14:paraId="433D7F7E" w14:textId="77777777" w:rsidTr="00005377">
        <w:trPr>
          <w:trHeight w:val="300"/>
        </w:trPr>
        <w:tc>
          <w:tcPr>
            <w:tcW w:w="1860" w:type="dxa"/>
            <w:shd w:val="clear" w:color="auto" w:fill="auto"/>
            <w:noWrap/>
            <w:vAlign w:val="bottom"/>
            <w:hideMark/>
          </w:tcPr>
          <w:p w14:paraId="2650474A" w14:textId="41F739BA" w:rsidR="006304DA" w:rsidRPr="006304DA" w:rsidRDefault="006304DA" w:rsidP="00587E3E">
            <w:pPr>
              <w:spacing w:after="0" w:line="240" w:lineRule="auto"/>
              <w:rPr>
                <w:rFonts w:ascii="Calibri" w:eastAsia="Times New Roman" w:hAnsi="Calibri" w:cs="Calibri"/>
                <w:color w:val="000000"/>
                <w:lang w:eastAsia="en-NZ"/>
              </w:rPr>
            </w:pPr>
            <w:r w:rsidRPr="006304DA">
              <w:rPr>
                <w:rFonts w:ascii="Calibri" w:eastAsia="Times New Roman" w:hAnsi="Calibri" w:cs="Calibri"/>
                <w:color w:val="000000"/>
                <w:lang w:eastAsia="en-NZ"/>
              </w:rPr>
              <w:t>2</w:t>
            </w:r>
            <w:r w:rsidR="00570E49">
              <w:rPr>
                <w:rFonts w:ascii="Calibri" w:eastAsia="Times New Roman" w:hAnsi="Calibri" w:cs="Calibri"/>
                <w:color w:val="000000"/>
                <w:lang w:eastAsia="en-NZ"/>
              </w:rPr>
              <w:t>-</w:t>
            </w:r>
            <w:r w:rsidRPr="006304DA">
              <w:rPr>
                <w:rFonts w:ascii="Calibri" w:eastAsia="Times New Roman" w:hAnsi="Calibri" w:cs="Calibri"/>
                <w:color w:val="000000"/>
                <w:lang w:eastAsia="en-NZ"/>
              </w:rPr>
              <w:t>child family</w:t>
            </w:r>
          </w:p>
        </w:tc>
        <w:tc>
          <w:tcPr>
            <w:tcW w:w="999" w:type="dxa"/>
            <w:shd w:val="clear" w:color="auto" w:fill="auto"/>
            <w:noWrap/>
            <w:vAlign w:val="center"/>
            <w:hideMark/>
          </w:tcPr>
          <w:p w14:paraId="70CB96B4" w14:textId="45E5A160"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14,380</w:t>
            </w:r>
          </w:p>
        </w:tc>
        <w:tc>
          <w:tcPr>
            <w:tcW w:w="992" w:type="dxa"/>
            <w:shd w:val="clear" w:color="auto" w:fill="auto"/>
            <w:noWrap/>
            <w:vAlign w:val="center"/>
            <w:hideMark/>
          </w:tcPr>
          <w:p w14:paraId="4D6179C4" w14:textId="156CB286"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10,610</w:t>
            </w:r>
          </w:p>
        </w:tc>
        <w:tc>
          <w:tcPr>
            <w:tcW w:w="1276" w:type="dxa"/>
            <w:shd w:val="clear" w:color="auto" w:fill="auto"/>
            <w:noWrap/>
            <w:vAlign w:val="center"/>
            <w:hideMark/>
          </w:tcPr>
          <w:p w14:paraId="2F893024" w14:textId="367C390E"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3,770</w:t>
            </w:r>
          </w:p>
        </w:tc>
        <w:tc>
          <w:tcPr>
            <w:tcW w:w="964" w:type="dxa"/>
            <w:shd w:val="clear" w:color="auto" w:fill="auto"/>
            <w:noWrap/>
            <w:vAlign w:val="center"/>
            <w:hideMark/>
          </w:tcPr>
          <w:p w14:paraId="3D08AA0C" w14:textId="77777777"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26%</w:t>
            </w:r>
          </w:p>
        </w:tc>
        <w:tc>
          <w:tcPr>
            <w:tcW w:w="1417" w:type="dxa"/>
            <w:shd w:val="clear" w:color="auto" w:fill="auto"/>
            <w:noWrap/>
            <w:vAlign w:val="center"/>
            <w:hideMark/>
          </w:tcPr>
          <w:p w14:paraId="10706774" w14:textId="06097F92"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18,850</w:t>
            </w:r>
          </w:p>
        </w:tc>
      </w:tr>
      <w:tr w:rsidR="006304DA" w:rsidRPr="006304DA" w14:paraId="0FC15A86" w14:textId="77777777" w:rsidTr="00005377">
        <w:trPr>
          <w:trHeight w:val="300"/>
        </w:trPr>
        <w:tc>
          <w:tcPr>
            <w:tcW w:w="1860" w:type="dxa"/>
            <w:shd w:val="clear" w:color="auto" w:fill="auto"/>
            <w:noWrap/>
            <w:vAlign w:val="bottom"/>
            <w:hideMark/>
          </w:tcPr>
          <w:p w14:paraId="2950E103" w14:textId="77777777" w:rsidR="006304DA" w:rsidRPr="006304DA" w:rsidRDefault="006304DA" w:rsidP="00587E3E">
            <w:pPr>
              <w:spacing w:after="0" w:line="240" w:lineRule="auto"/>
              <w:rPr>
                <w:rFonts w:ascii="Calibri" w:eastAsia="Times New Roman" w:hAnsi="Calibri" w:cs="Calibri"/>
                <w:color w:val="000000"/>
                <w:lang w:eastAsia="en-NZ"/>
              </w:rPr>
            </w:pPr>
            <w:r w:rsidRPr="006304DA">
              <w:rPr>
                <w:rFonts w:ascii="Calibri" w:eastAsia="Times New Roman" w:hAnsi="Calibri" w:cs="Calibri"/>
                <w:color w:val="000000"/>
                <w:lang w:eastAsia="en-NZ"/>
              </w:rPr>
              <w:t>3- child family</w:t>
            </w:r>
          </w:p>
        </w:tc>
        <w:tc>
          <w:tcPr>
            <w:tcW w:w="999" w:type="dxa"/>
            <w:shd w:val="clear" w:color="auto" w:fill="auto"/>
            <w:noWrap/>
            <w:vAlign w:val="center"/>
            <w:hideMark/>
          </w:tcPr>
          <w:p w14:paraId="1ED4FA92" w14:textId="356FC30E"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19,112</w:t>
            </w:r>
          </w:p>
        </w:tc>
        <w:tc>
          <w:tcPr>
            <w:tcW w:w="992" w:type="dxa"/>
            <w:shd w:val="clear" w:color="auto" w:fill="auto"/>
            <w:noWrap/>
            <w:vAlign w:val="center"/>
            <w:hideMark/>
          </w:tcPr>
          <w:p w14:paraId="6B9D7BA4" w14:textId="1B9AC0B6"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15,342</w:t>
            </w:r>
          </w:p>
        </w:tc>
        <w:tc>
          <w:tcPr>
            <w:tcW w:w="1276" w:type="dxa"/>
            <w:shd w:val="clear" w:color="auto" w:fill="auto"/>
            <w:noWrap/>
            <w:vAlign w:val="center"/>
            <w:hideMark/>
          </w:tcPr>
          <w:p w14:paraId="139D4328" w14:textId="56A59F28"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3,770</w:t>
            </w:r>
          </w:p>
        </w:tc>
        <w:tc>
          <w:tcPr>
            <w:tcW w:w="964" w:type="dxa"/>
            <w:shd w:val="clear" w:color="auto" w:fill="auto"/>
            <w:noWrap/>
            <w:vAlign w:val="center"/>
            <w:hideMark/>
          </w:tcPr>
          <w:p w14:paraId="132623AF" w14:textId="77777777"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20%</w:t>
            </w:r>
          </w:p>
        </w:tc>
        <w:tc>
          <w:tcPr>
            <w:tcW w:w="1417" w:type="dxa"/>
            <w:shd w:val="clear" w:color="auto" w:fill="auto"/>
            <w:noWrap/>
            <w:vAlign w:val="center"/>
            <w:hideMark/>
          </w:tcPr>
          <w:p w14:paraId="3933B55C" w14:textId="1ADFCAAE"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18,850</w:t>
            </w:r>
          </w:p>
        </w:tc>
      </w:tr>
      <w:tr w:rsidR="006304DA" w:rsidRPr="006304DA" w14:paraId="114843E7" w14:textId="77777777" w:rsidTr="00005377">
        <w:trPr>
          <w:trHeight w:val="300"/>
        </w:trPr>
        <w:tc>
          <w:tcPr>
            <w:tcW w:w="1860" w:type="dxa"/>
            <w:shd w:val="clear" w:color="auto" w:fill="auto"/>
            <w:noWrap/>
            <w:vAlign w:val="bottom"/>
            <w:hideMark/>
          </w:tcPr>
          <w:p w14:paraId="07BA80D4" w14:textId="77777777" w:rsidR="006304DA" w:rsidRPr="006304DA" w:rsidRDefault="006304DA" w:rsidP="00587E3E">
            <w:pPr>
              <w:spacing w:after="0" w:line="240" w:lineRule="auto"/>
              <w:rPr>
                <w:rFonts w:ascii="Calibri" w:eastAsia="Times New Roman" w:hAnsi="Calibri" w:cs="Calibri"/>
                <w:color w:val="000000"/>
                <w:lang w:eastAsia="en-NZ"/>
              </w:rPr>
            </w:pPr>
            <w:r w:rsidRPr="006304DA">
              <w:rPr>
                <w:rFonts w:ascii="Calibri" w:eastAsia="Times New Roman" w:hAnsi="Calibri" w:cs="Calibri"/>
                <w:color w:val="000000"/>
                <w:lang w:eastAsia="en-NZ"/>
              </w:rPr>
              <w:t>4-child family</w:t>
            </w:r>
          </w:p>
        </w:tc>
        <w:tc>
          <w:tcPr>
            <w:tcW w:w="999" w:type="dxa"/>
            <w:shd w:val="clear" w:color="auto" w:fill="auto"/>
            <w:noWrap/>
            <w:vAlign w:val="center"/>
            <w:hideMark/>
          </w:tcPr>
          <w:p w14:paraId="18ECF6B2" w14:textId="166F3068"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24,594</w:t>
            </w:r>
          </w:p>
        </w:tc>
        <w:tc>
          <w:tcPr>
            <w:tcW w:w="992" w:type="dxa"/>
            <w:shd w:val="clear" w:color="auto" w:fill="auto"/>
            <w:noWrap/>
            <w:vAlign w:val="center"/>
            <w:hideMark/>
          </w:tcPr>
          <w:p w14:paraId="55C0CE8C" w14:textId="42A0CC4A"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20,074</w:t>
            </w:r>
          </w:p>
        </w:tc>
        <w:tc>
          <w:tcPr>
            <w:tcW w:w="1276" w:type="dxa"/>
            <w:shd w:val="clear" w:color="auto" w:fill="auto"/>
            <w:noWrap/>
            <w:vAlign w:val="center"/>
            <w:hideMark/>
          </w:tcPr>
          <w:p w14:paraId="60C0C06D" w14:textId="2AD7AFE7"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4,520</w:t>
            </w:r>
          </w:p>
        </w:tc>
        <w:tc>
          <w:tcPr>
            <w:tcW w:w="964" w:type="dxa"/>
            <w:shd w:val="clear" w:color="auto" w:fill="auto"/>
            <w:noWrap/>
            <w:vAlign w:val="center"/>
            <w:hideMark/>
          </w:tcPr>
          <w:p w14:paraId="5DA30131" w14:textId="77777777"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18%</w:t>
            </w:r>
          </w:p>
        </w:tc>
        <w:tc>
          <w:tcPr>
            <w:tcW w:w="1417" w:type="dxa"/>
            <w:shd w:val="clear" w:color="auto" w:fill="auto"/>
            <w:noWrap/>
            <w:vAlign w:val="center"/>
            <w:hideMark/>
          </w:tcPr>
          <w:p w14:paraId="5171AEB5" w14:textId="2DCA09CD"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22,600</w:t>
            </w:r>
          </w:p>
        </w:tc>
      </w:tr>
      <w:tr w:rsidR="006304DA" w:rsidRPr="006304DA" w14:paraId="25240B0A" w14:textId="77777777" w:rsidTr="00005377">
        <w:trPr>
          <w:trHeight w:val="300"/>
        </w:trPr>
        <w:tc>
          <w:tcPr>
            <w:tcW w:w="1860" w:type="dxa"/>
            <w:shd w:val="clear" w:color="auto" w:fill="auto"/>
            <w:noWrap/>
            <w:vAlign w:val="bottom"/>
            <w:hideMark/>
          </w:tcPr>
          <w:p w14:paraId="1C61A8D9" w14:textId="77777777" w:rsidR="006304DA" w:rsidRPr="006304DA" w:rsidRDefault="006304DA" w:rsidP="00587E3E">
            <w:pPr>
              <w:spacing w:after="0" w:line="240" w:lineRule="auto"/>
              <w:rPr>
                <w:rFonts w:ascii="Calibri" w:eastAsia="Times New Roman" w:hAnsi="Calibri" w:cs="Calibri"/>
                <w:color w:val="000000"/>
                <w:lang w:eastAsia="en-NZ"/>
              </w:rPr>
            </w:pPr>
            <w:r w:rsidRPr="006304DA">
              <w:rPr>
                <w:rFonts w:ascii="Calibri" w:eastAsia="Times New Roman" w:hAnsi="Calibri" w:cs="Calibri"/>
                <w:color w:val="000000"/>
                <w:lang w:eastAsia="en-NZ"/>
              </w:rPr>
              <w:t>5-child family</w:t>
            </w:r>
          </w:p>
        </w:tc>
        <w:tc>
          <w:tcPr>
            <w:tcW w:w="999" w:type="dxa"/>
            <w:shd w:val="clear" w:color="auto" w:fill="auto"/>
            <w:noWrap/>
            <w:vAlign w:val="center"/>
            <w:hideMark/>
          </w:tcPr>
          <w:p w14:paraId="69973B96" w14:textId="3AE6CBEC"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30,076</w:t>
            </w:r>
          </w:p>
        </w:tc>
        <w:tc>
          <w:tcPr>
            <w:tcW w:w="992" w:type="dxa"/>
            <w:shd w:val="clear" w:color="auto" w:fill="auto"/>
            <w:noWrap/>
            <w:vAlign w:val="center"/>
            <w:hideMark/>
          </w:tcPr>
          <w:p w14:paraId="69D5D084" w14:textId="4329FD64"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24,806</w:t>
            </w:r>
          </w:p>
        </w:tc>
        <w:tc>
          <w:tcPr>
            <w:tcW w:w="1276" w:type="dxa"/>
            <w:shd w:val="clear" w:color="auto" w:fill="auto"/>
            <w:noWrap/>
            <w:vAlign w:val="center"/>
            <w:hideMark/>
          </w:tcPr>
          <w:p w14:paraId="4AAD4ECA" w14:textId="2F83F9C0"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5,270</w:t>
            </w:r>
          </w:p>
        </w:tc>
        <w:tc>
          <w:tcPr>
            <w:tcW w:w="964" w:type="dxa"/>
            <w:shd w:val="clear" w:color="auto" w:fill="auto"/>
            <w:noWrap/>
            <w:vAlign w:val="center"/>
            <w:hideMark/>
          </w:tcPr>
          <w:p w14:paraId="75B4785E" w14:textId="77777777"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18%</w:t>
            </w:r>
          </w:p>
        </w:tc>
        <w:tc>
          <w:tcPr>
            <w:tcW w:w="1417" w:type="dxa"/>
            <w:shd w:val="clear" w:color="auto" w:fill="auto"/>
            <w:noWrap/>
            <w:vAlign w:val="center"/>
            <w:hideMark/>
          </w:tcPr>
          <w:p w14:paraId="277A97F3" w14:textId="3CEACB4E"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26,350</w:t>
            </w:r>
          </w:p>
        </w:tc>
      </w:tr>
      <w:tr w:rsidR="006304DA" w:rsidRPr="006304DA" w14:paraId="5AB8CCD8" w14:textId="77777777" w:rsidTr="00005377">
        <w:trPr>
          <w:trHeight w:val="300"/>
        </w:trPr>
        <w:tc>
          <w:tcPr>
            <w:tcW w:w="1860" w:type="dxa"/>
            <w:shd w:val="clear" w:color="auto" w:fill="auto"/>
            <w:noWrap/>
            <w:vAlign w:val="bottom"/>
            <w:hideMark/>
          </w:tcPr>
          <w:p w14:paraId="72C8363A" w14:textId="77777777" w:rsidR="006304DA" w:rsidRPr="006304DA" w:rsidRDefault="006304DA" w:rsidP="00587E3E">
            <w:pPr>
              <w:spacing w:after="0" w:line="240" w:lineRule="auto"/>
              <w:rPr>
                <w:rFonts w:ascii="Calibri" w:eastAsia="Times New Roman" w:hAnsi="Calibri" w:cs="Calibri"/>
                <w:color w:val="000000"/>
                <w:lang w:eastAsia="en-NZ"/>
              </w:rPr>
            </w:pPr>
            <w:r w:rsidRPr="006304DA">
              <w:rPr>
                <w:rFonts w:ascii="Calibri" w:eastAsia="Times New Roman" w:hAnsi="Calibri" w:cs="Calibri"/>
                <w:color w:val="000000"/>
                <w:lang w:eastAsia="en-NZ"/>
              </w:rPr>
              <w:t>6- child family</w:t>
            </w:r>
          </w:p>
        </w:tc>
        <w:tc>
          <w:tcPr>
            <w:tcW w:w="999" w:type="dxa"/>
            <w:shd w:val="clear" w:color="auto" w:fill="auto"/>
            <w:noWrap/>
            <w:vAlign w:val="center"/>
            <w:hideMark/>
          </w:tcPr>
          <w:p w14:paraId="05D546BC" w14:textId="16865158"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35,558</w:t>
            </w:r>
          </w:p>
        </w:tc>
        <w:tc>
          <w:tcPr>
            <w:tcW w:w="992" w:type="dxa"/>
            <w:shd w:val="clear" w:color="auto" w:fill="auto"/>
            <w:noWrap/>
            <w:vAlign w:val="center"/>
            <w:hideMark/>
          </w:tcPr>
          <w:p w14:paraId="620750EB" w14:textId="39EB66EC"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29,538</w:t>
            </w:r>
          </w:p>
        </w:tc>
        <w:tc>
          <w:tcPr>
            <w:tcW w:w="1276" w:type="dxa"/>
            <w:shd w:val="clear" w:color="auto" w:fill="auto"/>
            <w:noWrap/>
            <w:vAlign w:val="center"/>
            <w:hideMark/>
          </w:tcPr>
          <w:p w14:paraId="4DB8312B" w14:textId="75110381"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6,020</w:t>
            </w:r>
          </w:p>
        </w:tc>
        <w:tc>
          <w:tcPr>
            <w:tcW w:w="964" w:type="dxa"/>
            <w:shd w:val="clear" w:color="auto" w:fill="auto"/>
            <w:noWrap/>
            <w:vAlign w:val="center"/>
            <w:hideMark/>
          </w:tcPr>
          <w:p w14:paraId="2E432ABE" w14:textId="77777777"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17%</w:t>
            </w:r>
          </w:p>
        </w:tc>
        <w:tc>
          <w:tcPr>
            <w:tcW w:w="1417" w:type="dxa"/>
            <w:shd w:val="clear" w:color="auto" w:fill="auto"/>
            <w:noWrap/>
            <w:vAlign w:val="center"/>
            <w:hideMark/>
          </w:tcPr>
          <w:p w14:paraId="61CB98FB" w14:textId="16D8504A" w:rsidR="006304DA" w:rsidRPr="006304DA" w:rsidRDefault="006304DA" w:rsidP="00005377">
            <w:pPr>
              <w:spacing w:after="0" w:line="240" w:lineRule="auto"/>
              <w:jc w:val="center"/>
              <w:rPr>
                <w:rFonts w:ascii="Calibri" w:eastAsia="Times New Roman" w:hAnsi="Calibri" w:cs="Calibri"/>
                <w:color w:val="000000"/>
                <w:lang w:eastAsia="en-NZ"/>
              </w:rPr>
            </w:pPr>
            <w:r w:rsidRPr="006304DA">
              <w:rPr>
                <w:rFonts w:ascii="Calibri" w:eastAsia="Times New Roman" w:hAnsi="Calibri" w:cs="Calibri"/>
                <w:color w:val="000000"/>
                <w:lang w:eastAsia="en-NZ"/>
              </w:rPr>
              <w:t>30,100</w:t>
            </w:r>
          </w:p>
        </w:tc>
      </w:tr>
    </w:tbl>
    <w:p w14:paraId="42231266" w14:textId="59B15357" w:rsidR="005D1CBD" w:rsidRDefault="00587E3E" w:rsidP="00900E80">
      <w:pPr>
        <w:spacing w:after="0"/>
      </w:pPr>
      <w:r>
        <w:br w:type="textWrapping" w:clear="all"/>
      </w:r>
    </w:p>
    <w:p w14:paraId="3566BAA8" w14:textId="13477B77" w:rsidR="003B1198" w:rsidRPr="000B1EE4" w:rsidRDefault="00CD6991" w:rsidP="000B1EE4">
      <w:pPr>
        <w:rPr>
          <w:b/>
          <w:bCs/>
        </w:rPr>
      </w:pPr>
      <w:r>
        <w:t>As Table 1c demonstrates – assuming no change to WFF policy</w:t>
      </w:r>
      <w:r w:rsidR="00AB3135">
        <w:t xml:space="preserve"> on the IWTC</w:t>
      </w:r>
      <w:r w:rsidR="00505D84">
        <w:t xml:space="preserve">– over </w:t>
      </w:r>
      <w:r>
        <w:t>th</w:t>
      </w:r>
      <w:r w:rsidR="006959BE">
        <w:t>e 5 years</w:t>
      </w:r>
      <w:r>
        <w:t xml:space="preserve"> from </w:t>
      </w:r>
      <w:r w:rsidR="00576460">
        <w:t xml:space="preserve">1 </w:t>
      </w:r>
      <w:r>
        <w:t xml:space="preserve">July 2018 to </w:t>
      </w:r>
      <w:r w:rsidR="00576460">
        <w:t xml:space="preserve"> </w:t>
      </w:r>
      <w:r w:rsidR="00EB000C">
        <w:t>1 July</w:t>
      </w:r>
      <w:r>
        <w:t>2023,</w:t>
      </w:r>
      <w:r w:rsidR="006959BE">
        <w:t xml:space="preserve"> children in families </w:t>
      </w:r>
      <w:r w:rsidR="00570E49">
        <w:t>receiving</w:t>
      </w:r>
      <w:r w:rsidR="006959BE">
        <w:t xml:space="preserve"> benefits </w:t>
      </w:r>
      <w:r>
        <w:t xml:space="preserve">will </w:t>
      </w:r>
      <w:r w:rsidR="006959BE">
        <w:t>have lost</w:t>
      </w:r>
      <w:r>
        <w:t xml:space="preserve"> a minimum total of</w:t>
      </w:r>
      <w:r w:rsidR="004E55D6">
        <w:t xml:space="preserve"> </w:t>
      </w:r>
      <w:r w:rsidR="006959BE">
        <w:t>$1</w:t>
      </w:r>
      <w:r w:rsidR="00DF6A77">
        <w:t>8</w:t>
      </w:r>
      <w:r w:rsidR="006959BE">
        <w:t>,</w:t>
      </w:r>
      <w:r w:rsidR="00DF6A77">
        <w:t>850</w:t>
      </w:r>
      <w:r w:rsidR="00F257A8">
        <w:t>, and</w:t>
      </w:r>
      <w:r w:rsidR="006959BE">
        <w:t xml:space="preserve"> more for larger families</w:t>
      </w:r>
      <w:r w:rsidR="00F257A8">
        <w:t>,</w:t>
      </w:r>
      <w:r w:rsidR="009A0938">
        <w:t xml:space="preserve"> because they are </w:t>
      </w:r>
      <w:r w:rsidR="00F257A8">
        <w:t>excluded</w:t>
      </w:r>
      <w:r w:rsidR="009A0938">
        <w:t xml:space="preserve"> f</w:t>
      </w:r>
      <w:r w:rsidR="00F257A8">
        <w:t>ro</w:t>
      </w:r>
      <w:r w:rsidR="009A0938">
        <w:t>m the ch</w:t>
      </w:r>
      <w:r w:rsidR="00F257A8">
        <w:t>i</w:t>
      </w:r>
      <w:r w:rsidR="009A0938">
        <w:t>ld</w:t>
      </w:r>
      <w:r w:rsidR="00F257A8">
        <w:t>-</w:t>
      </w:r>
      <w:r w:rsidR="009A0938">
        <w:t xml:space="preserve">related </w:t>
      </w:r>
      <w:r w:rsidR="00C0278D">
        <w:t>IWTC</w:t>
      </w:r>
      <w:r w:rsidR="006959BE">
        <w:t xml:space="preserve">. </w:t>
      </w:r>
      <w:r>
        <w:t xml:space="preserve">Moreover, </w:t>
      </w:r>
      <w:r w:rsidR="00DF6A77" w:rsidRPr="00C61183">
        <w:rPr>
          <w:i/>
          <w:iCs/>
        </w:rPr>
        <w:t xml:space="preserve">all </w:t>
      </w:r>
      <w:r w:rsidR="00DF6A77" w:rsidRPr="00C61183">
        <w:t>low</w:t>
      </w:r>
      <w:r w:rsidR="00F257A8" w:rsidRPr="00C61183">
        <w:t>-</w:t>
      </w:r>
      <w:r w:rsidR="00DF6A77" w:rsidRPr="00C61183">
        <w:t xml:space="preserve">income children in NZ have also missed out on regular </w:t>
      </w:r>
      <w:r w:rsidR="00CD5BC6" w:rsidRPr="00C61183">
        <w:t>CPI</w:t>
      </w:r>
      <w:r w:rsidR="00DF6A77" w:rsidRPr="00C61183">
        <w:t xml:space="preserve"> increases, </w:t>
      </w:r>
      <w:r w:rsidR="000B1EE4" w:rsidRPr="00C61183">
        <w:t xml:space="preserve">as well as </w:t>
      </w:r>
      <w:r w:rsidR="00DF6A77" w:rsidRPr="00C61183">
        <w:t>wage indexation</w:t>
      </w:r>
      <w:r w:rsidR="008C1883">
        <w:rPr>
          <w:b/>
          <w:bCs/>
        </w:rPr>
        <w:t xml:space="preserve"> </w:t>
      </w:r>
      <w:r w:rsidR="008C1883" w:rsidRPr="000B1EE4">
        <w:t>(</w:t>
      </w:r>
      <w:r w:rsidR="000B1EE4" w:rsidRPr="000B1EE4">
        <w:t xml:space="preserve">See </w:t>
      </w:r>
      <w:hyperlink r:id="rId17" w:history="1">
        <w:r w:rsidR="000B1EE4" w:rsidRPr="000B1EE4">
          <w:rPr>
            <w:rStyle w:val="Hyperlink"/>
            <w:i/>
            <w:iCs/>
          </w:rPr>
          <w:t>Ensuring Adequate Indexation of Working for Families</w:t>
        </w:r>
      </w:hyperlink>
      <w:r w:rsidR="000B1EE4" w:rsidRPr="000B1EE4">
        <w:t xml:space="preserve"> </w:t>
      </w:r>
      <w:hyperlink r:id="rId18" w:history="1">
        <w:r w:rsidR="000B1EE4" w:rsidRPr="000B1EE4">
          <w:rPr>
            <w:rStyle w:val="Hyperlink"/>
          </w:rPr>
          <w:t>CPAG, May, 2021</w:t>
        </w:r>
      </w:hyperlink>
      <w:r w:rsidR="000B1EE4" w:rsidRPr="000B1EE4">
        <w:t>)</w:t>
      </w:r>
      <w:r w:rsidR="00DF6A77" w:rsidRPr="000B1EE4">
        <w:t xml:space="preserve">. </w:t>
      </w:r>
      <w:r w:rsidR="00576460">
        <w:t>The</w:t>
      </w:r>
      <w:r w:rsidR="00C61183">
        <w:t xml:space="preserve"> CPI-related inflation catch-up scheduled for April 2022</w:t>
      </w:r>
      <w:r w:rsidR="00576460">
        <w:t xml:space="preserve"> applies only to the Family Tax Credit</w:t>
      </w:r>
      <w:r w:rsidR="00C61183">
        <w:t>.</w:t>
      </w:r>
      <w:r w:rsidR="002F28F6">
        <w:t xml:space="preserve"> </w:t>
      </w:r>
    </w:p>
    <w:p w14:paraId="64A1A42D" w14:textId="1BA30845" w:rsidR="00587E3E" w:rsidRDefault="002F28F6" w:rsidP="003A1821">
      <w:pPr>
        <w:tabs>
          <w:tab w:val="center" w:pos="1177"/>
        </w:tabs>
      </w:pPr>
      <w:r>
        <w:t>To</w:t>
      </w:r>
      <w:r w:rsidR="00BF5308">
        <w:t xml:space="preserve"> compare the</w:t>
      </w:r>
      <w:r w:rsidR="00CD6991">
        <w:t xml:space="preserve">se </w:t>
      </w:r>
      <w:r w:rsidR="005006AF">
        <w:t xml:space="preserve">New Zealand </w:t>
      </w:r>
      <w:r w:rsidR="00CD6991">
        <w:t>figures to the</w:t>
      </w:r>
      <w:r w:rsidR="00BF5308">
        <w:t xml:space="preserve"> </w:t>
      </w:r>
      <w:r>
        <w:t>maximum equivalent tax credits in Australia</w:t>
      </w:r>
      <w:r w:rsidR="00353482">
        <w:t xml:space="preserve">, the different and more supportive </w:t>
      </w:r>
      <w:r w:rsidR="004B70BB">
        <w:t xml:space="preserve">overall </w:t>
      </w:r>
      <w:r w:rsidR="00353482">
        <w:t xml:space="preserve">context </w:t>
      </w:r>
      <w:r w:rsidR="0025265D">
        <w:t>in Australia</w:t>
      </w:r>
      <w:r w:rsidR="000B1EE4">
        <w:t>,</w:t>
      </w:r>
      <w:r w:rsidR="0025265D">
        <w:t xml:space="preserve"> </w:t>
      </w:r>
      <w:r w:rsidR="00EE27EB">
        <w:t>a</w:t>
      </w:r>
      <w:r w:rsidR="00353482">
        <w:t xml:space="preserve">s summarised in </w:t>
      </w:r>
      <w:r w:rsidR="007B2204">
        <w:t>T</w:t>
      </w:r>
      <w:r w:rsidR="00353482">
        <w:t xml:space="preserve">able </w:t>
      </w:r>
      <w:r w:rsidR="0074418F">
        <w:t>2</w:t>
      </w:r>
      <w:r w:rsidR="000B1EE4">
        <w:t>,</w:t>
      </w:r>
      <w:r w:rsidR="00EE27EB">
        <w:t xml:space="preserve"> must be understood. While this</w:t>
      </w:r>
      <w:r w:rsidR="00F50143">
        <w:t xml:space="preserve"> memo is concerned </w:t>
      </w:r>
      <w:r w:rsidR="00C60415">
        <w:t xml:space="preserve">only </w:t>
      </w:r>
      <w:r w:rsidR="00F50143">
        <w:t>with maximum</w:t>
      </w:r>
      <w:r w:rsidR="00C564F6">
        <w:t xml:space="preserve"> tax cr</w:t>
      </w:r>
      <w:r w:rsidR="00CD5BC6">
        <w:t>e</w:t>
      </w:r>
      <w:r w:rsidR="00C564F6">
        <w:t>dits</w:t>
      </w:r>
      <w:r w:rsidR="00F50143">
        <w:t xml:space="preserve"> </w:t>
      </w:r>
      <w:r w:rsidR="003067C9">
        <w:t>(</w:t>
      </w:r>
      <w:r w:rsidR="004B70BB">
        <w:t>ie those paid to families</w:t>
      </w:r>
      <w:r w:rsidR="00576460">
        <w:t xml:space="preserve"> earning under the abatement threshold)</w:t>
      </w:r>
      <w:r w:rsidR="004B70BB">
        <w:t xml:space="preserve">, </w:t>
      </w:r>
      <w:r w:rsidR="00F50143">
        <w:t xml:space="preserve">the Australian system of family tax benefits for children is </w:t>
      </w:r>
      <w:r w:rsidR="0025265D">
        <w:t xml:space="preserve">far </w:t>
      </w:r>
      <w:r w:rsidR="00F50143">
        <w:t xml:space="preserve">more generous to </w:t>
      </w:r>
      <w:r w:rsidR="004B70BB">
        <w:t xml:space="preserve">middle income </w:t>
      </w:r>
      <w:r w:rsidR="00CD6991">
        <w:t>families in paid work,</w:t>
      </w:r>
      <w:r w:rsidR="00F50143">
        <w:t xml:space="preserve"> with regularly adjusted </w:t>
      </w:r>
      <w:r w:rsidR="00587E3E">
        <w:t xml:space="preserve">abatement </w:t>
      </w:r>
      <w:r w:rsidR="00F50143">
        <w:t>thresholds and a lower rate of abatement</w:t>
      </w:r>
      <w:r w:rsidR="00657598">
        <w:t xml:space="preserve">.  </w:t>
      </w:r>
      <w:r w:rsidR="00D44013">
        <w:t>The Australian</w:t>
      </w:r>
      <w:r w:rsidR="00657598">
        <w:t xml:space="preserve"> tax system is </w:t>
      </w:r>
      <w:r w:rsidR="00C564F6">
        <w:t xml:space="preserve">also </w:t>
      </w:r>
      <w:r w:rsidR="00657598">
        <w:t xml:space="preserve">far less </w:t>
      </w:r>
      <w:r w:rsidR="00D44013">
        <w:t>punitive</w:t>
      </w:r>
      <w:r w:rsidR="00657598">
        <w:t xml:space="preserve"> for low</w:t>
      </w:r>
      <w:r w:rsidR="00C564F6">
        <w:t>-</w:t>
      </w:r>
      <w:r w:rsidR="00657598">
        <w:t xml:space="preserve">income </w:t>
      </w:r>
      <w:r w:rsidR="00D44013">
        <w:t>families, with a significant tax</w:t>
      </w:r>
      <w:r w:rsidR="00CD5BC6">
        <w:t>-</w:t>
      </w:r>
      <w:r w:rsidR="00D44013">
        <w:t xml:space="preserve">free bracket and a GST of </w:t>
      </w:r>
      <w:r w:rsidR="00B9578A">
        <w:t xml:space="preserve">only </w:t>
      </w:r>
      <w:r w:rsidR="00D44013">
        <w:t>10%</w:t>
      </w:r>
      <w:r w:rsidR="00B9578A">
        <w:t>, with basics largely excluded.</w:t>
      </w:r>
    </w:p>
    <w:p w14:paraId="6BDD1878" w14:textId="77777777" w:rsidR="00662800" w:rsidRDefault="00662800" w:rsidP="00FE0D27">
      <w:pPr>
        <w:tabs>
          <w:tab w:val="center" w:pos="1177"/>
        </w:tabs>
        <w:rPr>
          <w:b/>
          <w:bCs/>
        </w:rPr>
      </w:pPr>
    </w:p>
    <w:p w14:paraId="34B2CE37" w14:textId="51D4CD84" w:rsidR="00F8619E" w:rsidRPr="007E0525" w:rsidRDefault="00F8619E" w:rsidP="00FE0D27">
      <w:pPr>
        <w:tabs>
          <w:tab w:val="center" w:pos="1177"/>
        </w:tabs>
        <w:rPr>
          <w:b/>
          <w:bCs/>
        </w:rPr>
      </w:pPr>
      <w:r w:rsidRPr="007E0525">
        <w:rPr>
          <w:b/>
          <w:bCs/>
        </w:rPr>
        <w:t xml:space="preserve">Table </w:t>
      </w:r>
      <w:r w:rsidR="004659B2">
        <w:rPr>
          <w:b/>
          <w:bCs/>
        </w:rPr>
        <w:t>2</w:t>
      </w:r>
      <w:r w:rsidRPr="007E0525">
        <w:rPr>
          <w:b/>
          <w:bCs/>
        </w:rPr>
        <w:t>. General tax settings compared</w:t>
      </w:r>
      <w:r w:rsidR="007E0525">
        <w:rPr>
          <w:b/>
          <w:bCs/>
        </w:rPr>
        <w:t>:</w:t>
      </w:r>
      <w:r w:rsidRPr="007E0525">
        <w:rPr>
          <w:b/>
          <w:bCs/>
        </w:rPr>
        <w:t xml:space="preserve"> Austr</w:t>
      </w:r>
      <w:r w:rsidR="007E0525">
        <w:rPr>
          <w:b/>
          <w:bCs/>
        </w:rPr>
        <w:t xml:space="preserve">alia </w:t>
      </w:r>
      <w:r w:rsidRPr="007E0525">
        <w:rPr>
          <w:b/>
          <w:bCs/>
        </w:rPr>
        <w:t xml:space="preserve">and New Zealand </w:t>
      </w:r>
    </w:p>
    <w:tbl>
      <w:tblPr>
        <w:tblW w:w="8910" w:type="dxa"/>
        <w:tblLayout w:type="fixed"/>
        <w:tblLook w:val="04A0" w:firstRow="1" w:lastRow="0" w:firstColumn="1" w:lastColumn="0" w:noHBand="0" w:noVBand="1"/>
      </w:tblPr>
      <w:tblGrid>
        <w:gridCol w:w="1530"/>
        <w:gridCol w:w="1230"/>
        <w:gridCol w:w="1230"/>
        <w:gridCol w:w="1230"/>
        <w:gridCol w:w="1230"/>
        <w:gridCol w:w="1230"/>
        <w:gridCol w:w="1230"/>
      </w:tblGrid>
      <w:tr w:rsidR="000B1EE4" w:rsidRPr="00262D89" w14:paraId="5BD48AEA" w14:textId="77777777" w:rsidTr="00662800">
        <w:trPr>
          <w:trHeight w:val="349"/>
        </w:trPr>
        <w:tc>
          <w:tcPr>
            <w:tcW w:w="1530" w:type="dxa"/>
            <w:tcBorders>
              <w:right w:val="single" w:sz="8" w:space="0" w:color="auto"/>
            </w:tcBorders>
            <w:shd w:val="clear" w:color="auto" w:fill="auto"/>
            <w:vAlign w:val="center"/>
            <w:hideMark/>
          </w:tcPr>
          <w:p w14:paraId="69BEC002" w14:textId="1C64469A" w:rsidR="000B1EE4" w:rsidRPr="00900E80" w:rsidRDefault="000B1EE4" w:rsidP="00262D89">
            <w:pPr>
              <w:spacing w:after="0" w:line="240" w:lineRule="auto"/>
              <w:rPr>
                <w:rFonts w:ascii="Calibri" w:eastAsia="Times New Roman" w:hAnsi="Calibri" w:cs="Calibri"/>
                <w:b/>
                <w:bCs/>
                <w:color w:val="000000"/>
                <w:sz w:val="20"/>
                <w:szCs w:val="20"/>
                <w:lang w:eastAsia="en-NZ"/>
              </w:rPr>
            </w:pPr>
          </w:p>
        </w:tc>
        <w:tc>
          <w:tcPr>
            <w:tcW w:w="3690"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14:paraId="4A1E198E" w14:textId="34B0C329" w:rsidR="000B1EE4" w:rsidRPr="00262D89" w:rsidRDefault="000B1EE4" w:rsidP="000B1EE4">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 xml:space="preserve">NZ </w:t>
            </w:r>
            <w:r w:rsidR="00FE0D27">
              <w:rPr>
                <w:rFonts w:ascii="Calibri" w:eastAsia="Times New Roman" w:hAnsi="Calibri" w:cs="Calibri"/>
                <w:b/>
                <w:bCs/>
                <w:color w:val="000000"/>
                <w:lang w:eastAsia="en-NZ"/>
              </w:rPr>
              <w:t>(NZD)</w:t>
            </w:r>
          </w:p>
        </w:tc>
        <w:tc>
          <w:tcPr>
            <w:tcW w:w="3690"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14:paraId="51BD0779" w14:textId="2B070FEE" w:rsidR="000B1EE4" w:rsidRPr="00262D89" w:rsidRDefault="000B1EE4" w:rsidP="000B1EE4">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Australia</w:t>
            </w:r>
            <w:r w:rsidR="00FE0D27">
              <w:rPr>
                <w:rFonts w:ascii="Calibri" w:eastAsia="Times New Roman" w:hAnsi="Calibri" w:cs="Calibri"/>
                <w:b/>
                <w:bCs/>
                <w:color w:val="000000"/>
                <w:lang w:eastAsia="en-NZ"/>
              </w:rPr>
              <w:t xml:space="preserve"> (AUD)</w:t>
            </w:r>
          </w:p>
        </w:tc>
      </w:tr>
      <w:tr w:rsidR="00FE0D27" w:rsidRPr="00262D89" w14:paraId="4D51099A" w14:textId="77777777" w:rsidTr="00900E80">
        <w:trPr>
          <w:trHeight w:val="300"/>
        </w:trPr>
        <w:tc>
          <w:tcPr>
            <w:tcW w:w="1530" w:type="dxa"/>
            <w:tcBorders>
              <w:right w:val="single" w:sz="8" w:space="0" w:color="auto"/>
            </w:tcBorders>
            <w:shd w:val="clear" w:color="auto" w:fill="auto"/>
            <w:vAlign w:val="center"/>
            <w:hideMark/>
          </w:tcPr>
          <w:p w14:paraId="03E22AAC" w14:textId="77777777" w:rsidR="00FE0D27" w:rsidRPr="00900E80" w:rsidRDefault="00FE0D27" w:rsidP="00262D89">
            <w:pPr>
              <w:spacing w:after="0" w:line="240" w:lineRule="auto"/>
              <w:rPr>
                <w:rFonts w:ascii="Calibri" w:eastAsia="Times New Roman" w:hAnsi="Calibri" w:cs="Calibri"/>
                <w:b/>
                <w:bCs/>
                <w:color w:val="000000"/>
                <w:sz w:val="20"/>
                <w:szCs w:val="20"/>
                <w:lang w:eastAsia="en-NZ"/>
              </w:rPr>
            </w:pPr>
            <w:r w:rsidRPr="00900E80">
              <w:rPr>
                <w:rFonts w:ascii="Calibri" w:eastAsia="Times New Roman" w:hAnsi="Calibri" w:cs="Calibri"/>
                <w:b/>
                <w:bCs/>
                <w:color w:val="000000"/>
                <w:sz w:val="20"/>
                <w:szCs w:val="20"/>
                <w:lang w:eastAsia="en-NZ"/>
              </w:rPr>
              <w:t> </w:t>
            </w:r>
          </w:p>
        </w:tc>
        <w:tc>
          <w:tcPr>
            <w:tcW w:w="1230" w:type="dxa"/>
            <w:tcBorders>
              <w:top w:val="single" w:sz="4" w:space="0" w:color="auto"/>
              <w:left w:val="single" w:sz="8" w:space="0" w:color="auto"/>
              <w:right w:val="single" w:sz="4" w:space="0" w:color="auto"/>
            </w:tcBorders>
            <w:shd w:val="clear" w:color="auto" w:fill="D9E2F3" w:themeFill="accent5" w:themeFillTint="33"/>
            <w:vAlign w:val="center"/>
            <w:hideMark/>
          </w:tcPr>
          <w:p w14:paraId="168BBF09"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 xml:space="preserve">As at </w:t>
            </w:r>
          </w:p>
        </w:tc>
        <w:tc>
          <w:tcPr>
            <w:tcW w:w="1230" w:type="dxa"/>
            <w:tcBorders>
              <w:top w:val="single" w:sz="4" w:space="0" w:color="auto"/>
              <w:left w:val="single" w:sz="4" w:space="0" w:color="auto"/>
              <w:right w:val="single" w:sz="4" w:space="0" w:color="auto"/>
            </w:tcBorders>
            <w:shd w:val="clear" w:color="auto" w:fill="E2EFD9" w:themeFill="accent6" w:themeFillTint="33"/>
            <w:vAlign w:val="center"/>
            <w:hideMark/>
          </w:tcPr>
          <w:p w14:paraId="0A2C78BE"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 xml:space="preserve">As at </w:t>
            </w:r>
          </w:p>
        </w:tc>
        <w:tc>
          <w:tcPr>
            <w:tcW w:w="1230" w:type="dxa"/>
            <w:tcBorders>
              <w:top w:val="single" w:sz="4" w:space="0" w:color="auto"/>
              <w:left w:val="single" w:sz="4" w:space="0" w:color="auto"/>
              <w:right w:val="single" w:sz="8" w:space="0" w:color="auto"/>
            </w:tcBorders>
            <w:shd w:val="clear" w:color="auto" w:fill="auto"/>
            <w:vAlign w:val="center"/>
            <w:hideMark/>
          </w:tcPr>
          <w:p w14:paraId="6720B48A"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 xml:space="preserve">Expected </w:t>
            </w:r>
          </w:p>
        </w:tc>
        <w:tc>
          <w:tcPr>
            <w:tcW w:w="1230" w:type="dxa"/>
            <w:tcBorders>
              <w:top w:val="single" w:sz="4" w:space="0" w:color="auto"/>
              <w:left w:val="single" w:sz="8" w:space="0" w:color="auto"/>
              <w:right w:val="single" w:sz="4" w:space="0" w:color="auto"/>
            </w:tcBorders>
            <w:shd w:val="clear" w:color="auto" w:fill="D9E2F3" w:themeFill="accent5" w:themeFillTint="33"/>
            <w:vAlign w:val="center"/>
            <w:hideMark/>
          </w:tcPr>
          <w:p w14:paraId="6CBAEFB7"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 xml:space="preserve">As at </w:t>
            </w:r>
          </w:p>
        </w:tc>
        <w:tc>
          <w:tcPr>
            <w:tcW w:w="1230" w:type="dxa"/>
            <w:tcBorders>
              <w:top w:val="single" w:sz="4" w:space="0" w:color="auto"/>
              <w:left w:val="single" w:sz="4" w:space="0" w:color="auto"/>
              <w:right w:val="single" w:sz="4" w:space="0" w:color="auto"/>
            </w:tcBorders>
            <w:shd w:val="clear" w:color="auto" w:fill="E2EFD9" w:themeFill="accent6" w:themeFillTint="33"/>
            <w:vAlign w:val="center"/>
            <w:hideMark/>
          </w:tcPr>
          <w:p w14:paraId="5A8B3AA9"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 xml:space="preserve">As at </w:t>
            </w:r>
          </w:p>
        </w:tc>
        <w:tc>
          <w:tcPr>
            <w:tcW w:w="1230" w:type="dxa"/>
            <w:vMerge w:val="restart"/>
            <w:tcBorders>
              <w:top w:val="single" w:sz="4" w:space="0" w:color="auto"/>
              <w:left w:val="single" w:sz="4" w:space="0" w:color="auto"/>
              <w:right w:val="single" w:sz="4" w:space="0" w:color="auto"/>
            </w:tcBorders>
            <w:shd w:val="clear" w:color="auto" w:fill="auto"/>
            <w:vAlign w:val="center"/>
            <w:hideMark/>
          </w:tcPr>
          <w:p w14:paraId="4DA5A383"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E</w:t>
            </w:r>
            <w:r w:rsidRPr="00262D89">
              <w:rPr>
                <w:rFonts w:ascii="Calibri" w:eastAsia="Times New Roman" w:hAnsi="Calibri" w:cs="Calibri"/>
                <w:b/>
                <w:bCs/>
                <w:color w:val="000000"/>
                <w:lang w:eastAsia="en-NZ"/>
              </w:rPr>
              <w:t>stimated</w:t>
            </w:r>
          </w:p>
          <w:p w14:paraId="2A5656EA" w14:textId="1AFDC7EA"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1-Jul-2</w:t>
            </w:r>
            <w:r w:rsidR="008158CB">
              <w:rPr>
                <w:rFonts w:ascii="Calibri" w:eastAsia="Times New Roman" w:hAnsi="Calibri" w:cs="Calibri"/>
                <w:b/>
                <w:bCs/>
                <w:color w:val="000000"/>
                <w:lang w:eastAsia="en-NZ"/>
              </w:rPr>
              <w:t>2</w:t>
            </w:r>
          </w:p>
        </w:tc>
      </w:tr>
      <w:tr w:rsidR="00FE0D27" w:rsidRPr="00262D89" w14:paraId="41F484F7" w14:textId="77777777" w:rsidTr="00900E80">
        <w:trPr>
          <w:trHeight w:val="300"/>
        </w:trPr>
        <w:tc>
          <w:tcPr>
            <w:tcW w:w="1530" w:type="dxa"/>
            <w:tcBorders>
              <w:bottom w:val="single" w:sz="8" w:space="0" w:color="auto"/>
              <w:right w:val="single" w:sz="8" w:space="0" w:color="auto"/>
            </w:tcBorders>
            <w:shd w:val="clear" w:color="auto" w:fill="auto"/>
            <w:hideMark/>
          </w:tcPr>
          <w:p w14:paraId="38EA346F" w14:textId="77777777" w:rsidR="00FE0D27" w:rsidRPr="00900E80" w:rsidRDefault="00FE0D27" w:rsidP="00262D89">
            <w:pPr>
              <w:spacing w:after="0" w:line="240" w:lineRule="auto"/>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 </w:t>
            </w:r>
          </w:p>
        </w:tc>
        <w:tc>
          <w:tcPr>
            <w:tcW w:w="1230" w:type="dxa"/>
            <w:tcBorders>
              <w:left w:val="single" w:sz="8" w:space="0" w:color="auto"/>
              <w:bottom w:val="single" w:sz="8" w:space="0" w:color="auto"/>
              <w:right w:val="single" w:sz="4" w:space="0" w:color="auto"/>
            </w:tcBorders>
            <w:shd w:val="clear" w:color="auto" w:fill="D9E2F3" w:themeFill="accent5" w:themeFillTint="33"/>
            <w:vAlign w:val="center"/>
            <w:hideMark/>
          </w:tcPr>
          <w:p w14:paraId="0BEA57DA"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1-Jul-18</w:t>
            </w:r>
          </w:p>
        </w:tc>
        <w:tc>
          <w:tcPr>
            <w:tcW w:w="1230" w:type="dxa"/>
            <w:tcBorders>
              <w:left w:val="single" w:sz="4" w:space="0" w:color="auto"/>
              <w:bottom w:val="single" w:sz="8" w:space="0" w:color="auto"/>
              <w:right w:val="single" w:sz="4" w:space="0" w:color="auto"/>
            </w:tcBorders>
            <w:shd w:val="clear" w:color="auto" w:fill="E2EFD9" w:themeFill="accent6" w:themeFillTint="33"/>
            <w:vAlign w:val="center"/>
            <w:hideMark/>
          </w:tcPr>
          <w:p w14:paraId="3838EB49"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1-Jul-21</w:t>
            </w:r>
          </w:p>
        </w:tc>
        <w:tc>
          <w:tcPr>
            <w:tcW w:w="1230" w:type="dxa"/>
            <w:tcBorders>
              <w:left w:val="single" w:sz="4" w:space="0" w:color="auto"/>
              <w:bottom w:val="single" w:sz="8" w:space="0" w:color="auto"/>
              <w:right w:val="single" w:sz="8" w:space="0" w:color="auto"/>
            </w:tcBorders>
            <w:shd w:val="clear" w:color="auto" w:fill="auto"/>
            <w:vAlign w:val="center"/>
            <w:hideMark/>
          </w:tcPr>
          <w:p w14:paraId="7AA725FC" w14:textId="1D3E85DD"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1-Jul-2</w:t>
            </w:r>
            <w:r w:rsidR="008158CB">
              <w:rPr>
                <w:rFonts w:ascii="Calibri" w:eastAsia="Times New Roman" w:hAnsi="Calibri" w:cs="Calibri"/>
                <w:b/>
                <w:bCs/>
                <w:color w:val="000000"/>
                <w:lang w:eastAsia="en-NZ"/>
              </w:rPr>
              <w:t>2</w:t>
            </w:r>
          </w:p>
        </w:tc>
        <w:tc>
          <w:tcPr>
            <w:tcW w:w="1230" w:type="dxa"/>
            <w:tcBorders>
              <w:left w:val="single" w:sz="8" w:space="0" w:color="auto"/>
              <w:bottom w:val="single" w:sz="8" w:space="0" w:color="auto"/>
              <w:right w:val="single" w:sz="4" w:space="0" w:color="auto"/>
            </w:tcBorders>
            <w:shd w:val="clear" w:color="auto" w:fill="D9E2F3" w:themeFill="accent5" w:themeFillTint="33"/>
            <w:vAlign w:val="center"/>
            <w:hideMark/>
          </w:tcPr>
          <w:p w14:paraId="796925E9"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iCs/>
                <w:color w:val="000000"/>
                <w:lang w:eastAsia="en-NZ"/>
              </w:rPr>
              <w:t>1-Jul-18</w:t>
            </w:r>
          </w:p>
        </w:tc>
        <w:tc>
          <w:tcPr>
            <w:tcW w:w="1230" w:type="dxa"/>
            <w:tcBorders>
              <w:left w:val="single" w:sz="4" w:space="0" w:color="auto"/>
              <w:bottom w:val="single" w:sz="8" w:space="0" w:color="auto"/>
              <w:right w:val="single" w:sz="4" w:space="0" w:color="auto"/>
            </w:tcBorders>
            <w:shd w:val="clear" w:color="auto" w:fill="E2EFD9" w:themeFill="accent6" w:themeFillTint="33"/>
            <w:vAlign w:val="center"/>
            <w:hideMark/>
          </w:tcPr>
          <w:p w14:paraId="51E0551A" w14:textId="77777777" w:rsidR="00FE0D27" w:rsidRPr="00262D89" w:rsidRDefault="00FE0D27" w:rsidP="00262D89">
            <w:pPr>
              <w:spacing w:after="0" w:line="240" w:lineRule="auto"/>
              <w:jc w:val="center"/>
              <w:rPr>
                <w:rFonts w:ascii="Calibri" w:eastAsia="Times New Roman" w:hAnsi="Calibri" w:cs="Calibri"/>
                <w:b/>
                <w:bCs/>
                <w:color w:val="000000"/>
                <w:lang w:eastAsia="en-NZ"/>
              </w:rPr>
            </w:pPr>
            <w:r w:rsidRPr="00262D89">
              <w:rPr>
                <w:rFonts w:ascii="Calibri" w:eastAsia="Times New Roman" w:hAnsi="Calibri" w:cs="Calibri"/>
                <w:b/>
                <w:bCs/>
                <w:color w:val="000000"/>
                <w:lang w:eastAsia="en-NZ"/>
              </w:rPr>
              <w:t>1-Jul-21</w:t>
            </w:r>
          </w:p>
        </w:tc>
        <w:tc>
          <w:tcPr>
            <w:tcW w:w="1230" w:type="dxa"/>
            <w:vMerge/>
            <w:tcBorders>
              <w:left w:val="single" w:sz="4" w:space="0" w:color="auto"/>
              <w:bottom w:val="single" w:sz="8" w:space="0" w:color="auto"/>
              <w:right w:val="single" w:sz="4" w:space="0" w:color="auto"/>
            </w:tcBorders>
            <w:shd w:val="clear" w:color="auto" w:fill="auto"/>
            <w:hideMark/>
          </w:tcPr>
          <w:p w14:paraId="262DB138" w14:textId="2DB9D824" w:rsidR="00FE0D27" w:rsidRPr="00262D89" w:rsidRDefault="00FE0D27" w:rsidP="00262D89">
            <w:pPr>
              <w:spacing w:after="0" w:line="240" w:lineRule="auto"/>
              <w:jc w:val="center"/>
              <w:rPr>
                <w:rFonts w:ascii="Calibri" w:eastAsia="Times New Roman" w:hAnsi="Calibri" w:cs="Calibri"/>
                <w:b/>
                <w:bCs/>
                <w:color w:val="000000"/>
                <w:lang w:eastAsia="en-NZ"/>
              </w:rPr>
            </w:pPr>
          </w:p>
        </w:tc>
      </w:tr>
      <w:tr w:rsidR="00262D89" w:rsidRPr="00262D89" w14:paraId="6C7E73C3" w14:textId="77777777" w:rsidTr="00900E80">
        <w:trPr>
          <w:trHeight w:val="630"/>
        </w:trPr>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DC67B" w14:textId="14128AE6" w:rsidR="00262D89" w:rsidRPr="00900E80" w:rsidRDefault="003B3913" w:rsidP="00900E80">
            <w:pPr>
              <w:spacing w:after="0" w:line="240" w:lineRule="auto"/>
              <w:jc w:val="right"/>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 xml:space="preserve">Child-related </w:t>
            </w:r>
            <w:r w:rsidR="00FE0D27" w:rsidRPr="00900E80">
              <w:rPr>
                <w:rFonts w:ascii="Calibri" w:eastAsia="Times New Roman" w:hAnsi="Calibri" w:cs="Calibri"/>
                <w:color w:val="000000"/>
                <w:sz w:val="20"/>
                <w:szCs w:val="20"/>
                <w:lang w:eastAsia="en-NZ"/>
              </w:rPr>
              <w:t>tax credit a</w:t>
            </w:r>
            <w:r w:rsidR="00262D89" w:rsidRPr="00900E80">
              <w:rPr>
                <w:rFonts w:ascii="Calibri" w:eastAsia="Times New Roman" w:hAnsi="Calibri" w:cs="Calibri"/>
                <w:color w:val="000000"/>
                <w:sz w:val="20"/>
                <w:szCs w:val="20"/>
                <w:lang w:eastAsia="en-NZ"/>
              </w:rPr>
              <w:t xml:space="preserve">batement thresholds </w:t>
            </w:r>
          </w:p>
        </w:tc>
        <w:tc>
          <w:tcPr>
            <w:tcW w:w="1230"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2BD432DA" w14:textId="2D3F72C3"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NZ$</w:t>
            </w:r>
            <w:r w:rsidR="00262D89" w:rsidRPr="00900E80">
              <w:rPr>
                <w:rFonts w:ascii="Calibri" w:eastAsia="Times New Roman" w:hAnsi="Calibri" w:cs="Calibri"/>
                <w:color w:val="000000"/>
                <w:sz w:val="20"/>
                <w:szCs w:val="20"/>
                <w:lang w:eastAsia="en-NZ"/>
              </w:rPr>
              <w:t>42,700</w:t>
            </w:r>
          </w:p>
        </w:tc>
        <w:tc>
          <w:tcPr>
            <w:tcW w:w="123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06AFAAB1" w14:textId="06162F2A"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NZ$</w:t>
            </w:r>
            <w:r w:rsidR="00262D89" w:rsidRPr="00900E80">
              <w:rPr>
                <w:rFonts w:ascii="Calibri" w:eastAsia="Times New Roman" w:hAnsi="Calibri" w:cs="Calibri"/>
                <w:color w:val="000000"/>
                <w:sz w:val="20"/>
                <w:szCs w:val="20"/>
                <w:lang w:eastAsia="en-NZ"/>
              </w:rPr>
              <w:t>42,700</w:t>
            </w:r>
          </w:p>
        </w:tc>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340572" w14:textId="65ACF835"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NZ$</w:t>
            </w:r>
            <w:r w:rsidR="00262D89" w:rsidRPr="00900E80">
              <w:rPr>
                <w:rFonts w:ascii="Calibri" w:eastAsia="Times New Roman" w:hAnsi="Calibri" w:cs="Calibri"/>
                <w:color w:val="000000"/>
                <w:sz w:val="20"/>
                <w:szCs w:val="20"/>
                <w:lang w:eastAsia="en-NZ"/>
              </w:rPr>
              <w:t>42,700</w:t>
            </w:r>
          </w:p>
        </w:tc>
        <w:tc>
          <w:tcPr>
            <w:tcW w:w="1230"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14:paraId="12C1A249" w14:textId="650BFB62"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AU</w:t>
            </w:r>
            <w:r w:rsidR="00262D89" w:rsidRPr="00900E80">
              <w:rPr>
                <w:rFonts w:ascii="Calibri" w:eastAsia="Times New Roman" w:hAnsi="Calibri" w:cs="Calibri"/>
                <w:color w:val="000000"/>
                <w:sz w:val="20"/>
                <w:szCs w:val="20"/>
                <w:lang w:eastAsia="en-NZ"/>
              </w:rPr>
              <w:t>$53,728</w:t>
            </w:r>
          </w:p>
        </w:tc>
        <w:tc>
          <w:tcPr>
            <w:tcW w:w="123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297B8304" w14:textId="68DC433A"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AU</w:t>
            </w:r>
            <w:r w:rsidR="00262D89" w:rsidRPr="00900E80">
              <w:rPr>
                <w:rFonts w:ascii="Calibri" w:eastAsia="Times New Roman" w:hAnsi="Calibri" w:cs="Calibri"/>
                <w:color w:val="000000"/>
                <w:sz w:val="20"/>
                <w:szCs w:val="20"/>
                <w:lang w:eastAsia="en-NZ"/>
              </w:rPr>
              <w:t>$56,137</w:t>
            </w:r>
          </w:p>
        </w:tc>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5E08A6" w14:textId="184C3218"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AU</w:t>
            </w:r>
            <w:r w:rsidR="00262D89" w:rsidRPr="00900E80">
              <w:rPr>
                <w:rFonts w:ascii="Calibri" w:eastAsia="Times New Roman" w:hAnsi="Calibri" w:cs="Calibri"/>
                <w:color w:val="000000"/>
                <w:sz w:val="20"/>
                <w:szCs w:val="20"/>
                <w:lang w:eastAsia="en-NZ"/>
              </w:rPr>
              <w:t>$57,152</w:t>
            </w:r>
          </w:p>
        </w:tc>
      </w:tr>
      <w:tr w:rsidR="00FE0D27" w:rsidRPr="00262D89" w14:paraId="0D9DC042" w14:textId="77777777" w:rsidTr="00900E80">
        <w:trPr>
          <w:trHeight w:val="615"/>
        </w:trPr>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2BE72B" w14:textId="266745B0" w:rsidR="00262D89" w:rsidRPr="00900E80" w:rsidRDefault="009F668E" w:rsidP="00900E80">
            <w:pPr>
              <w:spacing w:after="0" w:line="240" w:lineRule="auto"/>
              <w:jc w:val="right"/>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 xml:space="preserve">Child-related </w:t>
            </w:r>
            <w:r w:rsidR="00FE0D27" w:rsidRPr="00900E80">
              <w:rPr>
                <w:rFonts w:ascii="Calibri" w:eastAsia="Times New Roman" w:hAnsi="Calibri" w:cs="Calibri"/>
                <w:color w:val="000000"/>
                <w:sz w:val="20"/>
                <w:szCs w:val="20"/>
                <w:lang w:eastAsia="en-NZ"/>
              </w:rPr>
              <w:t>tax credit a</w:t>
            </w:r>
            <w:r w:rsidR="00262D89" w:rsidRPr="00900E80">
              <w:rPr>
                <w:rFonts w:ascii="Calibri" w:eastAsia="Times New Roman" w:hAnsi="Calibri" w:cs="Calibri"/>
                <w:color w:val="000000"/>
                <w:sz w:val="20"/>
                <w:szCs w:val="20"/>
                <w:lang w:eastAsia="en-NZ"/>
              </w:rPr>
              <w:t>batement rates</w:t>
            </w:r>
          </w:p>
        </w:tc>
        <w:tc>
          <w:tcPr>
            <w:tcW w:w="1230"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14:paraId="1150399C"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25%</w:t>
            </w:r>
          </w:p>
        </w:tc>
        <w:tc>
          <w:tcPr>
            <w:tcW w:w="123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14:paraId="4DBED91B"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25%</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2D9BCCEE" w14:textId="5A3B3BDC"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2</w:t>
            </w:r>
            <w:r w:rsidR="00505D84">
              <w:rPr>
                <w:rFonts w:ascii="Calibri" w:eastAsia="Times New Roman" w:hAnsi="Calibri" w:cs="Calibri"/>
                <w:color w:val="000000"/>
                <w:sz w:val="20"/>
                <w:szCs w:val="20"/>
                <w:lang w:eastAsia="en-NZ"/>
              </w:rPr>
              <w:t>7</w:t>
            </w:r>
            <w:r w:rsidRPr="00900E80">
              <w:rPr>
                <w:rFonts w:ascii="Calibri" w:eastAsia="Times New Roman" w:hAnsi="Calibri" w:cs="Calibri"/>
                <w:color w:val="000000"/>
                <w:sz w:val="20"/>
                <w:szCs w:val="20"/>
                <w:lang w:eastAsia="en-NZ"/>
              </w:rPr>
              <w:t>%</w:t>
            </w:r>
          </w:p>
        </w:tc>
        <w:tc>
          <w:tcPr>
            <w:tcW w:w="1230"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14:paraId="4D11A46C"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20%</w:t>
            </w:r>
          </w:p>
        </w:tc>
        <w:tc>
          <w:tcPr>
            <w:tcW w:w="123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14:paraId="38DD9488"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20%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14:paraId="27980252"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20%</w:t>
            </w:r>
          </w:p>
        </w:tc>
      </w:tr>
      <w:tr w:rsidR="00FE0D27" w:rsidRPr="00262D89" w14:paraId="37782094" w14:textId="77777777" w:rsidTr="00900E80">
        <w:trPr>
          <w:trHeight w:val="600"/>
        </w:trPr>
        <w:tc>
          <w:tcPr>
            <w:tcW w:w="15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7E56DDA" w14:textId="77777777" w:rsidR="00262D89" w:rsidRPr="00900E80" w:rsidRDefault="00262D89" w:rsidP="00900E80">
            <w:pPr>
              <w:spacing w:after="0" w:line="240" w:lineRule="auto"/>
              <w:jc w:val="right"/>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Rate of GST</w:t>
            </w:r>
          </w:p>
        </w:tc>
        <w:tc>
          <w:tcPr>
            <w:tcW w:w="1230" w:type="dxa"/>
            <w:tcBorders>
              <w:top w:val="single" w:sz="8" w:space="0" w:color="auto"/>
              <w:left w:val="single" w:sz="8" w:space="0" w:color="auto"/>
              <w:bottom w:val="single" w:sz="4" w:space="0" w:color="auto"/>
              <w:right w:val="single" w:sz="8" w:space="0" w:color="auto"/>
            </w:tcBorders>
            <w:shd w:val="clear" w:color="auto" w:fill="D9E2F3" w:themeFill="accent5" w:themeFillTint="33"/>
            <w:vAlign w:val="center"/>
            <w:hideMark/>
          </w:tcPr>
          <w:p w14:paraId="37B44825"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15%</w:t>
            </w:r>
          </w:p>
        </w:tc>
        <w:tc>
          <w:tcPr>
            <w:tcW w:w="1230" w:type="dxa"/>
            <w:tcBorders>
              <w:top w:val="single" w:sz="8" w:space="0" w:color="auto"/>
              <w:left w:val="single" w:sz="8" w:space="0" w:color="auto"/>
              <w:bottom w:val="single" w:sz="4" w:space="0" w:color="auto"/>
              <w:right w:val="single" w:sz="8" w:space="0" w:color="auto"/>
            </w:tcBorders>
            <w:shd w:val="clear" w:color="auto" w:fill="E2EFD9" w:themeFill="accent6" w:themeFillTint="33"/>
            <w:vAlign w:val="center"/>
            <w:hideMark/>
          </w:tcPr>
          <w:p w14:paraId="1A408856"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15%</w:t>
            </w:r>
          </w:p>
        </w:tc>
        <w:tc>
          <w:tcPr>
            <w:tcW w:w="12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BB1D5D"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15%</w:t>
            </w:r>
          </w:p>
        </w:tc>
        <w:tc>
          <w:tcPr>
            <w:tcW w:w="1230" w:type="dxa"/>
            <w:tcBorders>
              <w:top w:val="single" w:sz="8" w:space="0" w:color="auto"/>
              <w:left w:val="single" w:sz="8" w:space="0" w:color="auto"/>
              <w:bottom w:val="single" w:sz="4" w:space="0" w:color="auto"/>
              <w:right w:val="single" w:sz="8" w:space="0" w:color="auto"/>
            </w:tcBorders>
            <w:shd w:val="clear" w:color="auto" w:fill="D9E2F3" w:themeFill="accent5" w:themeFillTint="33"/>
            <w:vAlign w:val="center"/>
            <w:hideMark/>
          </w:tcPr>
          <w:p w14:paraId="7D62559E"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10%</w:t>
            </w:r>
          </w:p>
        </w:tc>
        <w:tc>
          <w:tcPr>
            <w:tcW w:w="1230" w:type="dxa"/>
            <w:tcBorders>
              <w:top w:val="single" w:sz="8" w:space="0" w:color="auto"/>
              <w:left w:val="single" w:sz="8" w:space="0" w:color="auto"/>
              <w:bottom w:val="single" w:sz="4" w:space="0" w:color="auto"/>
              <w:right w:val="single" w:sz="8" w:space="0" w:color="auto"/>
            </w:tcBorders>
            <w:shd w:val="clear" w:color="auto" w:fill="E2EFD9" w:themeFill="accent6" w:themeFillTint="33"/>
            <w:vAlign w:val="center"/>
            <w:hideMark/>
          </w:tcPr>
          <w:p w14:paraId="407B90A0"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10%</w:t>
            </w:r>
          </w:p>
        </w:tc>
        <w:tc>
          <w:tcPr>
            <w:tcW w:w="12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681846"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10%</w:t>
            </w:r>
          </w:p>
        </w:tc>
      </w:tr>
      <w:tr w:rsidR="00FE0D27" w:rsidRPr="00262D89" w14:paraId="01AFEE8E" w14:textId="77777777" w:rsidTr="00900E80">
        <w:trPr>
          <w:trHeight w:val="315"/>
        </w:trPr>
        <w:tc>
          <w:tcPr>
            <w:tcW w:w="15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6869DDE" w14:textId="17371791" w:rsidR="00262D89" w:rsidRPr="00900E80" w:rsidRDefault="008C4CF6" w:rsidP="00900E80">
            <w:pPr>
              <w:spacing w:after="0" w:line="240" w:lineRule="auto"/>
              <w:jc w:val="right"/>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 xml:space="preserve">GST </w:t>
            </w:r>
            <w:r w:rsidR="00262D89" w:rsidRPr="00900E80">
              <w:rPr>
                <w:rFonts w:ascii="Calibri" w:eastAsia="Times New Roman" w:hAnsi="Calibri" w:cs="Calibri"/>
                <w:color w:val="000000"/>
                <w:sz w:val="20"/>
                <w:szCs w:val="20"/>
                <w:lang w:eastAsia="en-NZ"/>
              </w:rPr>
              <w:t>Exclusions</w:t>
            </w:r>
          </w:p>
        </w:tc>
        <w:tc>
          <w:tcPr>
            <w:tcW w:w="1230" w:type="dxa"/>
            <w:tcBorders>
              <w:top w:val="single" w:sz="4" w:space="0" w:color="auto"/>
              <w:left w:val="nil"/>
              <w:bottom w:val="single" w:sz="8" w:space="0" w:color="auto"/>
              <w:right w:val="single" w:sz="8" w:space="0" w:color="auto"/>
            </w:tcBorders>
            <w:shd w:val="clear" w:color="auto" w:fill="D9E2F3" w:themeFill="accent5" w:themeFillTint="33"/>
            <w:vAlign w:val="center"/>
            <w:hideMark/>
          </w:tcPr>
          <w:p w14:paraId="456307CB" w14:textId="1D985199" w:rsidR="00262D89" w:rsidRPr="00900E80" w:rsidRDefault="00900E80" w:rsidP="00262D89">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r</w:t>
            </w:r>
            <w:r w:rsidR="00262D89" w:rsidRPr="00900E80">
              <w:rPr>
                <w:rFonts w:ascii="Calibri" w:eastAsia="Times New Roman" w:hAnsi="Calibri" w:cs="Calibri"/>
                <w:color w:val="000000"/>
                <w:sz w:val="20"/>
                <w:szCs w:val="20"/>
                <w:lang w:eastAsia="en-NZ"/>
              </w:rPr>
              <w:t>ents</w:t>
            </w:r>
          </w:p>
        </w:tc>
        <w:tc>
          <w:tcPr>
            <w:tcW w:w="1230" w:type="dxa"/>
            <w:tcBorders>
              <w:top w:val="single" w:sz="4" w:space="0" w:color="auto"/>
              <w:left w:val="nil"/>
              <w:bottom w:val="single" w:sz="8" w:space="0" w:color="auto"/>
              <w:right w:val="single" w:sz="8" w:space="0" w:color="auto"/>
            </w:tcBorders>
            <w:shd w:val="clear" w:color="auto" w:fill="E2EFD9" w:themeFill="accent6" w:themeFillTint="33"/>
            <w:vAlign w:val="center"/>
            <w:hideMark/>
          </w:tcPr>
          <w:p w14:paraId="032ECECA"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rents</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14:paraId="35BFDF45" w14:textId="15C80E39"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r</w:t>
            </w:r>
            <w:r w:rsidR="00262D89" w:rsidRPr="00900E80">
              <w:rPr>
                <w:rFonts w:ascii="Calibri" w:eastAsia="Times New Roman" w:hAnsi="Calibri" w:cs="Calibri"/>
                <w:color w:val="000000"/>
                <w:sz w:val="20"/>
                <w:szCs w:val="20"/>
                <w:lang w:eastAsia="en-NZ"/>
              </w:rPr>
              <w:t>ents</w:t>
            </w:r>
          </w:p>
        </w:tc>
        <w:tc>
          <w:tcPr>
            <w:tcW w:w="1230" w:type="dxa"/>
            <w:tcBorders>
              <w:top w:val="single" w:sz="4" w:space="0" w:color="auto"/>
              <w:left w:val="nil"/>
              <w:bottom w:val="single" w:sz="8" w:space="0" w:color="auto"/>
              <w:right w:val="single" w:sz="8" w:space="0" w:color="auto"/>
            </w:tcBorders>
            <w:shd w:val="clear" w:color="auto" w:fill="D9E2F3" w:themeFill="accent5" w:themeFillTint="33"/>
            <w:vAlign w:val="center"/>
            <w:hideMark/>
          </w:tcPr>
          <w:p w14:paraId="1CE52347"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basics</w:t>
            </w:r>
          </w:p>
        </w:tc>
        <w:tc>
          <w:tcPr>
            <w:tcW w:w="1230" w:type="dxa"/>
            <w:tcBorders>
              <w:top w:val="single" w:sz="4" w:space="0" w:color="auto"/>
              <w:left w:val="nil"/>
              <w:bottom w:val="single" w:sz="8" w:space="0" w:color="auto"/>
              <w:right w:val="single" w:sz="8" w:space="0" w:color="auto"/>
            </w:tcBorders>
            <w:shd w:val="clear" w:color="auto" w:fill="E2EFD9" w:themeFill="accent6" w:themeFillTint="33"/>
            <w:vAlign w:val="center"/>
            <w:hideMark/>
          </w:tcPr>
          <w:p w14:paraId="1D8710AB" w14:textId="77777777" w:rsidR="00262D89" w:rsidRPr="00900E80" w:rsidRDefault="00262D89"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basics</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14:paraId="61973A99" w14:textId="00C0399A" w:rsidR="00262D89" w:rsidRPr="00900E80" w:rsidRDefault="008158CB" w:rsidP="00262D89">
            <w:pPr>
              <w:spacing w:after="0" w:line="240" w:lineRule="auto"/>
              <w:jc w:val="center"/>
              <w:rPr>
                <w:rFonts w:ascii="Calibri" w:eastAsia="Times New Roman" w:hAnsi="Calibri" w:cs="Calibri"/>
                <w:color w:val="000000"/>
                <w:sz w:val="20"/>
                <w:szCs w:val="20"/>
                <w:lang w:eastAsia="en-NZ"/>
              </w:rPr>
            </w:pPr>
            <w:r>
              <w:rPr>
                <w:rFonts w:ascii="Calibri" w:eastAsia="Times New Roman" w:hAnsi="Calibri" w:cs="Calibri"/>
                <w:color w:val="000000"/>
                <w:sz w:val="20"/>
                <w:szCs w:val="20"/>
                <w:lang w:eastAsia="en-NZ"/>
              </w:rPr>
              <w:t>B</w:t>
            </w:r>
            <w:r w:rsidR="00262D89" w:rsidRPr="00900E80">
              <w:rPr>
                <w:rFonts w:ascii="Calibri" w:eastAsia="Times New Roman" w:hAnsi="Calibri" w:cs="Calibri"/>
                <w:color w:val="000000"/>
                <w:sz w:val="20"/>
                <w:szCs w:val="20"/>
                <w:lang w:eastAsia="en-NZ"/>
              </w:rPr>
              <w:t>asics</w:t>
            </w:r>
          </w:p>
        </w:tc>
      </w:tr>
      <w:tr w:rsidR="00262D89" w:rsidRPr="00262D89" w14:paraId="3099009D" w14:textId="77777777" w:rsidTr="00900E80">
        <w:trPr>
          <w:trHeight w:val="600"/>
        </w:trPr>
        <w:tc>
          <w:tcPr>
            <w:tcW w:w="15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55F716F" w14:textId="2DD96570" w:rsidR="00262D89" w:rsidRPr="00900E80" w:rsidRDefault="00262D89" w:rsidP="00900E80">
            <w:pPr>
              <w:spacing w:after="0" w:line="240" w:lineRule="auto"/>
              <w:jc w:val="right"/>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 xml:space="preserve">Bottom </w:t>
            </w:r>
            <w:r w:rsidR="00FE0D27" w:rsidRPr="00900E80">
              <w:rPr>
                <w:rFonts w:ascii="Calibri" w:eastAsia="Times New Roman" w:hAnsi="Calibri" w:cs="Calibri"/>
                <w:color w:val="000000"/>
                <w:sz w:val="20"/>
                <w:szCs w:val="20"/>
                <w:lang w:eastAsia="en-NZ"/>
              </w:rPr>
              <w:t xml:space="preserve">income tax </w:t>
            </w:r>
            <w:r w:rsidRPr="00900E80">
              <w:rPr>
                <w:rFonts w:ascii="Calibri" w:eastAsia="Times New Roman" w:hAnsi="Calibri" w:cs="Calibri"/>
                <w:color w:val="000000"/>
                <w:sz w:val="20"/>
                <w:szCs w:val="20"/>
                <w:lang w:eastAsia="en-NZ"/>
              </w:rPr>
              <w:t>threshold</w:t>
            </w:r>
          </w:p>
        </w:tc>
        <w:tc>
          <w:tcPr>
            <w:tcW w:w="1230" w:type="dxa"/>
            <w:tcBorders>
              <w:top w:val="single" w:sz="8" w:space="0" w:color="auto"/>
              <w:left w:val="nil"/>
              <w:bottom w:val="single" w:sz="4" w:space="0" w:color="auto"/>
              <w:right w:val="single" w:sz="8" w:space="0" w:color="auto"/>
            </w:tcBorders>
            <w:shd w:val="clear" w:color="auto" w:fill="D9E2F3" w:themeFill="accent5" w:themeFillTint="33"/>
            <w:vAlign w:val="center"/>
            <w:hideMark/>
          </w:tcPr>
          <w:p w14:paraId="498FA3D7" w14:textId="79EF30CF"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NZ$</w:t>
            </w:r>
            <w:r w:rsidR="00262D89" w:rsidRPr="00900E80">
              <w:rPr>
                <w:rFonts w:ascii="Calibri" w:eastAsia="Times New Roman" w:hAnsi="Calibri" w:cs="Calibri"/>
                <w:color w:val="000000"/>
                <w:sz w:val="20"/>
                <w:szCs w:val="20"/>
                <w:lang w:eastAsia="en-NZ"/>
              </w:rPr>
              <w:t>14,000</w:t>
            </w:r>
          </w:p>
        </w:tc>
        <w:tc>
          <w:tcPr>
            <w:tcW w:w="1230" w:type="dxa"/>
            <w:tcBorders>
              <w:top w:val="single" w:sz="8" w:space="0" w:color="auto"/>
              <w:left w:val="nil"/>
              <w:bottom w:val="single" w:sz="4" w:space="0" w:color="auto"/>
              <w:right w:val="single" w:sz="8" w:space="0" w:color="auto"/>
            </w:tcBorders>
            <w:shd w:val="clear" w:color="auto" w:fill="E2EFD9" w:themeFill="accent6" w:themeFillTint="33"/>
            <w:vAlign w:val="center"/>
            <w:hideMark/>
          </w:tcPr>
          <w:p w14:paraId="268D4AE5" w14:textId="4A6919FD"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NZ$</w:t>
            </w:r>
            <w:r w:rsidR="00262D89" w:rsidRPr="00900E80">
              <w:rPr>
                <w:rFonts w:ascii="Calibri" w:eastAsia="Times New Roman" w:hAnsi="Calibri" w:cs="Calibri"/>
                <w:color w:val="000000"/>
                <w:sz w:val="20"/>
                <w:szCs w:val="20"/>
                <w:lang w:eastAsia="en-NZ"/>
              </w:rPr>
              <w:t>14,000</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157EFA3A" w14:textId="73EDD380"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NZ$</w:t>
            </w:r>
            <w:r w:rsidR="00262D89" w:rsidRPr="00900E80">
              <w:rPr>
                <w:rFonts w:ascii="Calibri" w:eastAsia="Times New Roman" w:hAnsi="Calibri" w:cs="Calibri"/>
                <w:color w:val="000000"/>
                <w:sz w:val="20"/>
                <w:szCs w:val="20"/>
                <w:lang w:eastAsia="en-NZ"/>
              </w:rPr>
              <w:t>14,000</w:t>
            </w:r>
          </w:p>
        </w:tc>
        <w:tc>
          <w:tcPr>
            <w:tcW w:w="1230" w:type="dxa"/>
            <w:tcBorders>
              <w:top w:val="single" w:sz="8" w:space="0" w:color="auto"/>
              <w:left w:val="nil"/>
              <w:bottom w:val="single" w:sz="4" w:space="0" w:color="auto"/>
              <w:right w:val="single" w:sz="8" w:space="0" w:color="auto"/>
            </w:tcBorders>
            <w:shd w:val="clear" w:color="auto" w:fill="D9E2F3" w:themeFill="accent5" w:themeFillTint="33"/>
            <w:vAlign w:val="center"/>
            <w:hideMark/>
          </w:tcPr>
          <w:p w14:paraId="43523E0A" w14:textId="34DED8A0"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AU$</w:t>
            </w:r>
            <w:r w:rsidR="00262D89" w:rsidRPr="00900E80">
              <w:rPr>
                <w:rFonts w:ascii="Calibri" w:eastAsia="Times New Roman" w:hAnsi="Calibri" w:cs="Calibri"/>
                <w:color w:val="000000"/>
                <w:sz w:val="20"/>
                <w:szCs w:val="20"/>
                <w:lang w:eastAsia="en-NZ"/>
              </w:rPr>
              <w:t>18,200</w:t>
            </w:r>
          </w:p>
        </w:tc>
        <w:tc>
          <w:tcPr>
            <w:tcW w:w="1230" w:type="dxa"/>
            <w:tcBorders>
              <w:top w:val="single" w:sz="8" w:space="0" w:color="auto"/>
              <w:left w:val="nil"/>
              <w:bottom w:val="single" w:sz="4" w:space="0" w:color="auto"/>
              <w:right w:val="single" w:sz="8" w:space="0" w:color="auto"/>
            </w:tcBorders>
            <w:shd w:val="clear" w:color="auto" w:fill="E2EFD9" w:themeFill="accent6" w:themeFillTint="33"/>
            <w:vAlign w:val="center"/>
            <w:hideMark/>
          </w:tcPr>
          <w:p w14:paraId="4522DD99" w14:textId="7140C43C"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AU$</w:t>
            </w:r>
            <w:r w:rsidR="00262D89" w:rsidRPr="00900E80">
              <w:rPr>
                <w:rFonts w:ascii="Calibri" w:eastAsia="Times New Roman" w:hAnsi="Calibri" w:cs="Calibri"/>
                <w:color w:val="000000"/>
                <w:sz w:val="20"/>
                <w:szCs w:val="20"/>
                <w:lang w:eastAsia="en-NZ"/>
              </w:rPr>
              <w:t>18,200</w:t>
            </w:r>
          </w:p>
        </w:tc>
        <w:tc>
          <w:tcPr>
            <w:tcW w:w="1230" w:type="dxa"/>
            <w:tcBorders>
              <w:top w:val="single" w:sz="8" w:space="0" w:color="auto"/>
              <w:left w:val="nil"/>
              <w:bottom w:val="single" w:sz="4" w:space="0" w:color="auto"/>
              <w:right w:val="single" w:sz="8" w:space="0" w:color="auto"/>
            </w:tcBorders>
            <w:shd w:val="clear" w:color="auto" w:fill="auto"/>
            <w:vAlign w:val="center"/>
            <w:hideMark/>
          </w:tcPr>
          <w:p w14:paraId="659C19DC" w14:textId="4663E95B" w:rsidR="00262D89" w:rsidRPr="00900E80" w:rsidRDefault="00FE0D27" w:rsidP="00262D89">
            <w:pPr>
              <w:spacing w:after="0" w:line="240" w:lineRule="auto"/>
              <w:jc w:val="center"/>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AU$</w:t>
            </w:r>
            <w:r w:rsidR="00262D89" w:rsidRPr="00900E80">
              <w:rPr>
                <w:rFonts w:ascii="Calibri" w:eastAsia="Times New Roman" w:hAnsi="Calibri" w:cs="Calibri"/>
                <w:color w:val="000000"/>
                <w:sz w:val="20"/>
                <w:szCs w:val="20"/>
                <w:lang w:eastAsia="en-NZ"/>
              </w:rPr>
              <w:t>18,200</w:t>
            </w:r>
          </w:p>
        </w:tc>
      </w:tr>
      <w:tr w:rsidR="00262D89" w:rsidRPr="00262D89" w14:paraId="44555A5D" w14:textId="77777777" w:rsidTr="00900E80">
        <w:trPr>
          <w:trHeight w:val="315"/>
        </w:trPr>
        <w:tc>
          <w:tcPr>
            <w:tcW w:w="15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8B94BE4" w14:textId="77777777" w:rsidR="00262D89" w:rsidRPr="00900E80" w:rsidRDefault="00262D89" w:rsidP="00900E80">
            <w:pPr>
              <w:spacing w:after="0" w:line="240" w:lineRule="auto"/>
              <w:jc w:val="right"/>
              <w:rPr>
                <w:rFonts w:ascii="Calibri" w:eastAsia="Times New Roman" w:hAnsi="Calibri" w:cs="Calibri"/>
                <w:color w:val="000000"/>
                <w:sz w:val="20"/>
                <w:szCs w:val="20"/>
                <w:lang w:eastAsia="en-NZ"/>
              </w:rPr>
            </w:pPr>
            <w:r w:rsidRPr="00900E80">
              <w:rPr>
                <w:rFonts w:ascii="Calibri" w:eastAsia="Times New Roman" w:hAnsi="Calibri" w:cs="Calibri"/>
                <w:color w:val="000000"/>
                <w:sz w:val="20"/>
                <w:szCs w:val="20"/>
                <w:lang w:eastAsia="en-NZ"/>
              </w:rPr>
              <w:t>(Tax rate))</w:t>
            </w:r>
          </w:p>
        </w:tc>
        <w:tc>
          <w:tcPr>
            <w:tcW w:w="1230" w:type="dxa"/>
            <w:tcBorders>
              <w:top w:val="single" w:sz="4" w:space="0" w:color="auto"/>
              <w:left w:val="nil"/>
              <w:bottom w:val="single" w:sz="8" w:space="0" w:color="auto"/>
              <w:right w:val="single" w:sz="8" w:space="0" w:color="auto"/>
            </w:tcBorders>
            <w:shd w:val="clear" w:color="auto" w:fill="D9E2F3" w:themeFill="accent5" w:themeFillTint="33"/>
            <w:vAlign w:val="center"/>
            <w:hideMark/>
          </w:tcPr>
          <w:p w14:paraId="77A16741" w14:textId="1DEF36AC" w:rsidR="00262D89" w:rsidRPr="00262D89" w:rsidRDefault="00262D89" w:rsidP="00262D89">
            <w:pPr>
              <w:spacing w:after="0" w:line="240" w:lineRule="auto"/>
              <w:jc w:val="center"/>
              <w:rPr>
                <w:rFonts w:ascii="Calibri" w:eastAsia="Times New Roman" w:hAnsi="Calibri" w:cs="Calibri"/>
                <w:color w:val="000000"/>
                <w:lang w:eastAsia="en-NZ"/>
              </w:rPr>
            </w:pPr>
            <w:r w:rsidRPr="00262D89">
              <w:rPr>
                <w:rFonts w:ascii="Calibri" w:eastAsia="Times New Roman" w:hAnsi="Calibri" w:cs="Calibri"/>
                <w:color w:val="000000"/>
                <w:lang w:eastAsia="en-NZ"/>
              </w:rPr>
              <w:t>10.5%</w:t>
            </w:r>
          </w:p>
        </w:tc>
        <w:tc>
          <w:tcPr>
            <w:tcW w:w="1230" w:type="dxa"/>
            <w:tcBorders>
              <w:top w:val="single" w:sz="4" w:space="0" w:color="auto"/>
              <w:left w:val="nil"/>
              <w:bottom w:val="single" w:sz="8" w:space="0" w:color="auto"/>
              <w:right w:val="single" w:sz="8" w:space="0" w:color="auto"/>
            </w:tcBorders>
            <w:shd w:val="clear" w:color="auto" w:fill="E2EFD9" w:themeFill="accent6" w:themeFillTint="33"/>
            <w:vAlign w:val="center"/>
            <w:hideMark/>
          </w:tcPr>
          <w:p w14:paraId="06032B84" w14:textId="065D80E0" w:rsidR="00262D89" w:rsidRPr="00262D89" w:rsidRDefault="00262D89" w:rsidP="00262D89">
            <w:pPr>
              <w:spacing w:after="0" w:line="240" w:lineRule="auto"/>
              <w:jc w:val="center"/>
              <w:rPr>
                <w:rFonts w:ascii="Calibri" w:eastAsia="Times New Roman" w:hAnsi="Calibri" w:cs="Calibri"/>
                <w:color w:val="000000"/>
                <w:lang w:eastAsia="en-NZ"/>
              </w:rPr>
            </w:pPr>
            <w:r w:rsidRPr="00262D89">
              <w:rPr>
                <w:rFonts w:ascii="Calibri" w:eastAsia="Times New Roman" w:hAnsi="Calibri" w:cs="Calibri"/>
                <w:color w:val="000000"/>
                <w:lang w:eastAsia="en-NZ"/>
              </w:rPr>
              <w:t>10.5%</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14:paraId="42A92704" w14:textId="482E75A4" w:rsidR="00262D89" w:rsidRPr="00262D89" w:rsidRDefault="00262D89" w:rsidP="00262D89">
            <w:pPr>
              <w:spacing w:after="0" w:line="240" w:lineRule="auto"/>
              <w:jc w:val="center"/>
              <w:rPr>
                <w:rFonts w:ascii="Calibri" w:eastAsia="Times New Roman" w:hAnsi="Calibri" w:cs="Calibri"/>
                <w:color w:val="000000"/>
                <w:lang w:eastAsia="en-NZ"/>
              </w:rPr>
            </w:pPr>
            <w:r w:rsidRPr="00262D89">
              <w:rPr>
                <w:rFonts w:ascii="Calibri" w:eastAsia="Times New Roman" w:hAnsi="Calibri" w:cs="Calibri"/>
                <w:color w:val="000000"/>
                <w:lang w:eastAsia="en-NZ"/>
              </w:rPr>
              <w:t>10.5%</w:t>
            </w:r>
          </w:p>
        </w:tc>
        <w:tc>
          <w:tcPr>
            <w:tcW w:w="1230" w:type="dxa"/>
            <w:tcBorders>
              <w:top w:val="single" w:sz="4" w:space="0" w:color="auto"/>
              <w:left w:val="nil"/>
              <w:bottom w:val="single" w:sz="8" w:space="0" w:color="auto"/>
              <w:right w:val="single" w:sz="8" w:space="0" w:color="auto"/>
            </w:tcBorders>
            <w:shd w:val="clear" w:color="auto" w:fill="D9E2F3" w:themeFill="accent5" w:themeFillTint="33"/>
            <w:vAlign w:val="center"/>
            <w:hideMark/>
          </w:tcPr>
          <w:p w14:paraId="6E4AA9E7" w14:textId="77777777" w:rsidR="00262D89" w:rsidRPr="00262D89" w:rsidRDefault="00262D89" w:rsidP="00262D89">
            <w:pPr>
              <w:spacing w:after="0" w:line="240" w:lineRule="auto"/>
              <w:jc w:val="center"/>
              <w:rPr>
                <w:rFonts w:ascii="Calibri" w:eastAsia="Times New Roman" w:hAnsi="Calibri" w:cs="Calibri"/>
                <w:color w:val="000000"/>
                <w:lang w:eastAsia="en-NZ"/>
              </w:rPr>
            </w:pPr>
            <w:r w:rsidRPr="00262D89">
              <w:rPr>
                <w:rFonts w:ascii="Calibri" w:eastAsia="Times New Roman" w:hAnsi="Calibri" w:cs="Calibri"/>
                <w:color w:val="000000"/>
                <w:lang w:eastAsia="en-NZ"/>
              </w:rPr>
              <w:t>0%</w:t>
            </w:r>
          </w:p>
        </w:tc>
        <w:tc>
          <w:tcPr>
            <w:tcW w:w="1230" w:type="dxa"/>
            <w:tcBorders>
              <w:top w:val="single" w:sz="4" w:space="0" w:color="auto"/>
              <w:left w:val="nil"/>
              <w:bottom w:val="single" w:sz="8" w:space="0" w:color="auto"/>
              <w:right w:val="single" w:sz="8" w:space="0" w:color="auto"/>
            </w:tcBorders>
            <w:shd w:val="clear" w:color="auto" w:fill="E2EFD9" w:themeFill="accent6" w:themeFillTint="33"/>
            <w:vAlign w:val="center"/>
            <w:hideMark/>
          </w:tcPr>
          <w:p w14:paraId="416500DF" w14:textId="77777777" w:rsidR="00262D89" w:rsidRPr="00262D89" w:rsidRDefault="00262D89" w:rsidP="00262D89">
            <w:pPr>
              <w:spacing w:after="0" w:line="240" w:lineRule="auto"/>
              <w:jc w:val="center"/>
              <w:rPr>
                <w:rFonts w:ascii="Calibri" w:eastAsia="Times New Roman" w:hAnsi="Calibri" w:cs="Calibri"/>
                <w:color w:val="000000"/>
                <w:lang w:eastAsia="en-NZ"/>
              </w:rPr>
            </w:pPr>
            <w:r w:rsidRPr="00262D89">
              <w:rPr>
                <w:rFonts w:ascii="Calibri" w:eastAsia="Times New Roman" w:hAnsi="Calibri" w:cs="Calibri"/>
                <w:color w:val="000000"/>
                <w:lang w:eastAsia="en-NZ"/>
              </w:rPr>
              <w:t>0%</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14:paraId="5ADF51E3" w14:textId="77777777" w:rsidR="00262D89" w:rsidRPr="00262D89" w:rsidRDefault="00262D89" w:rsidP="00262D89">
            <w:pPr>
              <w:spacing w:after="0" w:line="240" w:lineRule="auto"/>
              <w:jc w:val="center"/>
              <w:rPr>
                <w:rFonts w:ascii="Calibri" w:eastAsia="Times New Roman" w:hAnsi="Calibri" w:cs="Calibri"/>
                <w:color w:val="000000"/>
                <w:lang w:eastAsia="en-NZ"/>
              </w:rPr>
            </w:pPr>
            <w:r w:rsidRPr="00262D89">
              <w:rPr>
                <w:rFonts w:ascii="Calibri" w:eastAsia="Times New Roman" w:hAnsi="Calibri" w:cs="Calibri"/>
                <w:color w:val="000000"/>
                <w:lang w:eastAsia="en-NZ"/>
              </w:rPr>
              <w:t>0%</w:t>
            </w:r>
          </w:p>
        </w:tc>
      </w:tr>
    </w:tbl>
    <w:p w14:paraId="227546C8" w14:textId="11506D00" w:rsidR="00A238A6" w:rsidRDefault="00A238A6" w:rsidP="003A1821">
      <w:pPr>
        <w:tabs>
          <w:tab w:val="center" w:pos="1177"/>
        </w:tabs>
      </w:pPr>
    </w:p>
    <w:p w14:paraId="55725697" w14:textId="2636E622" w:rsidR="00FE0D27" w:rsidRDefault="00FE0D27" w:rsidP="00FE0D27">
      <w:r w:rsidRPr="007E0525">
        <w:t>Table</w:t>
      </w:r>
      <w:r w:rsidR="00FB31A5">
        <w:t>s</w:t>
      </w:r>
      <w:r w:rsidRPr="007E0525">
        <w:t xml:space="preserve"> 3</w:t>
      </w:r>
      <w:r w:rsidR="00FB31A5">
        <w:t>a-c</w:t>
      </w:r>
      <w:r w:rsidRPr="007E0525">
        <w:t xml:space="preserve"> shows the actual value of maximum </w:t>
      </w:r>
      <w:r>
        <w:t>F</w:t>
      </w:r>
      <w:r w:rsidRPr="007E0525">
        <w:t xml:space="preserve">amily </w:t>
      </w:r>
      <w:r>
        <w:t>T</w:t>
      </w:r>
      <w:r w:rsidRPr="007E0525">
        <w:t xml:space="preserve">ax </w:t>
      </w:r>
      <w:r>
        <w:t>B</w:t>
      </w:r>
      <w:r w:rsidRPr="007E0525">
        <w:t>enefits</w:t>
      </w:r>
      <w:r>
        <w:t xml:space="preserve"> A and B</w:t>
      </w:r>
      <w:r w:rsidRPr="007E0525">
        <w:t xml:space="preserve"> in Australia</w:t>
      </w:r>
      <w:r w:rsidR="00C17F02">
        <w:t xml:space="preserve"> for </w:t>
      </w:r>
      <w:r w:rsidR="004B16B1">
        <w:t>children</w:t>
      </w:r>
      <w:r w:rsidR="00C17F02">
        <w:t xml:space="preserve"> aged 5-</w:t>
      </w:r>
      <w:r w:rsidR="004B16B1">
        <w:t>19</w:t>
      </w:r>
      <w:r w:rsidRPr="007E0525">
        <w:t>.</w:t>
      </w:r>
      <w:r w:rsidR="009A1677">
        <w:rPr>
          <w:rStyle w:val="FootnoteReference"/>
        </w:rPr>
        <w:footnoteReference w:id="3"/>
      </w:r>
      <w:r>
        <w:t xml:space="preserve"> </w:t>
      </w:r>
    </w:p>
    <w:p w14:paraId="2B060FED" w14:textId="3F1E09B1" w:rsidR="007E0525" w:rsidRPr="0022586D" w:rsidRDefault="0022586D" w:rsidP="00D52020">
      <w:pPr>
        <w:rPr>
          <w:b/>
          <w:bCs/>
        </w:rPr>
      </w:pPr>
      <w:r w:rsidRPr="0022586D">
        <w:rPr>
          <w:b/>
          <w:bCs/>
        </w:rPr>
        <w:t>Table 3</w:t>
      </w:r>
      <w:r w:rsidR="006A63B3">
        <w:rPr>
          <w:b/>
          <w:bCs/>
        </w:rPr>
        <w:t>a</w:t>
      </w:r>
      <w:r w:rsidRPr="0022586D">
        <w:rPr>
          <w:b/>
          <w:bCs/>
        </w:rPr>
        <w:t xml:space="preserve"> Maximum </w:t>
      </w:r>
      <w:r w:rsidR="006A63B3">
        <w:rPr>
          <w:b/>
          <w:bCs/>
        </w:rPr>
        <w:t xml:space="preserve">weekly </w:t>
      </w:r>
      <w:r w:rsidRPr="0022586D">
        <w:rPr>
          <w:b/>
          <w:bCs/>
        </w:rPr>
        <w:t>Family Tax Benefit A and B</w:t>
      </w:r>
      <w:r w:rsidR="0033230B">
        <w:rPr>
          <w:b/>
          <w:bCs/>
        </w:rPr>
        <w:t xml:space="preserve"> in</w:t>
      </w:r>
      <w:r w:rsidRPr="0022586D">
        <w:rPr>
          <w:b/>
          <w:bCs/>
        </w:rPr>
        <w:t xml:space="preserve"> Australia</w:t>
      </w:r>
      <w:r w:rsidR="00FB31A5">
        <w:rPr>
          <w:b/>
          <w:bCs/>
        </w:rPr>
        <w:t xml:space="preserve"> (AUD)</w:t>
      </w:r>
    </w:p>
    <w:tbl>
      <w:tblPr>
        <w:tblW w:w="8210" w:type="dxa"/>
        <w:tblLook w:val="04A0" w:firstRow="1" w:lastRow="0" w:firstColumn="1" w:lastColumn="0" w:noHBand="0" w:noVBand="1"/>
      </w:tblPr>
      <w:tblGrid>
        <w:gridCol w:w="2620"/>
        <w:gridCol w:w="960"/>
        <w:gridCol w:w="72"/>
        <w:gridCol w:w="888"/>
        <w:gridCol w:w="1222"/>
        <w:gridCol w:w="1222"/>
        <w:gridCol w:w="1226"/>
      </w:tblGrid>
      <w:tr w:rsidR="00873CA9" w:rsidRPr="00543881" w14:paraId="19727A91" w14:textId="77777777" w:rsidTr="006B07DD">
        <w:trPr>
          <w:trHeight w:val="660"/>
        </w:trPr>
        <w:tc>
          <w:tcPr>
            <w:tcW w:w="2620" w:type="dxa"/>
            <w:tcBorders>
              <w:top w:val="single" w:sz="4" w:space="0" w:color="auto"/>
              <w:left w:val="single" w:sz="4" w:space="0" w:color="auto"/>
              <w:bottom w:val="nil"/>
              <w:right w:val="single" w:sz="4" w:space="0" w:color="auto"/>
            </w:tcBorders>
            <w:shd w:val="clear" w:color="000000" w:fill="FFFFFF"/>
            <w:noWrap/>
            <w:vAlign w:val="bottom"/>
            <w:hideMark/>
          </w:tcPr>
          <w:p w14:paraId="72B2A6B0" w14:textId="7A6851F1" w:rsidR="00873CA9" w:rsidRPr="00543881" w:rsidRDefault="00873CA9" w:rsidP="00543881">
            <w:pPr>
              <w:spacing w:after="0" w:line="240" w:lineRule="auto"/>
              <w:rPr>
                <w:rFonts w:ascii="Calibri" w:eastAsia="Times New Roman" w:hAnsi="Calibri" w:cs="Calibri"/>
                <w:b/>
                <w:bCs/>
                <w:color w:val="000000"/>
                <w:lang w:eastAsia="en-NZ"/>
              </w:rPr>
            </w:pPr>
          </w:p>
        </w:tc>
        <w:tc>
          <w:tcPr>
            <w:tcW w:w="1032" w:type="dxa"/>
            <w:gridSpan w:val="2"/>
            <w:vMerge w:val="restart"/>
            <w:tcBorders>
              <w:top w:val="single" w:sz="4" w:space="0" w:color="auto"/>
              <w:left w:val="single" w:sz="4" w:space="0" w:color="auto"/>
            </w:tcBorders>
            <w:shd w:val="clear" w:color="000000" w:fill="FFFFFF"/>
            <w:noWrap/>
            <w:vAlign w:val="bottom"/>
            <w:hideMark/>
          </w:tcPr>
          <w:p w14:paraId="1E751590" w14:textId="77777777" w:rsidR="00873CA9" w:rsidRPr="00543881" w:rsidRDefault="00873CA9" w:rsidP="00543881">
            <w:pPr>
              <w:spacing w:after="0" w:line="240" w:lineRule="auto"/>
              <w:rPr>
                <w:rFonts w:ascii="Calibri" w:eastAsia="Times New Roman" w:hAnsi="Calibri" w:cs="Calibri"/>
                <w:b/>
                <w:bCs/>
                <w:color w:val="000000"/>
                <w:lang w:eastAsia="en-NZ"/>
              </w:rPr>
            </w:pPr>
            <w:r w:rsidRPr="00543881">
              <w:rPr>
                <w:rFonts w:ascii="Calibri" w:eastAsia="Times New Roman" w:hAnsi="Calibri" w:cs="Calibri"/>
                <w:b/>
                <w:bCs/>
                <w:color w:val="000000"/>
                <w:lang w:eastAsia="en-NZ"/>
              </w:rPr>
              <w:t> </w:t>
            </w:r>
          </w:p>
          <w:p w14:paraId="4AD653C8" w14:textId="72F355EF" w:rsidR="00873CA9" w:rsidRDefault="008158CB" w:rsidP="00543881">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00873CA9" w:rsidRPr="00543881">
              <w:rPr>
                <w:rFonts w:ascii="Calibri" w:eastAsia="Times New Roman" w:hAnsi="Calibri" w:cs="Calibri"/>
                <w:b/>
                <w:bCs/>
                <w:color w:val="000000"/>
                <w:lang w:eastAsia="en-NZ"/>
              </w:rPr>
              <w:t>Jul-18</w:t>
            </w:r>
          </w:p>
          <w:p w14:paraId="4AB1909E" w14:textId="1B58F993" w:rsidR="00662800" w:rsidRPr="00543881"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888" w:type="dxa"/>
            <w:vMerge w:val="restart"/>
            <w:tcBorders>
              <w:top w:val="single" w:sz="4" w:space="0" w:color="auto"/>
            </w:tcBorders>
            <w:shd w:val="clear" w:color="000000" w:fill="FFFFFF"/>
            <w:noWrap/>
            <w:vAlign w:val="bottom"/>
            <w:hideMark/>
          </w:tcPr>
          <w:p w14:paraId="0DD82BBD" w14:textId="77777777" w:rsidR="00873CA9" w:rsidRPr="00543881" w:rsidRDefault="00873CA9" w:rsidP="00543881">
            <w:pPr>
              <w:spacing w:after="0" w:line="240" w:lineRule="auto"/>
              <w:rPr>
                <w:rFonts w:ascii="Calibri" w:eastAsia="Times New Roman" w:hAnsi="Calibri" w:cs="Calibri"/>
                <w:b/>
                <w:bCs/>
                <w:color w:val="000000"/>
                <w:lang w:eastAsia="en-NZ"/>
              </w:rPr>
            </w:pPr>
            <w:r w:rsidRPr="00543881">
              <w:rPr>
                <w:rFonts w:ascii="Calibri" w:eastAsia="Times New Roman" w:hAnsi="Calibri" w:cs="Calibri"/>
                <w:b/>
                <w:bCs/>
                <w:color w:val="000000"/>
                <w:lang w:eastAsia="en-NZ"/>
              </w:rPr>
              <w:t> </w:t>
            </w:r>
          </w:p>
          <w:p w14:paraId="1905DFC8" w14:textId="34A2D400" w:rsidR="00873CA9" w:rsidRPr="00543881" w:rsidRDefault="008158CB"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00873CA9" w:rsidRPr="00543881">
              <w:rPr>
                <w:rFonts w:ascii="Calibri" w:eastAsia="Times New Roman" w:hAnsi="Calibri" w:cs="Calibri"/>
                <w:b/>
                <w:bCs/>
                <w:color w:val="000000"/>
                <w:lang w:eastAsia="en-NZ"/>
              </w:rPr>
              <w:t>Jul-21</w:t>
            </w:r>
            <w:r w:rsidR="00662800">
              <w:rPr>
                <w:rFonts w:ascii="Calibri" w:eastAsia="Times New Roman" w:hAnsi="Calibri" w:cs="Calibri"/>
                <w:b/>
                <w:bCs/>
                <w:color w:val="000000"/>
                <w:lang w:eastAsia="en-NZ"/>
              </w:rPr>
              <w:t xml:space="preserve"> $</w:t>
            </w:r>
          </w:p>
        </w:tc>
        <w:tc>
          <w:tcPr>
            <w:tcW w:w="1222" w:type="dxa"/>
            <w:vMerge w:val="restart"/>
            <w:tcBorders>
              <w:top w:val="single" w:sz="4" w:space="0" w:color="auto"/>
            </w:tcBorders>
            <w:shd w:val="clear" w:color="000000" w:fill="FFFFFF"/>
            <w:noWrap/>
            <w:vAlign w:val="bottom"/>
            <w:hideMark/>
          </w:tcPr>
          <w:p w14:paraId="43D4A606" w14:textId="77777777" w:rsidR="00873CA9" w:rsidRPr="00543881" w:rsidRDefault="00873CA9" w:rsidP="00543881">
            <w:pPr>
              <w:spacing w:after="0" w:line="240" w:lineRule="auto"/>
              <w:rPr>
                <w:rFonts w:ascii="Calibri" w:eastAsia="Times New Roman" w:hAnsi="Calibri" w:cs="Calibri"/>
                <w:b/>
                <w:bCs/>
                <w:color w:val="000000"/>
                <w:lang w:eastAsia="en-NZ"/>
              </w:rPr>
            </w:pPr>
            <w:r w:rsidRPr="00543881">
              <w:rPr>
                <w:rFonts w:ascii="Calibri" w:eastAsia="Times New Roman" w:hAnsi="Calibri" w:cs="Calibri"/>
                <w:b/>
                <w:bCs/>
                <w:color w:val="000000"/>
                <w:lang w:eastAsia="en-NZ"/>
              </w:rPr>
              <w:t xml:space="preserve">estimated </w:t>
            </w:r>
          </w:p>
          <w:p w14:paraId="1E5AEFC1" w14:textId="77777777" w:rsidR="00873CA9" w:rsidRDefault="00873CA9" w:rsidP="00543881">
            <w:pPr>
              <w:spacing w:after="0" w:line="240" w:lineRule="auto"/>
              <w:jc w:val="right"/>
              <w:rPr>
                <w:rFonts w:ascii="Calibri" w:eastAsia="Times New Roman" w:hAnsi="Calibri" w:cs="Calibri"/>
                <w:b/>
                <w:bCs/>
                <w:color w:val="000000"/>
                <w:lang w:eastAsia="en-NZ"/>
              </w:rPr>
            </w:pPr>
            <w:r w:rsidRPr="00543881">
              <w:rPr>
                <w:rFonts w:ascii="Calibri" w:eastAsia="Times New Roman" w:hAnsi="Calibri" w:cs="Calibri"/>
                <w:b/>
                <w:bCs/>
                <w:color w:val="000000"/>
                <w:lang w:eastAsia="en-NZ"/>
              </w:rPr>
              <w:t>1-Jul-22</w:t>
            </w:r>
          </w:p>
          <w:p w14:paraId="1166C218" w14:textId="21AC767D" w:rsidR="00662800" w:rsidRPr="00543881"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222" w:type="dxa"/>
            <w:vMerge w:val="restart"/>
            <w:tcBorders>
              <w:top w:val="single" w:sz="4" w:space="0" w:color="auto"/>
            </w:tcBorders>
            <w:shd w:val="clear" w:color="000000" w:fill="FFFFFF"/>
            <w:noWrap/>
            <w:vAlign w:val="bottom"/>
            <w:hideMark/>
          </w:tcPr>
          <w:p w14:paraId="50A1724E" w14:textId="77777777" w:rsidR="00873CA9" w:rsidRPr="00543881" w:rsidRDefault="00873CA9" w:rsidP="00543881">
            <w:pPr>
              <w:spacing w:after="0" w:line="240" w:lineRule="auto"/>
              <w:rPr>
                <w:rFonts w:ascii="Calibri" w:eastAsia="Times New Roman" w:hAnsi="Calibri" w:cs="Calibri"/>
                <w:b/>
                <w:bCs/>
                <w:color w:val="000000"/>
                <w:lang w:eastAsia="en-NZ"/>
              </w:rPr>
            </w:pPr>
            <w:r w:rsidRPr="00543881">
              <w:rPr>
                <w:rFonts w:ascii="Calibri" w:eastAsia="Times New Roman" w:hAnsi="Calibri" w:cs="Calibri"/>
                <w:b/>
                <w:bCs/>
                <w:color w:val="000000"/>
                <w:lang w:eastAsia="en-NZ"/>
              </w:rPr>
              <w:t>estimated</w:t>
            </w:r>
          </w:p>
          <w:p w14:paraId="6ECA82BF" w14:textId="46B0064C" w:rsidR="00873CA9" w:rsidRDefault="00873CA9" w:rsidP="00543881">
            <w:pPr>
              <w:spacing w:after="0" w:line="240" w:lineRule="auto"/>
              <w:jc w:val="right"/>
              <w:rPr>
                <w:rFonts w:ascii="Calibri" w:eastAsia="Times New Roman" w:hAnsi="Calibri" w:cs="Calibri"/>
                <w:b/>
                <w:bCs/>
                <w:color w:val="000000"/>
                <w:lang w:eastAsia="en-NZ"/>
              </w:rPr>
            </w:pPr>
            <w:r w:rsidRPr="00543881">
              <w:rPr>
                <w:rFonts w:ascii="Calibri" w:eastAsia="Times New Roman" w:hAnsi="Calibri" w:cs="Calibri"/>
                <w:b/>
                <w:bCs/>
                <w:color w:val="000000"/>
                <w:lang w:eastAsia="en-NZ"/>
              </w:rPr>
              <w:t>1-Jul-23</w:t>
            </w:r>
          </w:p>
          <w:p w14:paraId="2E30BC4E" w14:textId="6A06BB2A" w:rsidR="00662800" w:rsidRPr="00543881"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226" w:type="dxa"/>
            <w:vMerge w:val="restart"/>
            <w:tcBorders>
              <w:top w:val="single" w:sz="4" w:space="0" w:color="auto"/>
              <w:right w:val="single" w:sz="4" w:space="0" w:color="auto"/>
            </w:tcBorders>
            <w:shd w:val="clear" w:color="000000" w:fill="FFFFFF"/>
            <w:vAlign w:val="bottom"/>
            <w:hideMark/>
          </w:tcPr>
          <w:p w14:paraId="1EB4CEE9" w14:textId="688D520A" w:rsidR="00873CA9" w:rsidRPr="00543881" w:rsidRDefault="008158CB" w:rsidP="00543881">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5 </w:t>
            </w:r>
            <w:r w:rsidR="00873CA9">
              <w:rPr>
                <w:rFonts w:ascii="Calibri" w:eastAsia="Times New Roman" w:hAnsi="Calibri" w:cs="Calibri"/>
                <w:b/>
                <w:bCs/>
                <w:color w:val="000000"/>
                <w:lang w:eastAsia="en-NZ"/>
              </w:rPr>
              <w:t>year % expected increase</w:t>
            </w:r>
            <w:r w:rsidR="00873CA9" w:rsidRPr="00543881">
              <w:rPr>
                <w:rFonts w:ascii="Calibri" w:eastAsia="Times New Roman" w:hAnsi="Calibri" w:cs="Calibri"/>
                <w:b/>
                <w:bCs/>
                <w:color w:val="000000"/>
                <w:lang w:eastAsia="en-NZ"/>
              </w:rPr>
              <w:t> </w:t>
            </w:r>
          </w:p>
        </w:tc>
      </w:tr>
      <w:tr w:rsidR="00873CA9" w:rsidRPr="00543881" w14:paraId="7FED5C55" w14:textId="77777777" w:rsidTr="006B07DD">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14:paraId="57D4CFCF" w14:textId="2187E6D2" w:rsidR="00873CA9" w:rsidRPr="00543881" w:rsidRDefault="00873CA9" w:rsidP="00543881">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C</w:t>
            </w:r>
            <w:r w:rsidRPr="00543881">
              <w:rPr>
                <w:rFonts w:ascii="Calibri" w:eastAsia="Times New Roman" w:hAnsi="Calibri" w:cs="Calibri"/>
                <w:b/>
                <w:bCs/>
                <w:color w:val="000000"/>
                <w:lang w:eastAsia="en-NZ"/>
              </w:rPr>
              <w:t>hildren 5-19</w:t>
            </w:r>
          </w:p>
        </w:tc>
        <w:tc>
          <w:tcPr>
            <w:tcW w:w="1032" w:type="dxa"/>
            <w:gridSpan w:val="2"/>
            <w:vMerge/>
            <w:tcBorders>
              <w:left w:val="single" w:sz="4" w:space="0" w:color="auto"/>
              <w:bottom w:val="single" w:sz="4" w:space="0" w:color="auto"/>
            </w:tcBorders>
            <w:shd w:val="clear" w:color="000000" w:fill="FFFFFF"/>
            <w:noWrap/>
            <w:vAlign w:val="bottom"/>
            <w:hideMark/>
          </w:tcPr>
          <w:p w14:paraId="1A352ED0" w14:textId="4C561BCB" w:rsidR="00873CA9" w:rsidRPr="00543881" w:rsidRDefault="00873CA9" w:rsidP="00543881">
            <w:pPr>
              <w:spacing w:after="0" w:line="240" w:lineRule="auto"/>
              <w:jc w:val="right"/>
              <w:rPr>
                <w:rFonts w:ascii="Calibri" w:eastAsia="Times New Roman" w:hAnsi="Calibri" w:cs="Calibri"/>
                <w:b/>
                <w:bCs/>
                <w:color w:val="000000"/>
                <w:lang w:eastAsia="en-NZ"/>
              </w:rPr>
            </w:pPr>
          </w:p>
        </w:tc>
        <w:tc>
          <w:tcPr>
            <w:tcW w:w="888" w:type="dxa"/>
            <w:vMerge/>
            <w:tcBorders>
              <w:bottom w:val="single" w:sz="4" w:space="0" w:color="auto"/>
            </w:tcBorders>
            <w:shd w:val="clear" w:color="000000" w:fill="FFFFFF"/>
            <w:noWrap/>
            <w:vAlign w:val="bottom"/>
            <w:hideMark/>
          </w:tcPr>
          <w:p w14:paraId="0551A9A6" w14:textId="3B8C3BA0" w:rsidR="00873CA9" w:rsidRPr="00543881" w:rsidRDefault="00873CA9" w:rsidP="00543881">
            <w:pPr>
              <w:spacing w:after="0" w:line="240" w:lineRule="auto"/>
              <w:jc w:val="right"/>
              <w:rPr>
                <w:rFonts w:ascii="Calibri" w:eastAsia="Times New Roman" w:hAnsi="Calibri" w:cs="Calibri"/>
                <w:b/>
                <w:bCs/>
                <w:color w:val="000000"/>
                <w:lang w:eastAsia="en-NZ"/>
              </w:rPr>
            </w:pPr>
          </w:p>
        </w:tc>
        <w:tc>
          <w:tcPr>
            <w:tcW w:w="1222" w:type="dxa"/>
            <w:vMerge/>
            <w:tcBorders>
              <w:bottom w:val="single" w:sz="4" w:space="0" w:color="auto"/>
            </w:tcBorders>
            <w:shd w:val="clear" w:color="000000" w:fill="FFFFFF"/>
            <w:noWrap/>
            <w:vAlign w:val="bottom"/>
            <w:hideMark/>
          </w:tcPr>
          <w:p w14:paraId="28E5EEBE" w14:textId="756BCE42" w:rsidR="00873CA9" w:rsidRPr="00543881" w:rsidRDefault="00873CA9" w:rsidP="00543881">
            <w:pPr>
              <w:spacing w:after="0" w:line="240" w:lineRule="auto"/>
              <w:jc w:val="right"/>
              <w:rPr>
                <w:rFonts w:ascii="Calibri" w:eastAsia="Times New Roman" w:hAnsi="Calibri" w:cs="Calibri"/>
                <w:b/>
                <w:bCs/>
                <w:color w:val="000000"/>
                <w:lang w:eastAsia="en-NZ"/>
              </w:rPr>
            </w:pPr>
          </w:p>
        </w:tc>
        <w:tc>
          <w:tcPr>
            <w:tcW w:w="1222" w:type="dxa"/>
            <w:vMerge/>
            <w:tcBorders>
              <w:bottom w:val="single" w:sz="4" w:space="0" w:color="auto"/>
            </w:tcBorders>
            <w:shd w:val="clear" w:color="000000" w:fill="FFFFFF"/>
            <w:noWrap/>
            <w:vAlign w:val="bottom"/>
            <w:hideMark/>
          </w:tcPr>
          <w:p w14:paraId="1804B3A9" w14:textId="7E7459AE" w:rsidR="00873CA9" w:rsidRPr="00543881" w:rsidRDefault="00873CA9" w:rsidP="00543881">
            <w:pPr>
              <w:spacing w:after="0" w:line="240" w:lineRule="auto"/>
              <w:jc w:val="right"/>
              <w:rPr>
                <w:rFonts w:ascii="Calibri" w:eastAsia="Times New Roman" w:hAnsi="Calibri" w:cs="Calibri"/>
                <w:b/>
                <w:bCs/>
                <w:color w:val="000000"/>
                <w:lang w:eastAsia="en-NZ"/>
              </w:rPr>
            </w:pPr>
          </w:p>
        </w:tc>
        <w:tc>
          <w:tcPr>
            <w:tcW w:w="1226" w:type="dxa"/>
            <w:vMerge/>
            <w:tcBorders>
              <w:bottom w:val="single" w:sz="4" w:space="0" w:color="auto"/>
              <w:right w:val="single" w:sz="4" w:space="0" w:color="auto"/>
            </w:tcBorders>
            <w:shd w:val="clear" w:color="000000" w:fill="FFFFFF"/>
            <w:noWrap/>
            <w:vAlign w:val="bottom"/>
            <w:hideMark/>
          </w:tcPr>
          <w:p w14:paraId="076D1C8F" w14:textId="47A4C6AB" w:rsidR="00873CA9" w:rsidRPr="00543881" w:rsidRDefault="00873CA9" w:rsidP="00543881">
            <w:pPr>
              <w:spacing w:after="0" w:line="240" w:lineRule="auto"/>
              <w:rPr>
                <w:rFonts w:ascii="Calibri" w:eastAsia="Times New Roman" w:hAnsi="Calibri" w:cs="Calibri"/>
                <w:b/>
                <w:bCs/>
                <w:color w:val="000000"/>
                <w:lang w:eastAsia="en-NZ"/>
              </w:rPr>
            </w:pPr>
          </w:p>
        </w:tc>
      </w:tr>
      <w:tr w:rsidR="00543881" w:rsidRPr="00543881" w14:paraId="2DA5EFF4" w14:textId="77777777" w:rsidTr="006B07DD">
        <w:trPr>
          <w:trHeight w:val="300"/>
        </w:trPr>
        <w:tc>
          <w:tcPr>
            <w:tcW w:w="2620" w:type="dxa"/>
            <w:tcBorders>
              <w:top w:val="nil"/>
              <w:left w:val="single" w:sz="4" w:space="0" w:color="auto"/>
              <w:bottom w:val="nil"/>
              <w:right w:val="single" w:sz="4" w:space="0" w:color="auto"/>
            </w:tcBorders>
            <w:shd w:val="clear" w:color="000000" w:fill="FFFFFF"/>
            <w:noWrap/>
            <w:vAlign w:val="center"/>
            <w:hideMark/>
          </w:tcPr>
          <w:p w14:paraId="24CCCFE6" w14:textId="65B2E44D" w:rsidR="00543881" w:rsidRPr="00543881" w:rsidRDefault="00543881" w:rsidP="00873CA9">
            <w:pPr>
              <w:spacing w:after="120" w:line="240" w:lineRule="auto"/>
              <w:jc w:val="right"/>
              <w:rPr>
                <w:rFonts w:ascii="Calibri" w:eastAsia="Times New Roman" w:hAnsi="Calibri" w:cs="Calibri"/>
                <w:color w:val="000000"/>
                <w:lang w:eastAsia="en-NZ"/>
              </w:rPr>
            </w:pPr>
            <w:r w:rsidRPr="00543881">
              <w:rPr>
                <w:rFonts w:ascii="Calibri" w:eastAsia="Times New Roman" w:hAnsi="Calibri" w:cs="Calibri"/>
                <w:color w:val="000000"/>
                <w:lang w:eastAsia="en-NZ"/>
              </w:rPr>
              <w:t>each child</w:t>
            </w:r>
            <w:r>
              <w:rPr>
                <w:rFonts w:ascii="Calibri" w:eastAsia="Times New Roman" w:hAnsi="Calibri" w:cs="Calibri"/>
                <w:color w:val="000000"/>
                <w:lang w:eastAsia="en-NZ"/>
              </w:rPr>
              <w:t xml:space="preserve"> </w:t>
            </w:r>
            <w:r w:rsidRPr="00543881">
              <w:rPr>
                <w:rFonts w:ascii="Calibri" w:eastAsia="Times New Roman" w:hAnsi="Calibri" w:cs="Calibri"/>
                <w:color w:val="000000"/>
                <w:lang w:eastAsia="en-NZ"/>
              </w:rPr>
              <w:t>FTB A*&lt;13</w:t>
            </w:r>
          </w:p>
        </w:tc>
        <w:tc>
          <w:tcPr>
            <w:tcW w:w="960" w:type="dxa"/>
            <w:tcBorders>
              <w:top w:val="single" w:sz="4" w:space="0" w:color="auto"/>
              <w:left w:val="single" w:sz="4" w:space="0" w:color="auto"/>
            </w:tcBorders>
            <w:shd w:val="clear" w:color="000000" w:fill="FFFFFF"/>
            <w:noWrap/>
            <w:vAlign w:val="center"/>
            <w:hideMark/>
          </w:tcPr>
          <w:p w14:paraId="60507A6D" w14:textId="77777777"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106.13</w:t>
            </w:r>
          </w:p>
        </w:tc>
        <w:tc>
          <w:tcPr>
            <w:tcW w:w="960" w:type="dxa"/>
            <w:gridSpan w:val="2"/>
            <w:tcBorders>
              <w:top w:val="single" w:sz="4" w:space="0" w:color="auto"/>
            </w:tcBorders>
            <w:shd w:val="clear" w:color="000000" w:fill="FFFFFF"/>
            <w:noWrap/>
            <w:vAlign w:val="center"/>
            <w:hideMark/>
          </w:tcPr>
          <w:p w14:paraId="0A759991" w14:textId="429B8E7A"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111.04</w:t>
            </w:r>
          </w:p>
        </w:tc>
        <w:tc>
          <w:tcPr>
            <w:tcW w:w="1222" w:type="dxa"/>
            <w:tcBorders>
              <w:top w:val="single" w:sz="4" w:space="0" w:color="auto"/>
            </w:tcBorders>
            <w:shd w:val="clear" w:color="000000" w:fill="FFFFFF"/>
            <w:noWrap/>
            <w:vAlign w:val="center"/>
            <w:hideMark/>
          </w:tcPr>
          <w:p w14:paraId="5C910DB7" w14:textId="64B5B1B7"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113.26</w:t>
            </w:r>
          </w:p>
        </w:tc>
        <w:tc>
          <w:tcPr>
            <w:tcW w:w="1222" w:type="dxa"/>
            <w:tcBorders>
              <w:top w:val="single" w:sz="4" w:space="0" w:color="auto"/>
            </w:tcBorders>
            <w:shd w:val="clear" w:color="000000" w:fill="FFFFFF"/>
            <w:noWrap/>
            <w:vAlign w:val="center"/>
            <w:hideMark/>
          </w:tcPr>
          <w:p w14:paraId="43C80E9B" w14:textId="296F99B1"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115.53</w:t>
            </w:r>
          </w:p>
        </w:tc>
        <w:tc>
          <w:tcPr>
            <w:tcW w:w="1226" w:type="dxa"/>
            <w:tcBorders>
              <w:top w:val="single" w:sz="4" w:space="0" w:color="auto"/>
              <w:right w:val="single" w:sz="4" w:space="0" w:color="auto"/>
            </w:tcBorders>
            <w:shd w:val="clear" w:color="000000" w:fill="FFFFFF"/>
            <w:noWrap/>
            <w:vAlign w:val="center"/>
            <w:hideMark/>
          </w:tcPr>
          <w:p w14:paraId="6CE52413" w14:textId="77777777"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8.85%</w:t>
            </w:r>
          </w:p>
        </w:tc>
      </w:tr>
      <w:tr w:rsidR="00543881" w:rsidRPr="00543881" w14:paraId="6BAEB9B9" w14:textId="77777777" w:rsidTr="006B07DD">
        <w:trPr>
          <w:trHeight w:val="300"/>
        </w:trPr>
        <w:tc>
          <w:tcPr>
            <w:tcW w:w="2620" w:type="dxa"/>
            <w:tcBorders>
              <w:top w:val="nil"/>
              <w:left w:val="single" w:sz="4" w:space="0" w:color="auto"/>
              <w:bottom w:val="nil"/>
              <w:right w:val="single" w:sz="4" w:space="0" w:color="auto"/>
            </w:tcBorders>
            <w:shd w:val="clear" w:color="000000" w:fill="FFFFFF"/>
            <w:noWrap/>
            <w:vAlign w:val="center"/>
            <w:hideMark/>
          </w:tcPr>
          <w:p w14:paraId="499D9B38" w14:textId="6D911FCB" w:rsidR="00543881" w:rsidRPr="00543881" w:rsidRDefault="000C3DE5" w:rsidP="00873CA9">
            <w:pPr>
              <w:spacing w:after="120" w:line="240" w:lineRule="auto"/>
              <w:jc w:val="right"/>
              <w:rPr>
                <w:rFonts w:ascii="Calibri" w:eastAsia="Times New Roman" w:hAnsi="Calibri" w:cs="Calibri"/>
                <w:color w:val="000000"/>
                <w:lang w:eastAsia="en-NZ"/>
              </w:rPr>
            </w:pPr>
            <w:r>
              <w:rPr>
                <w:rFonts w:ascii="Calibri" w:eastAsia="Times New Roman" w:hAnsi="Calibri" w:cs="Calibri"/>
                <w:color w:val="000000"/>
                <w:lang w:eastAsia="en-NZ"/>
              </w:rPr>
              <w:t xml:space="preserve">each child FTB A* </w:t>
            </w:r>
            <w:r w:rsidR="00543881" w:rsidRPr="00543881">
              <w:rPr>
                <w:rFonts w:ascii="Calibri" w:eastAsia="Times New Roman" w:hAnsi="Calibri" w:cs="Calibri"/>
                <w:color w:val="000000"/>
                <w:lang w:eastAsia="en-NZ"/>
              </w:rPr>
              <w:t>13-19</w:t>
            </w:r>
          </w:p>
        </w:tc>
        <w:tc>
          <w:tcPr>
            <w:tcW w:w="960" w:type="dxa"/>
            <w:tcBorders>
              <w:left w:val="single" w:sz="4" w:space="0" w:color="auto"/>
            </w:tcBorders>
            <w:shd w:val="clear" w:color="000000" w:fill="FFFFFF"/>
            <w:noWrap/>
            <w:vAlign w:val="center"/>
            <w:hideMark/>
          </w:tcPr>
          <w:p w14:paraId="3E587D00" w14:textId="77777777"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133.72</w:t>
            </w:r>
          </w:p>
        </w:tc>
        <w:tc>
          <w:tcPr>
            <w:tcW w:w="960" w:type="dxa"/>
            <w:gridSpan w:val="2"/>
            <w:shd w:val="clear" w:color="000000" w:fill="FFFFFF"/>
            <w:noWrap/>
            <w:vAlign w:val="center"/>
            <w:hideMark/>
          </w:tcPr>
          <w:p w14:paraId="63C031AE" w14:textId="77777777"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139.89</w:t>
            </w:r>
          </w:p>
        </w:tc>
        <w:tc>
          <w:tcPr>
            <w:tcW w:w="1222" w:type="dxa"/>
            <w:shd w:val="clear" w:color="000000" w:fill="FFFFFF"/>
            <w:noWrap/>
            <w:vAlign w:val="center"/>
            <w:hideMark/>
          </w:tcPr>
          <w:p w14:paraId="5F3EC164" w14:textId="3967D778"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142.69</w:t>
            </w:r>
          </w:p>
        </w:tc>
        <w:tc>
          <w:tcPr>
            <w:tcW w:w="1222" w:type="dxa"/>
            <w:shd w:val="clear" w:color="000000" w:fill="FFFFFF"/>
            <w:noWrap/>
            <w:vAlign w:val="center"/>
            <w:hideMark/>
          </w:tcPr>
          <w:p w14:paraId="058E09B9" w14:textId="5FC1EAF6"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145.54</w:t>
            </w:r>
          </w:p>
        </w:tc>
        <w:tc>
          <w:tcPr>
            <w:tcW w:w="1226" w:type="dxa"/>
            <w:tcBorders>
              <w:right w:val="single" w:sz="4" w:space="0" w:color="auto"/>
            </w:tcBorders>
            <w:shd w:val="clear" w:color="000000" w:fill="FFFFFF"/>
            <w:noWrap/>
            <w:vAlign w:val="center"/>
            <w:hideMark/>
          </w:tcPr>
          <w:p w14:paraId="3517C35E" w14:textId="77777777"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8.84%</w:t>
            </w:r>
          </w:p>
        </w:tc>
      </w:tr>
      <w:tr w:rsidR="00543881" w:rsidRPr="00543881" w14:paraId="04BE46AE" w14:textId="77777777" w:rsidTr="006B07DD">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center"/>
            <w:hideMark/>
          </w:tcPr>
          <w:p w14:paraId="2917E079" w14:textId="3E05AA70" w:rsidR="00543881" w:rsidRPr="00543881" w:rsidRDefault="00543881" w:rsidP="00873CA9">
            <w:pPr>
              <w:spacing w:after="120" w:line="240" w:lineRule="auto"/>
              <w:jc w:val="right"/>
              <w:rPr>
                <w:rFonts w:ascii="Calibri" w:eastAsia="Times New Roman" w:hAnsi="Calibri" w:cs="Calibri"/>
                <w:color w:val="000000"/>
                <w:lang w:eastAsia="en-NZ"/>
              </w:rPr>
            </w:pPr>
            <w:r w:rsidRPr="00543881">
              <w:rPr>
                <w:rFonts w:ascii="Calibri" w:eastAsia="Times New Roman" w:hAnsi="Calibri" w:cs="Calibri"/>
                <w:color w:val="000000"/>
                <w:lang w:eastAsia="en-NZ"/>
              </w:rPr>
              <w:t>FTB</w:t>
            </w:r>
            <w:r>
              <w:rPr>
                <w:rFonts w:ascii="Calibri" w:eastAsia="Times New Roman" w:hAnsi="Calibri" w:cs="Calibri"/>
                <w:color w:val="000000"/>
                <w:lang w:eastAsia="en-NZ"/>
              </w:rPr>
              <w:t xml:space="preserve"> B</w:t>
            </w:r>
            <w:r w:rsidRPr="00543881">
              <w:rPr>
                <w:rFonts w:ascii="Calibri" w:eastAsia="Times New Roman" w:hAnsi="Calibri" w:cs="Calibri"/>
                <w:color w:val="000000"/>
                <w:lang w:eastAsia="en-NZ"/>
              </w:rPr>
              <w:t xml:space="preserve">* per family </w:t>
            </w:r>
          </w:p>
        </w:tc>
        <w:tc>
          <w:tcPr>
            <w:tcW w:w="960" w:type="dxa"/>
            <w:tcBorders>
              <w:left w:val="single" w:sz="4" w:space="0" w:color="auto"/>
              <w:bottom w:val="single" w:sz="4" w:space="0" w:color="auto"/>
            </w:tcBorders>
            <w:shd w:val="clear" w:color="000000" w:fill="FFFFFF"/>
            <w:noWrap/>
            <w:vAlign w:val="center"/>
            <w:hideMark/>
          </w:tcPr>
          <w:p w14:paraId="140B5BF3" w14:textId="77777777"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61.49</w:t>
            </w:r>
          </w:p>
        </w:tc>
        <w:tc>
          <w:tcPr>
            <w:tcW w:w="960" w:type="dxa"/>
            <w:gridSpan w:val="2"/>
            <w:tcBorders>
              <w:bottom w:val="single" w:sz="4" w:space="0" w:color="auto"/>
            </w:tcBorders>
            <w:shd w:val="clear" w:color="000000" w:fill="FFFFFF"/>
            <w:noWrap/>
            <w:vAlign w:val="center"/>
            <w:hideMark/>
          </w:tcPr>
          <w:p w14:paraId="12D33287" w14:textId="6B4766C0"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64.00</w:t>
            </w:r>
          </w:p>
        </w:tc>
        <w:tc>
          <w:tcPr>
            <w:tcW w:w="1222" w:type="dxa"/>
            <w:tcBorders>
              <w:bottom w:val="single" w:sz="4" w:space="0" w:color="auto"/>
            </w:tcBorders>
            <w:shd w:val="clear" w:color="000000" w:fill="FFFFFF"/>
            <w:noWrap/>
            <w:vAlign w:val="center"/>
            <w:hideMark/>
          </w:tcPr>
          <w:p w14:paraId="4B460FD4" w14:textId="2D5FCD70"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65.28</w:t>
            </w:r>
          </w:p>
        </w:tc>
        <w:tc>
          <w:tcPr>
            <w:tcW w:w="1222" w:type="dxa"/>
            <w:tcBorders>
              <w:bottom w:val="single" w:sz="4" w:space="0" w:color="auto"/>
            </w:tcBorders>
            <w:shd w:val="clear" w:color="000000" w:fill="FFFFFF"/>
            <w:noWrap/>
            <w:vAlign w:val="center"/>
            <w:hideMark/>
          </w:tcPr>
          <w:p w14:paraId="59DA06FD" w14:textId="4F591502"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66.59</w:t>
            </w:r>
          </w:p>
        </w:tc>
        <w:tc>
          <w:tcPr>
            <w:tcW w:w="1226" w:type="dxa"/>
            <w:tcBorders>
              <w:bottom w:val="single" w:sz="4" w:space="0" w:color="auto"/>
              <w:right w:val="single" w:sz="4" w:space="0" w:color="auto"/>
            </w:tcBorders>
            <w:shd w:val="clear" w:color="000000" w:fill="FFFFFF"/>
            <w:noWrap/>
            <w:vAlign w:val="center"/>
            <w:hideMark/>
          </w:tcPr>
          <w:p w14:paraId="1C4B02FC" w14:textId="77777777" w:rsidR="00543881" w:rsidRPr="00543881" w:rsidRDefault="00543881" w:rsidP="00005377">
            <w:pPr>
              <w:spacing w:after="0" w:line="240" w:lineRule="auto"/>
              <w:jc w:val="center"/>
              <w:rPr>
                <w:rFonts w:ascii="Calibri" w:eastAsia="Times New Roman" w:hAnsi="Calibri" w:cs="Calibri"/>
                <w:color w:val="000000"/>
                <w:lang w:eastAsia="en-NZ"/>
              </w:rPr>
            </w:pPr>
            <w:r w:rsidRPr="00543881">
              <w:rPr>
                <w:rFonts w:ascii="Calibri" w:eastAsia="Times New Roman" w:hAnsi="Calibri" w:cs="Calibri"/>
                <w:color w:val="000000"/>
                <w:lang w:eastAsia="en-NZ"/>
              </w:rPr>
              <w:t>8.29%</w:t>
            </w:r>
          </w:p>
        </w:tc>
      </w:tr>
      <w:tr w:rsidR="00543881" w:rsidRPr="00543881" w14:paraId="245D43AE" w14:textId="77777777" w:rsidTr="006B07DD">
        <w:trPr>
          <w:trHeight w:val="300"/>
        </w:trPr>
        <w:tc>
          <w:tcPr>
            <w:tcW w:w="2620" w:type="dxa"/>
            <w:tcBorders>
              <w:top w:val="single" w:sz="4" w:space="0" w:color="auto"/>
              <w:left w:val="nil"/>
              <w:bottom w:val="nil"/>
              <w:right w:val="nil"/>
            </w:tcBorders>
            <w:shd w:val="clear" w:color="000000" w:fill="FFFFFF"/>
            <w:noWrap/>
            <w:vAlign w:val="bottom"/>
            <w:hideMark/>
          </w:tcPr>
          <w:p w14:paraId="0AB25334" w14:textId="5F90514D" w:rsidR="000C3DE5" w:rsidRPr="00662800" w:rsidRDefault="00543881" w:rsidP="00662800">
            <w:pPr>
              <w:spacing w:after="120" w:line="240" w:lineRule="auto"/>
              <w:rPr>
                <w:rFonts w:ascii="Calibri" w:eastAsia="Times New Roman" w:hAnsi="Calibri" w:cs="Calibri"/>
                <w:color w:val="000000"/>
                <w:szCs w:val="20"/>
                <w:lang w:eastAsia="en-NZ"/>
              </w:rPr>
            </w:pPr>
            <w:r w:rsidRPr="00662800">
              <w:rPr>
                <w:rFonts w:ascii="Calibri" w:eastAsia="Times New Roman" w:hAnsi="Calibri" w:cs="Calibri"/>
                <w:color w:val="000000"/>
                <w:sz w:val="22"/>
                <w:szCs w:val="20"/>
                <w:lang w:eastAsia="en-NZ"/>
              </w:rPr>
              <w:t>*includes supplement</w:t>
            </w:r>
          </w:p>
          <w:p w14:paraId="12AA3F7B" w14:textId="546AB93E" w:rsidR="00543881" w:rsidRPr="00543881" w:rsidRDefault="00543881" w:rsidP="00543881">
            <w:pPr>
              <w:spacing w:after="0" w:line="240" w:lineRule="auto"/>
              <w:rPr>
                <w:rFonts w:ascii="Calibri" w:eastAsia="Times New Roman" w:hAnsi="Calibri" w:cs="Calibri"/>
                <w:color w:val="000000"/>
                <w:lang w:eastAsia="en-NZ"/>
              </w:rPr>
            </w:pPr>
          </w:p>
        </w:tc>
        <w:tc>
          <w:tcPr>
            <w:tcW w:w="960" w:type="dxa"/>
            <w:tcBorders>
              <w:top w:val="single" w:sz="4" w:space="0" w:color="auto"/>
              <w:left w:val="nil"/>
              <w:bottom w:val="nil"/>
              <w:right w:val="nil"/>
            </w:tcBorders>
            <w:shd w:val="clear" w:color="000000" w:fill="FFFFFF"/>
            <w:noWrap/>
            <w:vAlign w:val="bottom"/>
            <w:hideMark/>
          </w:tcPr>
          <w:p w14:paraId="285202FD" w14:textId="77777777" w:rsidR="00543881" w:rsidRPr="00543881" w:rsidRDefault="00543881" w:rsidP="00543881">
            <w:pPr>
              <w:spacing w:after="0" w:line="240" w:lineRule="auto"/>
              <w:rPr>
                <w:rFonts w:ascii="Calibri" w:eastAsia="Times New Roman" w:hAnsi="Calibri" w:cs="Calibri"/>
                <w:color w:val="000000"/>
                <w:lang w:eastAsia="en-NZ"/>
              </w:rPr>
            </w:pPr>
            <w:r w:rsidRPr="00543881">
              <w:rPr>
                <w:rFonts w:ascii="Calibri" w:eastAsia="Times New Roman" w:hAnsi="Calibri" w:cs="Calibri"/>
                <w:color w:val="000000"/>
                <w:lang w:eastAsia="en-NZ"/>
              </w:rPr>
              <w:t> </w:t>
            </w:r>
          </w:p>
        </w:tc>
        <w:tc>
          <w:tcPr>
            <w:tcW w:w="960" w:type="dxa"/>
            <w:gridSpan w:val="2"/>
            <w:tcBorders>
              <w:top w:val="single" w:sz="4" w:space="0" w:color="auto"/>
              <w:left w:val="nil"/>
              <w:bottom w:val="nil"/>
              <w:right w:val="nil"/>
            </w:tcBorders>
            <w:shd w:val="clear" w:color="000000" w:fill="FFFFFF"/>
            <w:noWrap/>
            <w:vAlign w:val="bottom"/>
            <w:hideMark/>
          </w:tcPr>
          <w:p w14:paraId="6D496B50" w14:textId="77777777" w:rsidR="00543881" w:rsidRPr="00543881" w:rsidRDefault="00543881" w:rsidP="00543881">
            <w:pPr>
              <w:spacing w:after="0" w:line="240" w:lineRule="auto"/>
              <w:rPr>
                <w:rFonts w:ascii="Calibri" w:eastAsia="Times New Roman" w:hAnsi="Calibri" w:cs="Calibri"/>
                <w:color w:val="000000"/>
                <w:lang w:eastAsia="en-NZ"/>
              </w:rPr>
            </w:pPr>
            <w:r w:rsidRPr="00543881">
              <w:rPr>
                <w:rFonts w:ascii="Calibri" w:eastAsia="Times New Roman" w:hAnsi="Calibri" w:cs="Calibri"/>
                <w:color w:val="000000"/>
                <w:lang w:eastAsia="en-NZ"/>
              </w:rPr>
              <w:t> </w:t>
            </w:r>
          </w:p>
        </w:tc>
        <w:tc>
          <w:tcPr>
            <w:tcW w:w="1222" w:type="dxa"/>
            <w:tcBorders>
              <w:top w:val="single" w:sz="4" w:space="0" w:color="auto"/>
              <w:left w:val="nil"/>
              <w:bottom w:val="nil"/>
              <w:right w:val="nil"/>
            </w:tcBorders>
            <w:shd w:val="clear" w:color="000000" w:fill="FFFFFF"/>
            <w:noWrap/>
            <w:vAlign w:val="bottom"/>
            <w:hideMark/>
          </w:tcPr>
          <w:p w14:paraId="34A6E03D" w14:textId="77777777" w:rsidR="00543881" w:rsidRPr="00543881" w:rsidRDefault="00543881" w:rsidP="00543881">
            <w:pPr>
              <w:spacing w:after="0" w:line="240" w:lineRule="auto"/>
              <w:rPr>
                <w:rFonts w:ascii="Calibri" w:eastAsia="Times New Roman" w:hAnsi="Calibri" w:cs="Calibri"/>
                <w:color w:val="000000"/>
                <w:lang w:eastAsia="en-NZ"/>
              </w:rPr>
            </w:pPr>
            <w:r w:rsidRPr="00543881">
              <w:rPr>
                <w:rFonts w:ascii="Calibri" w:eastAsia="Times New Roman" w:hAnsi="Calibri" w:cs="Calibri"/>
                <w:color w:val="000000"/>
                <w:lang w:eastAsia="en-NZ"/>
              </w:rPr>
              <w:t> </w:t>
            </w:r>
          </w:p>
        </w:tc>
        <w:tc>
          <w:tcPr>
            <w:tcW w:w="1222" w:type="dxa"/>
            <w:tcBorders>
              <w:top w:val="single" w:sz="4" w:space="0" w:color="auto"/>
              <w:left w:val="nil"/>
              <w:bottom w:val="nil"/>
              <w:right w:val="nil"/>
            </w:tcBorders>
            <w:shd w:val="clear" w:color="000000" w:fill="FFFFFF"/>
            <w:noWrap/>
            <w:vAlign w:val="bottom"/>
            <w:hideMark/>
          </w:tcPr>
          <w:p w14:paraId="00F54786" w14:textId="77777777" w:rsidR="00543881" w:rsidRPr="00543881" w:rsidRDefault="00543881" w:rsidP="00543881">
            <w:pPr>
              <w:spacing w:after="0" w:line="240" w:lineRule="auto"/>
              <w:rPr>
                <w:rFonts w:ascii="Calibri" w:eastAsia="Times New Roman" w:hAnsi="Calibri" w:cs="Calibri"/>
                <w:color w:val="000000"/>
                <w:lang w:eastAsia="en-NZ"/>
              </w:rPr>
            </w:pPr>
            <w:r w:rsidRPr="00543881">
              <w:rPr>
                <w:rFonts w:ascii="Calibri" w:eastAsia="Times New Roman" w:hAnsi="Calibri" w:cs="Calibri"/>
                <w:color w:val="000000"/>
                <w:lang w:eastAsia="en-NZ"/>
              </w:rPr>
              <w:t> </w:t>
            </w:r>
          </w:p>
        </w:tc>
        <w:tc>
          <w:tcPr>
            <w:tcW w:w="1226" w:type="dxa"/>
            <w:tcBorders>
              <w:top w:val="single" w:sz="4" w:space="0" w:color="auto"/>
              <w:left w:val="nil"/>
              <w:bottom w:val="nil"/>
              <w:right w:val="nil"/>
            </w:tcBorders>
            <w:shd w:val="clear" w:color="000000" w:fill="FFFFFF"/>
            <w:noWrap/>
            <w:vAlign w:val="bottom"/>
            <w:hideMark/>
          </w:tcPr>
          <w:p w14:paraId="5CC59E78" w14:textId="77777777" w:rsidR="00543881" w:rsidRPr="00543881" w:rsidRDefault="00543881" w:rsidP="00543881">
            <w:pPr>
              <w:spacing w:after="0" w:line="240" w:lineRule="auto"/>
              <w:rPr>
                <w:rFonts w:ascii="Calibri" w:eastAsia="Times New Roman" w:hAnsi="Calibri" w:cs="Calibri"/>
                <w:color w:val="000000"/>
                <w:lang w:eastAsia="en-NZ"/>
              </w:rPr>
            </w:pPr>
            <w:r w:rsidRPr="00543881">
              <w:rPr>
                <w:rFonts w:ascii="Calibri" w:eastAsia="Times New Roman" w:hAnsi="Calibri" w:cs="Calibri"/>
                <w:color w:val="000000"/>
                <w:lang w:eastAsia="en-NZ"/>
              </w:rPr>
              <w:t> </w:t>
            </w:r>
          </w:p>
        </w:tc>
      </w:tr>
    </w:tbl>
    <w:p w14:paraId="492A89D6" w14:textId="72E2B56E" w:rsidR="0033230B" w:rsidRDefault="0033230B" w:rsidP="0033230B">
      <w:r>
        <w:lastRenderedPageBreak/>
        <w:t>As Table 3a</w:t>
      </w:r>
      <w:r w:rsidR="00F360B0">
        <w:t>-c</w:t>
      </w:r>
      <w:r>
        <w:t xml:space="preserve"> impl</w:t>
      </w:r>
      <w:r w:rsidR="00F360B0">
        <w:t>y</w:t>
      </w:r>
      <w:r>
        <w:t>, the child-related tax credit rates in Australia are the same for those on benefits and those who are not. The tables also show that in Australia, annual indexation applies, unlike in New Zealand.</w:t>
      </w:r>
    </w:p>
    <w:p w14:paraId="241FFEC7" w14:textId="7E572FE6" w:rsidR="00BF301F" w:rsidRDefault="00BF301F" w:rsidP="0033230B">
      <w:r>
        <w:t>Australia is more generous than New Zealand for older children</w:t>
      </w:r>
      <w:r w:rsidR="007F2983">
        <w:t xml:space="preserve"> </w:t>
      </w:r>
      <w:r w:rsidR="00EB1902">
        <w:t>t</w:t>
      </w:r>
      <w:r w:rsidR="007F2983">
        <w:t>han New</w:t>
      </w:r>
      <w:r w:rsidR="00EB1902">
        <w:t xml:space="preserve"> Zealand. Table 3b is just for </w:t>
      </w:r>
      <w:r w:rsidR="004B16B1">
        <w:t>children</w:t>
      </w:r>
      <w:r w:rsidR="00EB1902">
        <w:t xml:space="preserve"> aged 5</w:t>
      </w:r>
      <w:r w:rsidR="004B16B1">
        <w:t xml:space="preserve"> to 12</w:t>
      </w:r>
      <w:r w:rsidR="0037602A">
        <w:t xml:space="preserve">, while Table 3c includes older children. </w:t>
      </w:r>
      <w:r w:rsidR="00EB1902">
        <w:t xml:space="preserve"> </w:t>
      </w:r>
    </w:p>
    <w:p w14:paraId="5104FF74" w14:textId="07C56253" w:rsidR="00A5128F" w:rsidRPr="0034112D" w:rsidRDefault="00A770B9" w:rsidP="00C229B9">
      <w:pPr>
        <w:rPr>
          <w:b/>
          <w:bCs/>
        </w:rPr>
      </w:pPr>
      <w:r w:rsidRPr="0034112D">
        <w:rPr>
          <w:b/>
          <w:bCs/>
        </w:rPr>
        <w:t>Table</w:t>
      </w:r>
      <w:r w:rsidR="002903A4" w:rsidRPr="0034112D">
        <w:rPr>
          <w:b/>
          <w:bCs/>
        </w:rPr>
        <w:t xml:space="preserve"> 3b</w:t>
      </w:r>
      <w:r w:rsidR="00BF51CA">
        <w:rPr>
          <w:b/>
          <w:bCs/>
        </w:rPr>
        <w:t>.</w:t>
      </w:r>
      <w:r w:rsidR="002903A4" w:rsidRPr="0034112D">
        <w:rPr>
          <w:b/>
          <w:bCs/>
        </w:rPr>
        <w:t xml:space="preserve">  Total </w:t>
      </w:r>
      <w:r w:rsidR="00A818CC">
        <w:rPr>
          <w:b/>
          <w:bCs/>
        </w:rPr>
        <w:t xml:space="preserve">maximum </w:t>
      </w:r>
      <w:r w:rsidR="002903A4" w:rsidRPr="0034112D">
        <w:rPr>
          <w:b/>
          <w:bCs/>
        </w:rPr>
        <w:t>annual</w:t>
      </w:r>
      <w:r w:rsidR="00570E49">
        <w:rPr>
          <w:b/>
          <w:bCs/>
        </w:rPr>
        <w:t>ised</w:t>
      </w:r>
      <w:r w:rsidR="002903A4" w:rsidRPr="0034112D">
        <w:rPr>
          <w:b/>
          <w:bCs/>
        </w:rPr>
        <w:t xml:space="preserve"> Family Tax Benefit A and B) </w:t>
      </w:r>
      <w:r w:rsidR="00A818CC">
        <w:rPr>
          <w:b/>
          <w:bCs/>
        </w:rPr>
        <w:t xml:space="preserve">in </w:t>
      </w:r>
      <w:r w:rsidR="002903A4" w:rsidRPr="0034112D">
        <w:rPr>
          <w:b/>
          <w:bCs/>
        </w:rPr>
        <w:t>Australia</w:t>
      </w:r>
      <w:r w:rsidR="00530D4B">
        <w:rPr>
          <w:b/>
          <w:bCs/>
        </w:rPr>
        <w:t>,</w:t>
      </w:r>
      <w:r w:rsidR="006550DF">
        <w:rPr>
          <w:b/>
          <w:bCs/>
        </w:rPr>
        <w:t xml:space="preserve"> children aged </w:t>
      </w:r>
      <w:r w:rsidR="00530D4B">
        <w:rPr>
          <w:b/>
          <w:bCs/>
        </w:rPr>
        <w:t>5-1</w:t>
      </w:r>
      <w:r w:rsidR="004B16B1">
        <w:rPr>
          <w:b/>
          <w:bCs/>
        </w:rPr>
        <w:t>2</w:t>
      </w:r>
      <w:r w:rsidR="00873CA9">
        <w:rPr>
          <w:b/>
          <w:bCs/>
        </w:rPr>
        <w:t xml:space="preserve"> (AUD)</w:t>
      </w:r>
    </w:p>
    <w:tbl>
      <w:tblPr>
        <w:tblW w:w="8647" w:type="dxa"/>
        <w:tblInd w:w="108" w:type="dxa"/>
        <w:tblLook w:val="04A0" w:firstRow="1" w:lastRow="0" w:firstColumn="1" w:lastColumn="0" w:noHBand="0" w:noVBand="1"/>
      </w:tblPr>
      <w:tblGrid>
        <w:gridCol w:w="2769"/>
        <w:gridCol w:w="1014"/>
        <w:gridCol w:w="1014"/>
        <w:gridCol w:w="1291"/>
        <w:gridCol w:w="1291"/>
        <w:gridCol w:w="1268"/>
      </w:tblGrid>
      <w:tr w:rsidR="00873CA9" w:rsidRPr="00A770B9" w14:paraId="78E3F23E" w14:textId="77777777" w:rsidTr="00572FDC">
        <w:trPr>
          <w:trHeight w:val="313"/>
        </w:trPr>
        <w:tc>
          <w:tcPr>
            <w:tcW w:w="2769" w:type="dxa"/>
            <w:tcBorders>
              <w:top w:val="single" w:sz="4" w:space="0" w:color="auto"/>
              <w:left w:val="single" w:sz="4" w:space="0" w:color="auto"/>
            </w:tcBorders>
            <w:shd w:val="clear" w:color="auto" w:fill="auto"/>
            <w:noWrap/>
            <w:vAlign w:val="bottom"/>
            <w:hideMark/>
          </w:tcPr>
          <w:p w14:paraId="7B90B5CC" w14:textId="77777777" w:rsidR="00873CA9" w:rsidRPr="00E058B9" w:rsidRDefault="00873CA9" w:rsidP="00A770B9">
            <w:pPr>
              <w:spacing w:after="0" w:line="240" w:lineRule="auto"/>
              <w:rPr>
                <w:rFonts w:ascii="Times New Roman" w:eastAsia="Times New Roman" w:hAnsi="Times New Roman" w:cs="Times New Roman"/>
                <w:b/>
                <w:bCs/>
                <w:sz w:val="20"/>
                <w:szCs w:val="20"/>
                <w:lang w:eastAsia="en-NZ"/>
              </w:rPr>
            </w:pPr>
          </w:p>
        </w:tc>
        <w:tc>
          <w:tcPr>
            <w:tcW w:w="1014" w:type="dxa"/>
            <w:tcBorders>
              <w:top w:val="single" w:sz="4" w:space="0" w:color="auto"/>
            </w:tcBorders>
            <w:shd w:val="clear" w:color="auto" w:fill="auto"/>
            <w:noWrap/>
            <w:vAlign w:val="bottom"/>
            <w:hideMark/>
          </w:tcPr>
          <w:p w14:paraId="799B4C6A" w14:textId="77777777" w:rsidR="00873CA9" w:rsidRPr="00E058B9" w:rsidRDefault="00873CA9" w:rsidP="00662800">
            <w:pPr>
              <w:spacing w:after="0" w:line="240" w:lineRule="auto"/>
              <w:jc w:val="center"/>
              <w:rPr>
                <w:rFonts w:ascii="Times New Roman" w:eastAsia="Times New Roman" w:hAnsi="Times New Roman" w:cs="Times New Roman"/>
                <w:b/>
                <w:bCs/>
                <w:sz w:val="20"/>
                <w:szCs w:val="20"/>
                <w:lang w:eastAsia="en-NZ"/>
              </w:rPr>
            </w:pPr>
          </w:p>
        </w:tc>
        <w:tc>
          <w:tcPr>
            <w:tcW w:w="1014" w:type="dxa"/>
            <w:tcBorders>
              <w:top w:val="single" w:sz="4" w:space="0" w:color="auto"/>
            </w:tcBorders>
            <w:shd w:val="clear" w:color="auto" w:fill="auto"/>
            <w:noWrap/>
            <w:vAlign w:val="bottom"/>
            <w:hideMark/>
          </w:tcPr>
          <w:p w14:paraId="55CF81B5" w14:textId="77777777" w:rsidR="00873CA9" w:rsidRPr="00E058B9" w:rsidRDefault="00873CA9" w:rsidP="00662800">
            <w:pPr>
              <w:spacing w:after="0" w:line="240" w:lineRule="auto"/>
              <w:jc w:val="center"/>
              <w:rPr>
                <w:rFonts w:ascii="Times New Roman" w:eastAsia="Times New Roman" w:hAnsi="Times New Roman" w:cs="Times New Roman"/>
                <w:b/>
                <w:bCs/>
                <w:sz w:val="20"/>
                <w:szCs w:val="20"/>
                <w:lang w:eastAsia="en-NZ"/>
              </w:rPr>
            </w:pPr>
          </w:p>
        </w:tc>
        <w:tc>
          <w:tcPr>
            <w:tcW w:w="1291" w:type="dxa"/>
            <w:tcBorders>
              <w:top w:val="single" w:sz="4" w:space="0" w:color="auto"/>
            </w:tcBorders>
            <w:shd w:val="clear" w:color="auto" w:fill="auto"/>
            <w:noWrap/>
            <w:vAlign w:val="bottom"/>
            <w:hideMark/>
          </w:tcPr>
          <w:p w14:paraId="14AFD8B2" w14:textId="77777777" w:rsidR="00873CA9" w:rsidRPr="00E058B9" w:rsidRDefault="00873CA9" w:rsidP="00662800">
            <w:pPr>
              <w:spacing w:after="0" w:line="240" w:lineRule="auto"/>
              <w:jc w:val="center"/>
              <w:rPr>
                <w:rFonts w:ascii="Times New Roman" w:eastAsia="Times New Roman" w:hAnsi="Times New Roman" w:cs="Times New Roman"/>
                <w:b/>
                <w:bCs/>
                <w:sz w:val="20"/>
                <w:szCs w:val="20"/>
                <w:lang w:eastAsia="en-NZ"/>
              </w:rPr>
            </w:pPr>
          </w:p>
        </w:tc>
        <w:tc>
          <w:tcPr>
            <w:tcW w:w="1291" w:type="dxa"/>
            <w:vMerge w:val="restart"/>
            <w:tcBorders>
              <w:top w:val="single" w:sz="4" w:space="0" w:color="auto"/>
            </w:tcBorders>
            <w:shd w:val="clear" w:color="auto" w:fill="auto"/>
            <w:noWrap/>
            <w:vAlign w:val="bottom"/>
            <w:hideMark/>
          </w:tcPr>
          <w:p w14:paraId="0302A60A" w14:textId="77777777" w:rsidR="00873CA9" w:rsidRPr="00E058B9" w:rsidRDefault="00873CA9" w:rsidP="00662800">
            <w:pPr>
              <w:spacing w:after="0" w:line="240" w:lineRule="auto"/>
              <w:jc w:val="center"/>
              <w:rPr>
                <w:rFonts w:ascii="Calibri" w:eastAsia="Times New Roman" w:hAnsi="Calibri" w:cs="Calibri"/>
                <w:b/>
                <w:bCs/>
                <w:color w:val="000000"/>
                <w:lang w:eastAsia="en-NZ"/>
              </w:rPr>
            </w:pPr>
            <w:r w:rsidRPr="00E058B9">
              <w:rPr>
                <w:rFonts w:ascii="Calibri" w:eastAsia="Times New Roman" w:hAnsi="Calibri" w:cs="Calibri"/>
                <w:b/>
                <w:bCs/>
                <w:color w:val="000000"/>
                <w:lang w:eastAsia="en-NZ"/>
              </w:rPr>
              <w:t>estimated</w:t>
            </w:r>
          </w:p>
          <w:p w14:paraId="1725DD09" w14:textId="3EC8AD35" w:rsidR="00873CA9" w:rsidRDefault="008158CB"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 xml:space="preserve">1 </w:t>
            </w:r>
            <w:r w:rsidR="00873CA9" w:rsidRPr="00E058B9">
              <w:rPr>
                <w:rFonts w:ascii="Calibri" w:eastAsia="Times New Roman" w:hAnsi="Calibri" w:cs="Calibri"/>
                <w:b/>
                <w:bCs/>
                <w:color w:val="000000"/>
                <w:lang w:eastAsia="en-NZ"/>
              </w:rPr>
              <w:t>Jul-23</w:t>
            </w:r>
          </w:p>
          <w:p w14:paraId="3918D345" w14:textId="229D6E19" w:rsidR="00662800" w:rsidRPr="00E058B9"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268" w:type="dxa"/>
            <w:vMerge w:val="restart"/>
            <w:tcBorders>
              <w:top w:val="single" w:sz="4" w:space="0" w:color="auto"/>
              <w:right w:val="single" w:sz="4" w:space="0" w:color="auto"/>
            </w:tcBorders>
            <w:shd w:val="clear" w:color="auto" w:fill="auto"/>
            <w:vAlign w:val="bottom"/>
            <w:hideMark/>
          </w:tcPr>
          <w:p w14:paraId="086DD729" w14:textId="6442F6DA" w:rsidR="00873CA9" w:rsidRPr="00E058B9" w:rsidRDefault="00AF1CBF" w:rsidP="00E058B9">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5</w:t>
            </w:r>
            <w:r w:rsidR="00873CA9" w:rsidRPr="00E058B9">
              <w:rPr>
                <w:rFonts w:ascii="Calibri" w:eastAsia="Times New Roman" w:hAnsi="Calibri" w:cs="Calibri"/>
                <w:b/>
                <w:bCs/>
                <w:color w:val="000000"/>
                <w:lang w:eastAsia="en-NZ"/>
              </w:rPr>
              <w:t xml:space="preserve"> year </w:t>
            </w:r>
            <w:r w:rsidR="00873CA9">
              <w:rPr>
                <w:rFonts w:ascii="Calibri" w:eastAsia="Times New Roman" w:hAnsi="Calibri" w:cs="Calibri"/>
                <w:b/>
                <w:bCs/>
                <w:color w:val="000000"/>
                <w:lang w:eastAsia="en-NZ"/>
              </w:rPr>
              <w:t xml:space="preserve">% </w:t>
            </w:r>
            <w:r w:rsidR="00873CA9" w:rsidRPr="00E058B9">
              <w:rPr>
                <w:rFonts w:ascii="Calibri" w:eastAsia="Times New Roman" w:hAnsi="Calibri" w:cs="Calibri"/>
                <w:b/>
                <w:bCs/>
                <w:color w:val="000000"/>
                <w:lang w:eastAsia="en-NZ"/>
              </w:rPr>
              <w:t>expected increase</w:t>
            </w:r>
          </w:p>
        </w:tc>
      </w:tr>
      <w:tr w:rsidR="00873CA9" w:rsidRPr="00A770B9" w14:paraId="65B89655" w14:textId="77777777" w:rsidTr="00572FDC">
        <w:trPr>
          <w:trHeight w:val="313"/>
        </w:trPr>
        <w:tc>
          <w:tcPr>
            <w:tcW w:w="2769" w:type="dxa"/>
            <w:tcBorders>
              <w:left w:val="single" w:sz="4" w:space="0" w:color="auto"/>
              <w:bottom w:val="single" w:sz="4" w:space="0" w:color="auto"/>
            </w:tcBorders>
            <w:shd w:val="clear" w:color="auto" w:fill="auto"/>
            <w:vAlign w:val="center"/>
            <w:hideMark/>
          </w:tcPr>
          <w:p w14:paraId="5BD1371F" w14:textId="3E6B3CB4" w:rsidR="00873CA9" w:rsidRPr="00E058B9" w:rsidRDefault="00873CA9" w:rsidP="0049214D">
            <w:pPr>
              <w:spacing w:after="0" w:line="240" w:lineRule="auto"/>
              <w:rPr>
                <w:rFonts w:ascii="Calibri" w:eastAsia="Times New Roman" w:hAnsi="Calibri" w:cs="Calibri"/>
                <w:b/>
                <w:bCs/>
                <w:color w:val="000000"/>
                <w:lang w:eastAsia="en-NZ"/>
              </w:rPr>
            </w:pPr>
            <w:r>
              <w:rPr>
                <w:rFonts w:ascii="Calibri" w:eastAsia="Times New Roman" w:hAnsi="Calibri" w:cs="Calibri"/>
                <w:b/>
                <w:bCs/>
                <w:color w:val="000000"/>
                <w:lang w:eastAsia="en-NZ"/>
              </w:rPr>
              <w:t>C</w:t>
            </w:r>
            <w:r w:rsidRPr="00E058B9">
              <w:rPr>
                <w:rFonts w:ascii="Calibri" w:eastAsia="Times New Roman" w:hAnsi="Calibri" w:cs="Calibri"/>
                <w:b/>
                <w:bCs/>
                <w:color w:val="000000"/>
                <w:lang w:eastAsia="en-NZ"/>
              </w:rPr>
              <w:t>hildren aged 5-13</w:t>
            </w:r>
          </w:p>
        </w:tc>
        <w:tc>
          <w:tcPr>
            <w:tcW w:w="1014" w:type="dxa"/>
            <w:tcBorders>
              <w:bottom w:val="single" w:sz="4" w:space="0" w:color="auto"/>
            </w:tcBorders>
            <w:shd w:val="clear" w:color="auto" w:fill="auto"/>
            <w:noWrap/>
            <w:vAlign w:val="bottom"/>
            <w:hideMark/>
          </w:tcPr>
          <w:p w14:paraId="6101AB1D" w14:textId="457C2574" w:rsidR="00873CA9" w:rsidRDefault="008158CB"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00873CA9" w:rsidRPr="00E058B9">
              <w:rPr>
                <w:rFonts w:ascii="Calibri" w:eastAsia="Times New Roman" w:hAnsi="Calibri" w:cs="Calibri"/>
                <w:b/>
                <w:bCs/>
                <w:color w:val="000000"/>
                <w:lang w:eastAsia="en-NZ"/>
              </w:rPr>
              <w:t>Jul-18</w:t>
            </w:r>
          </w:p>
          <w:p w14:paraId="043C912F" w14:textId="180E745E" w:rsidR="00662800" w:rsidRPr="00E058B9"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014" w:type="dxa"/>
            <w:tcBorders>
              <w:bottom w:val="single" w:sz="4" w:space="0" w:color="auto"/>
            </w:tcBorders>
            <w:shd w:val="clear" w:color="auto" w:fill="auto"/>
            <w:noWrap/>
            <w:vAlign w:val="bottom"/>
            <w:hideMark/>
          </w:tcPr>
          <w:p w14:paraId="0C397C31" w14:textId="67F35DE1" w:rsidR="00873CA9" w:rsidRDefault="008158CB"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00873CA9" w:rsidRPr="00E058B9">
              <w:rPr>
                <w:rFonts w:ascii="Calibri" w:eastAsia="Times New Roman" w:hAnsi="Calibri" w:cs="Calibri"/>
                <w:b/>
                <w:bCs/>
                <w:color w:val="000000"/>
                <w:lang w:eastAsia="en-NZ"/>
              </w:rPr>
              <w:t>Jul-21</w:t>
            </w:r>
          </w:p>
          <w:p w14:paraId="229A6149" w14:textId="145E212C" w:rsidR="00662800" w:rsidRPr="00E058B9"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291" w:type="dxa"/>
            <w:tcBorders>
              <w:bottom w:val="single" w:sz="4" w:space="0" w:color="auto"/>
            </w:tcBorders>
            <w:shd w:val="clear" w:color="auto" w:fill="auto"/>
            <w:noWrap/>
            <w:vAlign w:val="bottom"/>
            <w:hideMark/>
          </w:tcPr>
          <w:p w14:paraId="6B33FB25" w14:textId="605C52E8" w:rsidR="008247CE" w:rsidRDefault="008247CE"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estimated</w:t>
            </w:r>
          </w:p>
          <w:p w14:paraId="3BD4CD3E" w14:textId="5C635EAD" w:rsidR="00873CA9" w:rsidRDefault="008158CB"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00873CA9" w:rsidRPr="00E058B9">
              <w:rPr>
                <w:rFonts w:ascii="Calibri" w:eastAsia="Times New Roman" w:hAnsi="Calibri" w:cs="Calibri"/>
                <w:b/>
                <w:bCs/>
                <w:color w:val="000000"/>
                <w:lang w:eastAsia="en-NZ"/>
              </w:rPr>
              <w:t>Jul-22</w:t>
            </w:r>
          </w:p>
          <w:p w14:paraId="1793039D" w14:textId="6DD28F46" w:rsidR="00662800" w:rsidRPr="00E058B9"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291" w:type="dxa"/>
            <w:vMerge/>
            <w:tcBorders>
              <w:bottom w:val="single" w:sz="4" w:space="0" w:color="auto"/>
            </w:tcBorders>
            <w:shd w:val="clear" w:color="000000" w:fill="F2F2F2"/>
            <w:noWrap/>
            <w:vAlign w:val="bottom"/>
            <w:hideMark/>
          </w:tcPr>
          <w:p w14:paraId="7DFE6C8E" w14:textId="5A622A6E" w:rsidR="00873CA9" w:rsidRPr="00E058B9" w:rsidRDefault="00873CA9" w:rsidP="00A770B9">
            <w:pPr>
              <w:spacing w:after="0" w:line="240" w:lineRule="auto"/>
              <w:jc w:val="right"/>
              <w:rPr>
                <w:rFonts w:ascii="Calibri" w:eastAsia="Times New Roman" w:hAnsi="Calibri" w:cs="Calibri"/>
                <w:b/>
                <w:bCs/>
                <w:color w:val="000000"/>
                <w:lang w:eastAsia="en-NZ"/>
              </w:rPr>
            </w:pPr>
          </w:p>
        </w:tc>
        <w:tc>
          <w:tcPr>
            <w:tcW w:w="1268" w:type="dxa"/>
            <w:vMerge/>
            <w:tcBorders>
              <w:bottom w:val="single" w:sz="4" w:space="0" w:color="auto"/>
              <w:right w:val="single" w:sz="4" w:space="0" w:color="auto"/>
            </w:tcBorders>
            <w:shd w:val="clear" w:color="000000" w:fill="F2F2F2"/>
            <w:vAlign w:val="bottom"/>
            <w:hideMark/>
          </w:tcPr>
          <w:p w14:paraId="24979194" w14:textId="341627A1" w:rsidR="00873CA9" w:rsidRPr="00E058B9" w:rsidRDefault="00873CA9" w:rsidP="00A770B9">
            <w:pPr>
              <w:spacing w:after="0" w:line="240" w:lineRule="auto"/>
              <w:jc w:val="center"/>
              <w:rPr>
                <w:rFonts w:ascii="Calibri" w:eastAsia="Times New Roman" w:hAnsi="Calibri" w:cs="Calibri"/>
                <w:b/>
                <w:bCs/>
                <w:color w:val="000000"/>
                <w:lang w:eastAsia="en-NZ"/>
              </w:rPr>
            </w:pPr>
          </w:p>
        </w:tc>
      </w:tr>
      <w:tr w:rsidR="00A770B9" w:rsidRPr="00A770B9" w14:paraId="6439A580" w14:textId="77777777" w:rsidTr="00572FDC">
        <w:trPr>
          <w:trHeight w:val="313"/>
        </w:trPr>
        <w:tc>
          <w:tcPr>
            <w:tcW w:w="2769" w:type="dxa"/>
            <w:tcBorders>
              <w:top w:val="single" w:sz="4" w:space="0" w:color="auto"/>
              <w:left w:val="single" w:sz="4" w:space="0" w:color="auto"/>
            </w:tcBorders>
            <w:shd w:val="clear" w:color="auto" w:fill="auto"/>
            <w:noWrap/>
            <w:vAlign w:val="bottom"/>
            <w:hideMark/>
          </w:tcPr>
          <w:p w14:paraId="756C243A" w14:textId="45055ECA" w:rsidR="00A770B9" w:rsidRPr="00A770B9" w:rsidRDefault="00570E49" w:rsidP="00A770B9">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1-</w:t>
            </w:r>
            <w:r w:rsidR="00A770B9" w:rsidRPr="00A770B9">
              <w:rPr>
                <w:rFonts w:ascii="Calibri" w:eastAsia="Times New Roman" w:hAnsi="Calibri" w:cs="Calibri"/>
                <w:color w:val="000000"/>
                <w:lang w:eastAsia="en-NZ"/>
              </w:rPr>
              <w:t>child family</w:t>
            </w:r>
          </w:p>
        </w:tc>
        <w:tc>
          <w:tcPr>
            <w:tcW w:w="1014" w:type="dxa"/>
            <w:tcBorders>
              <w:top w:val="single" w:sz="4" w:space="0" w:color="auto"/>
            </w:tcBorders>
            <w:shd w:val="clear" w:color="auto" w:fill="auto"/>
            <w:noWrap/>
            <w:vAlign w:val="bottom"/>
            <w:hideMark/>
          </w:tcPr>
          <w:p w14:paraId="50B6ADBF"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8,716 </w:t>
            </w:r>
          </w:p>
        </w:tc>
        <w:tc>
          <w:tcPr>
            <w:tcW w:w="1014" w:type="dxa"/>
            <w:tcBorders>
              <w:top w:val="single" w:sz="4" w:space="0" w:color="auto"/>
            </w:tcBorders>
            <w:shd w:val="clear" w:color="auto" w:fill="auto"/>
            <w:noWrap/>
            <w:vAlign w:val="bottom"/>
            <w:hideMark/>
          </w:tcPr>
          <w:p w14:paraId="0B3448CA"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9,102 </w:t>
            </w:r>
          </w:p>
        </w:tc>
        <w:tc>
          <w:tcPr>
            <w:tcW w:w="1291" w:type="dxa"/>
            <w:tcBorders>
              <w:top w:val="single" w:sz="4" w:space="0" w:color="auto"/>
            </w:tcBorders>
            <w:shd w:val="clear" w:color="auto" w:fill="auto"/>
            <w:noWrap/>
            <w:vAlign w:val="bottom"/>
            <w:hideMark/>
          </w:tcPr>
          <w:p w14:paraId="6FD91D09"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9,284 </w:t>
            </w:r>
          </w:p>
        </w:tc>
        <w:tc>
          <w:tcPr>
            <w:tcW w:w="1291" w:type="dxa"/>
            <w:tcBorders>
              <w:top w:val="single" w:sz="4" w:space="0" w:color="auto"/>
            </w:tcBorders>
            <w:shd w:val="clear" w:color="auto" w:fill="auto"/>
            <w:noWrap/>
            <w:vAlign w:val="bottom"/>
            <w:hideMark/>
          </w:tcPr>
          <w:p w14:paraId="773BD030"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9,470 </w:t>
            </w:r>
          </w:p>
        </w:tc>
        <w:tc>
          <w:tcPr>
            <w:tcW w:w="1268" w:type="dxa"/>
            <w:tcBorders>
              <w:top w:val="single" w:sz="4" w:space="0" w:color="auto"/>
              <w:right w:val="single" w:sz="4" w:space="0" w:color="auto"/>
            </w:tcBorders>
            <w:shd w:val="clear" w:color="auto" w:fill="auto"/>
            <w:noWrap/>
            <w:vAlign w:val="center"/>
            <w:hideMark/>
          </w:tcPr>
          <w:p w14:paraId="4CAEAD42" w14:textId="77777777" w:rsidR="00A770B9" w:rsidRPr="00A770B9" w:rsidRDefault="00A770B9" w:rsidP="00873CA9">
            <w:pPr>
              <w:spacing w:after="0" w:line="240" w:lineRule="auto"/>
              <w:jc w:val="center"/>
              <w:rPr>
                <w:rFonts w:ascii="Calibri" w:eastAsia="Times New Roman" w:hAnsi="Calibri" w:cs="Calibri"/>
                <w:color w:val="000000"/>
                <w:lang w:eastAsia="en-NZ"/>
              </w:rPr>
            </w:pPr>
            <w:r w:rsidRPr="00A770B9">
              <w:rPr>
                <w:rFonts w:ascii="Calibri" w:eastAsia="Times New Roman" w:hAnsi="Calibri" w:cs="Calibri"/>
                <w:color w:val="000000"/>
                <w:lang w:eastAsia="en-NZ"/>
              </w:rPr>
              <w:t>9%</w:t>
            </w:r>
          </w:p>
        </w:tc>
      </w:tr>
      <w:tr w:rsidR="00A770B9" w:rsidRPr="00A770B9" w14:paraId="31B4708E" w14:textId="77777777" w:rsidTr="00572FDC">
        <w:trPr>
          <w:trHeight w:val="313"/>
        </w:trPr>
        <w:tc>
          <w:tcPr>
            <w:tcW w:w="2769" w:type="dxa"/>
            <w:tcBorders>
              <w:left w:val="single" w:sz="4" w:space="0" w:color="auto"/>
            </w:tcBorders>
            <w:shd w:val="clear" w:color="auto" w:fill="auto"/>
            <w:noWrap/>
            <w:vAlign w:val="bottom"/>
            <w:hideMark/>
          </w:tcPr>
          <w:p w14:paraId="128F0841" w14:textId="682A360B" w:rsidR="00A770B9" w:rsidRPr="00A770B9" w:rsidRDefault="00A770B9" w:rsidP="00A770B9">
            <w:pPr>
              <w:spacing w:after="0" w:line="240" w:lineRule="auto"/>
              <w:rPr>
                <w:rFonts w:ascii="Calibri" w:eastAsia="Times New Roman" w:hAnsi="Calibri" w:cs="Calibri"/>
                <w:color w:val="000000"/>
                <w:lang w:eastAsia="en-NZ"/>
              </w:rPr>
            </w:pPr>
            <w:r w:rsidRPr="00A770B9">
              <w:rPr>
                <w:rFonts w:ascii="Calibri" w:eastAsia="Times New Roman" w:hAnsi="Calibri" w:cs="Calibri"/>
                <w:color w:val="000000"/>
                <w:lang w:eastAsia="en-NZ"/>
              </w:rPr>
              <w:t>2</w:t>
            </w:r>
            <w:r w:rsidR="00570E49">
              <w:rPr>
                <w:rFonts w:ascii="Calibri" w:eastAsia="Times New Roman" w:hAnsi="Calibri" w:cs="Calibri"/>
                <w:color w:val="000000"/>
                <w:lang w:eastAsia="en-NZ"/>
              </w:rPr>
              <w:t>-</w:t>
            </w:r>
            <w:r w:rsidRPr="00A770B9">
              <w:rPr>
                <w:rFonts w:ascii="Calibri" w:eastAsia="Times New Roman" w:hAnsi="Calibri" w:cs="Calibri"/>
                <w:color w:val="000000"/>
                <w:lang w:eastAsia="en-NZ"/>
              </w:rPr>
              <w:t>child family</w:t>
            </w:r>
          </w:p>
        </w:tc>
        <w:tc>
          <w:tcPr>
            <w:tcW w:w="1014" w:type="dxa"/>
            <w:shd w:val="clear" w:color="auto" w:fill="auto"/>
            <w:noWrap/>
            <w:vAlign w:val="bottom"/>
            <w:hideMark/>
          </w:tcPr>
          <w:p w14:paraId="143C568B"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14,235 </w:t>
            </w:r>
          </w:p>
        </w:tc>
        <w:tc>
          <w:tcPr>
            <w:tcW w:w="1014" w:type="dxa"/>
            <w:shd w:val="clear" w:color="auto" w:fill="auto"/>
            <w:noWrap/>
            <w:vAlign w:val="bottom"/>
            <w:hideMark/>
          </w:tcPr>
          <w:p w14:paraId="69D0DD6C"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14,876 </w:t>
            </w:r>
          </w:p>
        </w:tc>
        <w:tc>
          <w:tcPr>
            <w:tcW w:w="1291" w:type="dxa"/>
            <w:shd w:val="clear" w:color="auto" w:fill="auto"/>
            <w:noWrap/>
            <w:vAlign w:val="bottom"/>
            <w:hideMark/>
          </w:tcPr>
          <w:p w14:paraId="0CCB6AA7"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15,174 </w:t>
            </w:r>
          </w:p>
        </w:tc>
        <w:tc>
          <w:tcPr>
            <w:tcW w:w="1291" w:type="dxa"/>
            <w:shd w:val="clear" w:color="auto" w:fill="auto"/>
            <w:noWrap/>
            <w:vAlign w:val="bottom"/>
            <w:hideMark/>
          </w:tcPr>
          <w:p w14:paraId="72C74A27"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15,477 </w:t>
            </w:r>
          </w:p>
        </w:tc>
        <w:tc>
          <w:tcPr>
            <w:tcW w:w="1268" w:type="dxa"/>
            <w:tcBorders>
              <w:right w:val="single" w:sz="4" w:space="0" w:color="auto"/>
            </w:tcBorders>
            <w:shd w:val="clear" w:color="auto" w:fill="auto"/>
            <w:noWrap/>
            <w:vAlign w:val="center"/>
            <w:hideMark/>
          </w:tcPr>
          <w:p w14:paraId="6274B0ED" w14:textId="77777777" w:rsidR="00A770B9" w:rsidRPr="00A770B9" w:rsidRDefault="00A770B9" w:rsidP="00873CA9">
            <w:pPr>
              <w:spacing w:after="0" w:line="240" w:lineRule="auto"/>
              <w:jc w:val="center"/>
              <w:rPr>
                <w:rFonts w:ascii="Calibri" w:eastAsia="Times New Roman" w:hAnsi="Calibri" w:cs="Calibri"/>
                <w:color w:val="000000"/>
                <w:lang w:eastAsia="en-NZ"/>
              </w:rPr>
            </w:pPr>
            <w:r w:rsidRPr="00A770B9">
              <w:rPr>
                <w:rFonts w:ascii="Calibri" w:eastAsia="Times New Roman" w:hAnsi="Calibri" w:cs="Calibri"/>
                <w:color w:val="000000"/>
                <w:lang w:eastAsia="en-NZ"/>
              </w:rPr>
              <w:t>9%</w:t>
            </w:r>
          </w:p>
        </w:tc>
      </w:tr>
      <w:tr w:rsidR="00A770B9" w:rsidRPr="00A770B9" w14:paraId="76B56BCE" w14:textId="77777777" w:rsidTr="00572FDC">
        <w:trPr>
          <w:trHeight w:val="313"/>
        </w:trPr>
        <w:tc>
          <w:tcPr>
            <w:tcW w:w="2769" w:type="dxa"/>
            <w:tcBorders>
              <w:left w:val="single" w:sz="4" w:space="0" w:color="auto"/>
            </w:tcBorders>
            <w:shd w:val="clear" w:color="auto" w:fill="auto"/>
            <w:noWrap/>
            <w:vAlign w:val="bottom"/>
            <w:hideMark/>
          </w:tcPr>
          <w:p w14:paraId="724EC61C" w14:textId="77777777" w:rsidR="00A770B9" w:rsidRPr="00A770B9" w:rsidRDefault="00A770B9" w:rsidP="00A770B9">
            <w:pPr>
              <w:spacing w:after="0" w:line="240" w:lineRule="auto"/>
              <w:rPr>
                <w:rFonts w:ascii="Calibri" w:eastAsia="Times New Roman" w:hAnsi="Calibri" w:cs="Calibri"/>
                <w:color w:val="000000"/>
                <w:lang w:eastAsia="en-NZ"/>
              </w:rPr>
            </w:pPr>
            <w:r w:rsidRPr="00A770B9">
              <w:rPr>
                <w:rFonts w:ascii="Calibri" w:eastAsia="Times New Roman" w:hAnsi="Calibri" w:cs="Calibri"/>
                <w:color w:val="000000"/>
                <w:lang w:eastAsia="en-NZ"/>
              </w:rPr>
              <w:t>3- child family</w:t>
            </w:r>
          </w:p>
        </w:tc>
        <w:tc>
          <w:tcPr>
            <w:tcW w:w="1014" w:type="dxa"/>
            <w:shd w:val="clear" w:color="auto" w:fill="auto"/>
            <w:noWrap/>
            <w:vAlign w:val="bottom"/>
            <w:hideMark/>
          </w:tcPr>
          <w:p w14:paraId="531307CC"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19,754 </w:t>
            </w:r>
          </w:p>
        </w:tc>
        <w:tc>
          <w:tcPr>
            <w:tcW w:w="1014" w:type="dxa"/>
            <w:shd w:val="clear" w:color="auto" w:fill="auto"/>
            <w:noWrap/>
            <w:vAlign w:val="bottom"/>
            <w:hideMark/>
          </w:tcPr>
          <w:p w14:paraId="1C1EFF0B"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20,650 </w:t>
            </w:r>
          </w:p>
        </w:tc>
        <w:tc>
          <w:tcPr>
            <w:tcW w:w="1291" w:type="dxa"/>
            <w:shd w:val="clear" w:color="auto" w:fill="auto"/>
            <w:noWrap/>
            <w:vAlign w:val="bottom"/>
            <w:hideMark/>
          </w:tcPr>
          <w:p w14:paraId="6C2B0BFB"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21,063 </w:t>
            </w:r>
          </w:p>
        </w:tc>
        <w:tc>
          <w:tcPr>
            <w:tcW w:w="1291" w:type="dxa"/>
            <w:shd w:val="clear" w:color="auto" w:fill="auto"/>
            <w:noWrap/>
            <w:vAlign w:val="bottom"/>
            <w:hideMark/>
          </w:tcPr>
          <w:p w14:paraId="4A7784DC"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21,485 </w:t>
            </w:r>
          </w:p>
        </w:tc>
        <w:tc>
          <w:tcPr>
            <w:tcW w:w="1268" w:type="dxa"/>
            <w:tcBorders>
              <w:right w:val="single" w:sz="4" w:space="0" w:color="auto"/>
            </w:tcBorders>
            <w:shd w:val="clear" w:color="auto" w:fill="auto"/>
            <w:noWrap/>
            <w:vAlign w:val="center"/>
            <w:hideMark/>
          </w:tcPr>
          <w:p w14:paraId="6630BC51" w14:textId="77777777" w:rsidR="00A770B9" w:rsidRPr="00A770B9" w:rsidRDefault="00A770B9" w:rsidP="00873CA9">
            <w:pPr>
              <w:spacing w:after="0" w:line="240" w:lineRule="auto"/>
              <w:jc w:val="center"/>
              <w:rPr>
                <w:rFonts w:ascii="Calibri" w:eastAsia="Times New Roman" w:hAnsi="Calibri" w:cs="Calibri"/>
                <w:color w:val="000000"/>
                <w:lang w:eastAsia="en-NZ"/>
              </w:rPr>
            </w:pPr>
            <w:r w:rsidRPr="00A770B9">
              <w:rPr>
                <w:rFonts w:ascii="Calibri" w:eastAsia="Times New Roman" w:hAnsi="Calibri" w:cs="Calibri"/>
                <w:color w:val="000000"/>
                <w:lang w:eastAsia="en-NZ"/>
              </w:rPr>
              <w:t>9%</w:t>
            </w:r>
          </w:p>
        </w:tc>
      </w:tr>
      <w:tr w:rsidR="00A770B9" w:rsidRPr="00A770B9" w14:paraId="08A48BDA" w14:textId="77777777" w:rsidTr="00572FDC">
        <w:trPr>
          <w:trHeight w:val="313"/>
        </w:trPr>
        <w:tc>
          <w:tcPr>
            <w:tcW w:w="2769" w:type="dxa"/>
            <w:tcBorders>
              <w:left w:val="single" w:sz="4" w:space="0" w:color="auto"/>
            </w:tcBorders>
            <w:shd w:val="clear" w:color="auto" w:fill="auto"/>
            <w:noWrap/>
            <w:vAlign w:val="bottom"/>
            <w:hideMark/>
          </w:tcPr>
          <w:p w14:paraId="28F5ABC2" w14:textId="77777777" w:rsidR="00A770B9" w:rsidRPr="00A770B9" w:rsidRDefault="00A770B9" w:rsidP="00A770B9">
            <w:pPr>
              <w:spacing w:after="0" w:line="240" w:lineRule="auto"/>
              <w:rPr>
                <w:rFonts w:ascii="Calibri" w:eastAsia="Times New Roman" w:hAnsi="Calibri" w:cs="Calibri"/>
                <w:color w:val="000000"/>
                <w:lang w:eastAsia="en-NZ"/>
              </w:rPr>
            </w:pPr>
            <w:r w:rsidRPr="00A770B9">
              <w:rPr>
                <w:rFonts w:ascii="Calibri" w:eastAsia="Times New Roman" w:hAnsi="Calibri" w:cs="Calibri"/>
                <w:color w:val="000000"/>
                <w:lang w:eastAsia="en-NZ"/>
              </w:rPr>
              <w:t>4-child family</w:t>
            </w:r>
          </w:p>
        </w:tc>
        <w:tc>
          <w:tcPr>
            <w:tcW w:w="1014" w:type="dxa"/>
            <w:shd w:val="clear" w:color="auto" w:fill="auto"/>
            <w:noWrap/>
            <w:vAlign w:val="bottom"/>
            <w:hideMark/>
          </w:tcPr>
          <w:p w14:paraId="73CAF6EF"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25,273 </w:t>
            </w:r>
          </w:p>
        </w:tc>
        <w:tc>
          <w:tcPr>
            <w:tcW w:w="1014" w:type="dxa"/>
            <w:shd w:val="clear" w:color="auto" w:fill="auto"/>
            <w:noWrap/>
            <w:vAlign w:val="bottom"/>
            <w:hideMark/>
          </w:tcPr>
          <w:p w14:paraId="4C701746"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26,424 </w:t>
            </w:r>
          </w:p>
        </w:tc>
        <w:tc>
          <w:tcPr>
            <w:tcW w:w="1291" w:type="dxa"/>
            <w:shd w:val="clear" w:color="auto" w:fill="auto"/>
            <w:noWrap/>
            <w:vAlign w:val="bottom"/>
            <w:hideMark/>
          </w:tcPr>
          <w:p w14:paraId="0339BA5D"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26,953 </w:t>
            </w:r>
          </w:p>
        </w:tc>
        <w:tc>
          <w:tcPr>
            <w:tcW w:w="1291" w:type="dxa"/>
            <w:shd w:val="clear" w:color="auto" w:fill="auto"/>
            <w:noWrap/>
            <w:vAlign w:val="bottom"/>
            <w:hideMark/>
          </w:tcPr>
          <w:p w14:paraId="58AF44C5"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27,492 </w:t>
            </w:r>
          </w:p>
        </w:tc>
        <w:tc>
          <w:tcPr>
            <w:tcW w:w="1268" w:type="dxa"/>
            <w:tcBorders>
              <w:right w:val="single" w:sz="4" w:space="0" w:color="auto"/>
            </w:tcBorders>
            <w:shd w:val="clear" w:color="auto" w:fill="auto"/>
            <w:noWrap/>
            <w:vAlign w:val="center"/>
            <w:hideMark/>
          </w:tcPr>
          <w:p w14:paraId="56EE223E" w14:textId="77777777" w:rsidR="00A770B9" w:rsidRPr="00A770B9" w:rsidRDefault="00A770B9" w:rsidP="00873CA9">
            <w:pPr>
              <w:spacing w:after="0" w:line="240" w:lineRule="auto"/>
              <w:jc w:val="center"/>
              <w:rPr>
                <w:rFonts w:ascii="Calibri" w:eastAsia="Times New Roman" w:hAnsi="Calibri" w:cs="Calibri"/>
                <w:color w:val="000000"/>
                <w:lang w:eastAsia="en-NZ"/>
              </w:rPr>
            </w:pPr>
            <w:r w:rsidRPr="00A770B9">
              <w:rPr>
                <w:rFonts w:ascii="Calibri" w:eastAsia="Times New Roman" w:hAnsi="Calibri" w:cs="Calibri"/>
                <w:color w:val="000000"/>
                <w:lang w:eastAsia="en-NZ"/>
              </w:rPr>
              <w:t>9%</w:t>
            </w:r>
          </w:p>
        </w:tc>
      </w:tr>
      <w:tr w:rsidR="00A770B9" w:rsidRPr="00A770B9" w14:paraId="2CF2D432" w14:textId="77777777" w:rsidTr="00572FDC">
        <w:trPr>
          <w:trHeight w:val="313"/>
        </w:trPr>
        <w:tc>
          <w:tcPr>
            <w:tcW w:w="2769" w:type="dxa"/>
            <w:tcBorders>
              <w:left w:val="single" w:sz="4" w:space="0" w:color="auto"/>
            </w:tcBorders>
            <w:shd w:val="clear" w:color="auto" w:fill="auto"/>
            <w:noWrap/>
            <w:vAlign w:val="bottom"/>
            <w:hideMark/>
          </w:tcPr>
          <w:p w14:paraId="2B95F02E" w14:textId="77777777" w:rsidR="00A770B9" w:rsidRPr="00A770B9" w:rsidRDefault="00A770B9" w:rsidP="00A770B9">
            <w:pPr>
              <w:spacing w:after="0" w:line="240" w:lineRule="auto"/>
              <w:rPr>
                <w:rFonts w:ascii="Calibri" w:eastAsia="Times New Roman" w:hAnsi="Calibri" w:cs="Calibri"/>
                <w:color w:val="000000"/>
                <w:lang w:eastAsia="en-NZ"/>
              </w:rPr>
            </w:pPr>
            <w:r w:rsidRPr="00A770B9">
              <w:rPr>
                <w:rFonts w:ascii="Calibri" w:eastAsia="Times New Roman" w:hAnsi="Calibri" w:cs="Calibri"/>
                <w:color w:val="000000"/>
                <w:lang w:eastAsia="en-NZ"/>
              </w:rPr>
              <w:t>5-child family</w:t>
            </w:r>
          </w:p>
        </w:tc>
        <w:tc>
          <w:tcPr>
            <w:tcW w:w="1014" w:type="dxa"/>
            <w:shd w:val="clear" w:color="auto" w:fill="auto"/>
            <w:noWrap/>
            <w:vAlign w:val="bottom"/>
            <w:hideMark/>
          </w:tcPr>
          <w:p w14:paraId="322BE137"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30,791 </w:t>
            </w:r>
          </w:p>
        </w:tc>
        <w:tc>
          <w:tcPr>
            <w:tcW w:w="1014" w:type="dxa"/>
            <w:shd w:val="clear" w:color="auto" w:fill="auto"/>
            <w:noWrap/>
            <w:vAlign w:val="bottom"/>
            <w:hideMark/>
          </w:tcPr>
          <w:p w14:paraId="586BBFEA"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32,198 </w:t>
            </w:r>
          </w:p>
        </w:tc>
        <w:tc>
          <w:tcPr>
            <w:tcW w:w="1291" w:type="dxa"/>
            <w:shd w:val="clear" w:color="auto" w:fill="auto"/>
            <w:noWrap/>
            <w:vAlign w:val="bottom"/>
            <w:hideMark/>
          </w:tcPr>
          <w:p w14:paraId="38AE520B"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32,842 </w:t>
            </w:r>
          </w:p>
        </w:tc>
        <w:tc>
          <w:tcPr>
            <w:tcW w:w="1291" w:type="dxa"/>
            <w:shd w:val="clear" w:color="auto" w:fill="auto"/>
            <w:noWrap/>
            <w:vAlign w:val="bottom"/>
            <w:hideMark/>
          </w:tcPr>
          <w:p w14:paraId="128E4844"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33,499 </w:t>
            </w:r>
          </w:p>
        </w:tc>
        <w:tc>
          <w:tcPr>
            <w:tcW w:w="1268" w:type="dxa"/>
            <w:tcBorders>
              <w:right w:val="single" w:sz="4" w:space="0" w:color="auto"/>
            </w:tcBorders>
            <w:shd w:val="clear" w:color="auto" w:fill="auto"/>
            <w:noWrap/>
            <w:vAlign w:val="center"/>
            <w:hideMark/>
          </w:tcPr>
          <w:p w14:paraId="77770B20" w14:textId="77777777" w:rsidR="00A770B9" w:rsidRPr="00A770B9" w:rsidRDefault="00A770B9" w:rsidP="00873CA9">
            <w:pPr>
              <w:spacing w:after="0" w:line="240" w:lineRule="auto"/>
              <w:jc w:val="center"/>
              <w:rPr>
                <w:rFonts w:ascii="Calibri" w:eastAsia="Times New Roman" w:hAnsi="Calibri" w:cs="Calibri"/>
                <w:color w:val="000000"/>
                <w:lang w:eastAsia="en-NZ"/>
              </w:rPr>
            </w:pPr>
            <w:r w:rsidRPr="00A770B9">
              <w:rPr>
                <w:rFonts w:ascii="Calibri" w:eastAsia="Times New Roman" w:hAnsi="Calibri" w:cs="Calibri"/>
                <w:color w:val="000000"/>
                <w:lang w:eastAsia="en-NZ"/>
              </w:rPr>
              <w:t>9%</w:t>
            </w:r>
          </w:p>
        </w:tc>
      </w:tr>
      <w:tr w:rsidR="00A770B9" w:rsidRPr="00A770B9" w14:paraId="085B5AED" w14:textId="77777777" w:rsidTr="00572FDC">
        <w:trPr>
          <w:trHeight w:val="313"/>
        </w:trPr>
        <w:tc>
          <w:tcPr>
            <w:tcW w:w="2769" w:type="dxa"/>
            <w:tcBorders>
              <w:left w:val="single" w:sz="4" w:space="0" w:color="auto"/>
              <w:bottom w:val="single" w:sz="4" w:space="0" w:color="auto"/>
            </w:tcBorders>
            <w:shd w:val="clear" w:color="auto" w:fill="auto"/>
            <w:noWrap/>
            <w:vAlign w:val="bottom"/>
            <w:hideMark/>
          </w:tcPr>
          <w:p w14:paraId="7AC34885" w14:textId="77777777" w:rsidR="00A770B9" w:rsidRPr="00A770B9" w:rsidRDefault="00A770B9" w:rsidP="00A770B9">
            <w:pPr>
              <w:spacing w:after="0" w:line="240" w:lineRule="auto"/>
              <w:rPr>
                <w:rFonts w:ascii="Calibri" w:eastAsia="Times New Roman" w:hAnsi="Calibri" w:cs="Calibri"/>
                <w:color w:val="000000"/>
                <w:lang w:eastAsia="en-NZ"/>
              </w:rPr>
            </w:pPr>
            <w:r w:rsidRPr="00A770B9">
              <w:rPr>
                <w:rFonts w:ascii="Calibri" w:eastAsia="Times New Roman" w:hAnsi="Calibri" w:cs="Calibri"/>
                <w:color w:val="000000"/>
                <w:lang w:eastAsia="en-NZ"/>
              </w:rPr>
              <w:t>6- child family</w:t>
            </w:r>
          </w:p>
        </w:tc>
        <w:tc>
          <w:tcPr>
            <w:tcW w:w="1014" w:type="dxa"/>
            <w:tcBorders>
              <w:bottom w:val="single" w:sz="4" w:space="0" w:color="auto"/>
            </w:tcBorders>
            <w:shd w:val="clear" w:color="auto" w:fill="auto"/>
            <w:noWrap/>
            <w:vAlign w:val="bottom"/>
            <w:hideMark/>
          </w:tcPr>
          <w:p w14:paraId="30C205A9"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36,310 </w:t>
            </w:r>
          </w:p>
        </w:tc>
        <w:tc>
          <w:tcPr>
            <w:tcW w:w="1014" w:type="dxa"/>
            <w:tcBorders>
              <w:bottom w:val="single" w:sz="4" w:space="0" w:color="auto"/>
            </w:tcBorders>
            <w:shd w:val="clear" w:color="auto" w:fill="auto"/>
            <w:noWrap/>
            <w:vAlign w:val="bottom"/>
            <w:hideMark/>
          </w:tcPr>
          <w:p w14:paraId="1E5FFB3D"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37,972 </w:t>
            </w:r>
          </w:p>
        </w:tc>
        <w:tc>
          <w:tcPr>
            <w:tcW w:w="1291" w:type="dxa"/>
            <w:tcBorders>
              <w:bottom w:val="single" w:sz="4" w:space="0" w:color="auto"/>
            </w:tcBorders>
            <w:shd w:val="clear" w:color="auto" w:fill="auto"/>
            <w:noWrap/>
            <w:vAlign w:val="bottom"/>
            <w:hideMark/>
          </w:tcPr>
          <w:p w14:paraId="63361AA4"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38,732 </w:t>
            </w:r>
          </w:p>
        </w:tc>
        <w:tc>
          <w:tcPr>
            <w:tcW w:w="1291" w:type="dxa"/>
            <w:tcBorders>
              <w:bottom w:val="single" w:sz="4" w:space="0" w:color="auto"/>
            </w:tcBorders>
            <w:shd w:val="clear" w:color="auto" w:fill="auto"/>
            <w:noWrap/>
            <w:vAlign w:val="bottom"/>
            <w:hideMark/>
          </w:tcPr>
          <w:p w14:paraId="2DA8EA5C" w14:textId="77777777" w:rsidR="00A770B9" w:rsidRPr="00A770B9" w:rsidRDefault="00A770B9" w:rsidP="00A770B9">
            <w:pPr>
              <w:spacing w:after="0" w:line="240" w:lineRule="auto"/>
              <w:jc w:val="right"/>
              <w:rPr>
                <w:rFonts w:ascii="Calibri" w:eastAsia="Times New Roman" w:hAnsi="Calibri" w:cs="Calibri"/>
                <w:color w:val="000000"/>
                <w:lang w:eastAsia="en-NZ"/>
              </w:rPr>
            </w:pPr>
            <w:r w:rsidRPr="00A770B9">
              <w:rPr>
                <w:rFonts w:ascii="Calibri" w:eastAsia="Times New Roman" w:hAnsi="Calibri" w:cs="Calibri"/>
                <w:color w:val="000000"/>
                <w:lang w:eastAsia="en-NZ"/>
              </w:rPr>
              <w:t xml:space="preserve">39,507 </w:t>
            </w:r>
          </w:p>
        </w:tc>
        <w:tc>
          <w:tcPr>
            <w:tcW w:w="1268" w:type="dxa"/>
            <w:tcBorders>
              <w:bottom w:val="single" w:sz="4" w:space="0" w:color="auto"/>
              <w:right w:val="single" w:sz="4" w:space="0" w:color="auto"/>
            </w:tcBorders>
            <w:shd w:val="clear" w:color="auto" w:fill="auto"/>
            <w:noWrap/>
            <w:vAlign w:val="center"/>
            <w:hideMark/>
          </w:tcPr>
          <w:p w14:paraId="44338AA9" w14:textId="77777777" w:rsidR="00A770B9" w:rsidRPr="00A770B9" w:rsidRDefault="00A770B9" w:rsidP="00873CA9">
            <w:pPr>
              <w:spacing w:after="0" w:line="240" w:lineRule="auto"/>
              <w:jc w:val="center"/>
              <w:rPr>
                <w:rFonts w:ascii="Calibri" w:eastAsia="Times New Roman" w:hAnsi="Calibri" w:cs="Calibri"/>
                <w:color w:val="000000"/>
                <w:lang w:eastAsia="en-NZ"/>
              </w:rPr>
            </w:pPr>
            <w:r w:rsidRPr="00A770B9">
              <w:rPr>
                <w:rFonts w:ascii="Calibri" w:eastAsia="Times New Roman" w:hAnsi="Calibri" w:cs="Calibri"/>
                <w:color w:val="000000"/>
                <w:lang w:eastAsia="en-NZ"/>
              </w:rPr>
              <w:t>9%</w:t>
            </w:r>
          </w:p>
        </w:tc>
      </w:tr>
    </w:tbl>
    <w:p w14:paraId="03F348C2" w14:textId="1D5155C5" w:rsidR="00A5128F" w:rsidRDefault="00A5128F" w:rsidP="00642496">
      <w:pPr>
        <w:spacing w:after="0"/>
      </w:pPr>
    </w:p>
    <w:p w14:paraId="5E00A432" w14:textId="58912E0C" w:rsidR="00D705FD" w:rsidRPr="00D705FD" w:rsidRDefault="006550DF" w:rsidP="00C229B9">
      <w:pPr>
        <w:rPr>
          <w:b/>
          <w:bCs/>
        </w:rPr>
      </w:pPr>
      <w:r w:rsidRPr="004D7688">
        <w:rPr>
          <w:b/>
          <w:bCs/>
        </w:rPr>
        <w:t>Table 3c</w:t>
      </w:r>
      <w:r>
        <w:t xml:space="preserve"> </w:t>
      </w:r>
      <w:r w:rsidRPr="0034112D">
        <w:rPr>
          <w:b/>
          <w:bCs/>
        </w:rPr>
        <w:t xml:space="preserve">Total </w:t>
      </w:r>
      <w:r w:rsidR="00A818CC">
        <w:rPr>
          <w:b/>
          <w:bCs/>
        </w:rPr>
        <w:t xml:space="preserve">maximum </w:t>
      </w:r>
      <w:r w:rsidRPr="0034112D">
        <w:rPr>
          <w:b/>
          <w:bCs/>
        </w:rPr>
        <w:t>annual</w:t>
      </w:r>
      <w:r w:rsidR="00570E49">
        <w:rPr>
          <w:b/>
          <w:bCs/>
        </w:rPr>
        <w:t>ised</w:t>
      </w:r>
      <w:r w:rsidRPr="0034112D">
        <w:rPr>
          <w:b/>
          <w:bCs/>
        </w:rPr>
        <w:t xml:space="preserve"> Family Tax Benefit A and B</w:t>
      </w:r>
      <w:r w:rsidR="0033230B">
        <w:rPr>
          <w:b/>
          <w:bCs/>
        </w:rPr>
        <w:t xml:space="preserve"> in</w:t>
      </w:r>
      <w:r w:rsidRPr="0034112D">
        <w:rPr>
          <w:b/>
          <w:bCs/>
        </w:rPr>
        <w:t xml:space="preserve"> Australia</w:t>
      </w:r>
      <w:r w:rsidR="00530D4B">
        <w:rPr>
          <w:b/>
          <w:bCs/>
        </w:rPr>
        <w:t xml:space="preserve">, including </w:t>
      </w:r>
      <w:r w:rsidR="00D705FD">
        <w:rPr>
          <w:b/>
          <w:bCs/>
        </w:rPr>
        <w:t>up to two</w:t>
      </w:r>
      <w:r w:rsidR="00530D4B">
        <w:rPr>
          <w:b/>
          <w:bCs/>
        </w:rPr>
        <w:t xml:space="preserve"> child</w:t>
      </w:r>
      <w:r w:rsidR="00D705FD">
        <w:rPr>
          <w:b/>
          <w:bCs/>
        </w:rPr>
        <w:t>ren</w:t>
      </w:r>
      <w:r w:rsidR="00530D4B">
        <w:rPr>
          <w:b/>
          <w:bCs/>
        </w:rPr>
        <w:t xml:space="preserve"> aged 1</w:t>
      </w:r>
      <w:r w:rsidR="00D705FD">
        <w:rPr>
          <w:b/>
          <w:bCs/>
        </w:rPr>
        <w:t>3</w:t>
      </w:r>
      <w:r w:rsidR="00530D4B">
        <w:rPr>
          <w:b/>
          <w:bCs/>
        </w:rPr>
        <w:t>-19</w:t>
      </w:r>
      <w:r w:rsidR="00873CA9">
        <w:rPr>
          <w:b/>
          <w:bCs/>
        </w:rPr>
        <w:t xml:space="preserve"> (AUD)</w:t>
      </w:r>
      <w:r w:rsidR="0033230B">
        <w:rPr>
          <w:b/>
          <w:bCs/>
        </w:rPr>
        <w:t>.</w:t>
      </w:r>
    </w:p>
    <w:tbl>
      <w:tblPr>
        <w:tblW w:w="882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1039"/>
        <w:gridCol w:w="1039"/>
        <w:gridCol w:w="1294"/>
        <w:gridCol w:w="1323"/>
        <w:gridCol w:w="1298"/>
      </w:tblGrid>
      <w:tr w:rsidR="00D705FD" w:rsidRPr="00D705FD" w14:paraId="52A8E73C" w14:textId="77777777" w:rsidTr="00572FDC">
        <w:trPr>
          <w:trHeight w:val="325"/>
        </w:trPr>
        <w:tc>
          <w:tcPr>
            <w:tcW w:w="2836" w:type="dxa"/>
            <w:tcBorders>
              <w:top w:val="single" w:sz="4" w:space="0" w:color="auto"/>
              <w:bottom w:val="single" w:sz="4" w:space="0" w:color="auto"/>
            </w:tcBorders>
            <w:vAlign w:val="center"/>
            <w:hideMark/>
          </w:tcPr>
          <w:p w14:paraId="319974B2" w14:textId="77777777" w:rsidR="00D705FD" w:rsidRPr="00D705FD" w:rsidRDefault="00D705FD" w:rsidP="00D705FD">
            <w:pPr>
              <w:spacing w:after="0" w:line="240" w:lineRule="auto"/>
              <w:rPr>
                <w:rFonts w:ascii="Calibri" w:eastAsia="Times New Roman" w:hAnsi="Calibri" w:cs="Calibri"/>
                <w:color w:val="000000"/>
                <w:lang w:eastAsia="en-NZ"/>
              </w:rPr>
            </w:pPr>
          </w:p>
        </w:tc>
        <w:tc>
          <w:tcPr>
            <w:tcW w:w="1039" w:type="dxa"/>
            <w:tcBorders>
              <w:top w:val="single" w:sz="4" w:space="0" w:color="auto"/>
              <w:bottom w:val="single" w:sz="4" w:space="0" w:color="auto"/>
            </w:tcBorders>
            <w:shd w:val="clear" w:color="auto" w:fill="auto"/>
            <w:noWrap/>
            <w:vAlign w:val="bottom"/>
            <w:hideMark/>
          </w:tcPr>
          <w:p w14:paraId="51AD95D7" w14:textId="022DE179" w:rsidR="00D705FD" w:rsidRDefault="00AF1CBF" w:rsidP="00D705FD">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00D705FD" w:rsidRPr="004851BD">
              <w:rPr>
                <w:rFonts w:ascii="Calibri" w:eastAsia="Times New Roman" w:hAnsi="Calibri" w:cs="Calibri"/>
                <w:b/>
                <w:bCs/>
                <w:color w:val="000000"/>
                <w:lang w:eastAsia="en-NZ"/>
              </w:rPr>
              <w:t>Jul-18</w:t>
            </w:r>
          </w:p>
          <w:p w14:paraId="671EAB40" w14:textId="0B5A3173" w:rsidR="00662800" w:rsidRPr="004851BD" w:rsidRDefault="00662800" w:rsidP="00D705FD">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039" w:type="dxa"/>
            <w:tcBorders>
              <w:top w:val="single" w:sz="4" w:space="0" w:color="auto"/>
              <w:bottom w:val="single" w:sz="4" w:space="0" w:color="auto"/>
            </w:tcBorders>
            <w:shd w:val="clear" w:color="auto" w:fill="auto"/>
            <w:noWrap/>
            <w:vAlign w:val="bottom"/>
            <w:hideMark/>
          </w:tcPr>
          <w:p w14:paraId="7650F111" w14:textId="77004A38" w:rsidR="00D705FD" w:rsidRDefault="00AF1CBF" w:rsidP="00D705FD">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1-</w:t>
            </w:r>
            <w:r w:rsidR="00D705FD" w:rsidRPr="004851BD">
              <w:rPr>
                <w:rFonts w:ascii="Calibri" w:eastAsia="Times New Roman" w:hAnsi="Calibri" w:cs="Calibri"/>
                <w:b/>
                <w:bCs/>
                <w:color w:val="000000"/>
                <w:lang w:eastAsia="en-NZ"/>
              </w:rPr>
              <w:t>Jul-21</w:t>
            </w:r>
          </w:p>
          <w:p w14:paraId="1E9CA73F" w14:textId="1A3D0646" w:rsidR="00662800" w:rsidRPr="004851BD" w:rsidRDefault="00662800" w:rsidP="00D705FD">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294" w:type="dxa"/>
            <w:tcBorders>
              <w:top w:val="single" w:sz="4" w:space="0" w:color="auto"/>
              <w:bottom w:val="single" w:sz="4" w:space="0" w:color="auto"/>
            </w:tcBorders>
            <w:shd w:val="clear" w:color="auto" w:fill="auto"/>
            <w:noWrap/>
            <w:vAlign w:val="bottom"/>
            <w:hideMark/>
          </w:tcPr>
          <w:p w14:paraId="07C59CEB" w14:textId="1FC222E8" w:rsidR="00D705FD" w:rsidRDefault="00572FDC" w:rsidP="00D705FD">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e</w:t>
            </w:r>
            <w:r w:rsidR="008247CE">
              <w:rPr>
                <w:rFonts w:ascii="Calibri" w:eastAsia="Times New Roman" w:hAnsi="Calibri" w:cs="Calibri"/>
                <w:b/>
                <w:bCs/>
                <w:color w:val="000000"/>
                <w:lang w:eastAsia="en-NZ"/>
              </w:rPr>
              <w:t xml:space="preserve">stimated </w:t>
            </w:r>
            <w:r w:rsidR="00AF1CBF">
              <w:rPr>
                <w:rFonts w:ascii="Calibri" w:eastAsia="Times New Roman" w:hAnsi="Calibri" w:cs="Calibri"/>
                <w:b/>
                <w:bCs/>
                <w:color w:val="000000"/>
                <w:lang w:eastAsia="en-NZ"/>
              </w:rPr>
              <w:t>1-</w:t>
            </w:r>
            <w:r w:rsidR="00D705FD" w:rsidRPr="004851BD">
              <w:rPr>
                <w:rFonts w:ascii="Calibri" w:eastAsia="Times New Roman" w:hAnsi="Calibri" w:cs="Calibri"/>
                <w:b/>
                <w:bCs/>
                <w:color w:val="000000"/>
                <w:lang w:eastAsia="en-NZ"/>
              </w:rPr>
              <w:t>Jul-22</w:t>
            </w:r>
          </w:p>
          <w:p w14:paraId="7AC8CC10" w14:textId="43219ECA" w:rsidR="00662800" w:rsidRPr="004851BD" w:rsidRDefault="00662800" w:rsidP="00D705FD">
            <w:pPr>
              <w:spacing w:after="0" w:line="240" w:lineRule="auto"/>
              <w:jc w:val="right"/>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323" w:type="dxa"/>
            <w:tcBorders>
              <w:top w:val="single" w:sz="4" w:space="0" w:color="auto"/>
              <w:bottom w:val="single" w:sz="4" w:space="0" w:color="auto"/>
            </w:tcBorders>
            <w:shd w:val="clear" w:color="auto" w:fill="auto"/>
            <w:noWrap/>
            <w:vAlign w:val="bottom"/>
            <w:hideMark/>
          </w:tcPr>
          <w:p w14:paraId="49A10AAA" w14:textId="246494EA" w:rsidR="00D705FD"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e</w:t>
            </w:r>
            <w:r w:rsidRPr="004851BD">
              <w:rPr>
                <w:rFonts w:ascii="Calibri" w:eastAsia="Times New Roman" w:hAnsi="Calibri" w:cs="Calibri"/>
                <w:b/>
                <w:bCs/>
                <w:color w:val="000000"/>
                <w:lang w:eastAsia="en-NZ"/>
              </w:rPr>
              <w:t xml:space="preserve">stimated </w:t>
            </w:r>
            <w:r w:rsidR="00AF1CBF">
              <w:rPr>
                <w:rFonts w:ascii="Calibri" w:eastAsia="Times New Roman" w:hAnsi="Calibri" w:cs="Calibri"/>
                <w:b/>
                <w:bCs/>
                <w:color w:val="000000"/>
                <w:lang w:eastAsia="en-NZ"/>
              </w:rPr>
              <w:t>1-</w:t>
            </w:r>
            <w:r w:rsidR="00D705FD" w:rsidRPr="004851BD">
              <w:rPr>
                <w:rFonts w:ascii="Calibri" w:eastAsia="Times New Roman" w:hAnsi="Calibri" w:cs="Calibri"/>
                <w:b/>
                <w:bCs/>
                <w:color w:val="000000"/>
                <w:lang w:eastAsia="en-NZ"/>
              </w:rPr>
              <w:t>Jul-23</w:t>
            </w:r>
          </w:p>
          <w:p w14:paraId="04497A27" w14:textId="4222EB68" w:rsidR="00662800" w:rsidRPr="004851BD" w:rsidRDefault="00662800" w:rsidP="00662800">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w:t>
            </w:r>
          </w:p>
        </w:tc>
        <w:tc>
          <w:tcPr>
            <w:tcW w:w="1298" w:type="dxa"/>
            <w:tcBorders>
              <w:top w:val="single" w:sz="4" w:space="0" w:color="auto"/>
              <w:bottom w:val="single" w:sz="4" w:space="0" w:color="auto"/>
            </w:tcBorders>
            <w:shd w:val="clear" w:color="auto" w:fill="auto"/>
            <w:vAlign w:val="bottom"/>
            <w:hideMark/>
          </w:tcPr>
          <w:p w14:paraId="11DFD2DB" w14:textId="06E8256A" w:rsidR="00D705FD" w:rsidRPr="004851BD" w:rsidRDefault="00AF1CBF" w:rsidP="00D705FD">
            <w:pPr>
              <w:spacing w:after="0" w:line="240" w:lineRule="auto"/>
              <w:jc w:val="center"/>
              <w:rPr>
                <w:rFonts w:ascii="Calibri" w:eastAsia="Times New Roman" w:hAnsi="Calibri" w:cs="Calibri"/>
                <w:b/>
                <w:bCs/>
                <w:color w:val="000000"/>
                <w:lang w:eastAsia="en-NZ"/>
              </w:rPr>
            </w:pPr>
            <w:r>
              <w:rPr>
                <w:rFonts w:ascii="Calibri" w:eastAsia="Times New Roman" w:hAnsi="Calibri" w:cs="Calibri"/>
                <w:b/>
                <w:bCs/>
                <w:color w:val="000000"/>
                <w:lang w:eastAsia="en-NZ"/>
              </w:rPr>
              <w:t>5</w:t>
            </w:r>
            <w:r w:rsidR="00662800" w:rsidRPr="004851BD">
              <w:rPr>
                <w:rFonts w:ascii="Calibri" w:eastAsia="Times New Roman" w:hAnsi="Calibri" w:cs="Calibri"/>
                <w:b/>
                <w:bCs/>
                <w:color w:val="000000"/>
                <w:lang w:eastAsia="en-NZ"/>
              </w:rPr>
              <w:t xml:space="preserve"> year % expected </w:t>
            </w:r>
            <w:r w:rsidR="00873CA9" w:rsidRPr="004851BD">
              <w:rPr>
                <w:rFonts w:ascii="Calibri" w:eastAsia="Times New Roman" w:hAnsi="Calibri" w:cs="Calibri"/>
                <w:b/>
                <w:bCs/>
                <w:color w:val="000000"/>
                <w:lang w:eastAsia="en-NZ"/>
              </w:rPr>
              <w:t>i</w:t>
            </w:r>
            <w:r w:rsidR="00D705FD" w:rsidRPr="004851BD">
              <w:rPr>
                <w:rFonts w:ascii="Calibri" w:eastAsia="Times New Roman" w:hAnsi="Calibri" w:cs="Calibri"/>
                <w:b/>
                <w:bCs/>
                <w:color w:val="000000"/>
                <w:lang w:eastAsia="en-NZ"/>
              </w:rPr>
              <w:t>ncrease</w:t>
            </w:r>
          </w:p>
        </w:tc>
      </w:tr>
      <w:tr w:rsidR="00D705FD" w:rsidRPr="00D705FD" w14:paraId="63F41E4E" w14:textId="77777777" w:rsidTr="00572FDC">
        <w:trPr>
          <w:trHeight w:val="325"/>
        </w:trPr>
        <w:tc>
          <w:tcPr>
            <w:tcW w:w="2836" w:type="dxa"/>
            <w:tcBorders>
              <w:top w:val="single" w:sz="4" w:space="0" w:color="auto"/>
            </w:tcBorders>
            <w:shd w:val="clear" w:color="auto" w:fill="auto"/>
            <w:noWrap/>
            <w:vAlign w:val="bottom"/>
            <w:hideMark/>
          </w:tcPr>
          <w:p w14:paraId="34BBD42C" w14:textId="2A117EC4" w:rsidR="00D705FD" w:rsidRPr="00D705FD" w:rsidRDefault="00570E49" w:rsidP="00D705FD">
            <w:pPr>
              <w:spacing w:after="0" w:line="240" w:lineRule="auto"/>
              <w:rPr>
                <w:rFonts w:ascii="Calibri" w:eastAsia="Times New Roman" w:hAnsi="Calibri" w:cs="Calibri"/>
                <w:color w:val="000000"/>
                <w:lang w:eastAsia="en-NZ"/>
              </w:rPr>
            </w:pPr>
            <w:r>
              <w:rPr>
                <w:rFonts w:ascii="Calibri" w:eastAsia="Times New Roman" w:hAnsi="Calibri" w:cs="Calibri"/>
                <w:color w:val="000000"/>
                <w:lang w:eastAsia="en-NZ"/>
              </w:rPr>
              <w:t>1</w:t>
            </w:r>
            <w:r w:rsidR="00D705FD" w:rsidRPr="00D705FD">
              <w:rPr>
                <w:rFonts w:ascii="Calibri" w:eastAsia="Times New Roman" w:hAnsi="Calibri" w:cs="Calibri"/>
                <w:color w:val="000000"/>
                <w:lang w:eastAsia="en-NZ"/>
              </w:rPr>
              <w:t xml:space="preserve"> child &gt;13</w:t>
            </w:r>
          </w:p>
        </w:tc>
        <w:tc>
          <w:tcPr>
            <w:tcW w:w="1039" w:type="dxa"/>
            <w:tcBorders>
              <w:top w:val="single" w:sz="4" w:space="0" w:color="auto"/>
            </w:tcBorders>
            <w:shd w:val="clear" w:color="auto" w:fill="auto"/>
            <w:noWrap/>
            <w:vAlign w:val="center"/>
            <w:hideMark/>
          </w:tcPr>
          <w:p w14:paraId="24C75AA0" w14:textId="307799E0"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10,151</w:t>
            </w:r>
          </w:p>
        </w:tc>
        <w:tc>
          <w:tcPr>
            <w:tcW w:w="1039" w:type="dxa"/>
            <w:tcBorders>
              <w:top w:val="single" w:sz="4" w:space="0" w:color="auto"/>
            </w:tcBorders>
            <w:shd w:val="clear" w:color="auto" w:fill="auto"/>
            <w:noWrap/>
            <w:vAlign w:val="center"/>
            <w:hideMark/>
          </w:tcPr>
          <w:p w14:paraId="0EEC8046" w14:textId="775702D5"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10,602</w:t>
            </w:r>
          </w:p>
        </w:tc>
        <w:tc>
          <w:tcPr>
            <w:tcW w:w="1294" w:type="dxa"/>
            <w:tcBorders>
              <w:top w:val="single" w:sz="4" w:space="0" w:color="auto"/>
            </w:tcBorders>
            <w:shd w:val="clear" w:color="auto" w:fill="auto"/>
            <w:noWrap/>
            <w:vAlign w:val="center"/>
            <w:hideMark/>
          </w:tcPr>
          <w:p w14:paraId="2201B03C" w14:textId="6014AB20"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10,814</w:t>
            </w:r>
          </w:p>
        </w:tc>
        <w:tc>
          <w:tcPr>
            <w:tcW w:w="1323" w:type="dxa"/>
            <w:tcBorders>
              <w:top w:val="single" w:sz="4" w:space="0" w:color="auto"/>
            </w:tcBorders>
            <w:shd w:val="clear" w:color="auto" w:fill="auto"/>
            <w:noWrap/>
            <w:vAlign w:val="center"/>
            <w:hideMark/>
          </w:tcPr>
          <w:p w14:paraId="35D2A71E" w14:textId="13F5CD4F"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11,031</w:t>
            </w:r>
          </w:p>
        </w:tc>
        <w:tc>
          <w:tcPr>
            <w:tcW w:w="1298" w:type="dxa"/>
            <w:tcBorders>
              <w:top w:val="single" w:sz="4" w:space="0" w:color="auto"/>
            </w:tcBorders>
            <w:shd w:val="clear" w:color="auto" w:fill="auto"/>
            <w:noWrap/>
            <w:vAlign w:val="bottom"/>
            <w:hideMark/>
          </w:tcPr>
          <w:p w14:paraId="6D620203" w14:textId="77777777"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9%</w:t>
            </w:r>
          </w:p>
        </w:tc>
      </w:tr>
      <w:tr w:rsidR="00D705FD" w:rsidRPr="00D705FD" w14:paraId="6647B118" w14:textId="77777777" w:rsidTr="00572FDC">
        <w:trPr>
          <w:trHeight w:val="325"/>
        </w:trPr>
        <w:tc>
          <w:tcPr>
            <w:tcW w:w="2836" w:type="dxa"/>
            <w:shd w:val="clear" w:color="auto" w:fill="auto"/>
            <w:noWrap/>
            <w:vAlign w:val="bottom"/>
            <w:hideMark/>
          </w:tcPr>
          <w:p w14:paraId="273B81DC" w14:textId="77777777" w:rsidR="00D705FD" w:rsidRPr="00D705FD" w:rsidRDefault="00D705FD" w:rsidP="00D705FD">
            <w:pPr>
              <w:spacing w:after="0" w:line="240" w:lineRule="auto"/>
              <w:rPr>
                <w:rFonts w:ascii="Calibri" w:eastAsia="Times New Roman" w:hAnsi="Calibri" w:cs="Calibri"/>
                <w:color w:val="000000"/>
                <w:lang w:eastAsia="en-NZ"/>
              </w:rPr>
            </w:pPr>
            <w:r w:rsidRPr="00D705FD">
              <w:rPr>
                <w:rFonts w:ascii="Calibri" w:eastAsia="Times New Roman" w:hAnsi="Calibri" w:cs="Calibri"/>
                <w:color w:val="000000"/>
                <w:lang w:eastAsia="en-NZ"/>
              </w:rPr>
              <w:t>1 child&lt;13 , one&gt;13</w:t>
            </w:r>
          </w:p>
        </w:tc>
        <w:tc>
          <w:tcPr>
            <w:tcW w:w="1039" w:type="dxa"/>
            <w:shd w:val="clear" w:color="auto" w:fill="auto"/>
            <w:noWrap/>
            <w:vAlign w:val="center"/>
            <w:hideMark/>
          </w:tcPr>
          <w:p w14:paraId="30F1A180" w14:textId="57D20BA4"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15,670</w:t>
            </w:r>
          </w:p>
        </w:tc>
        <w:tc>
          <w:tcPr>
            <w:tcW w:w="1039" w:type="dxa"/>
            <w:shd w:val="clear" w:color="auto" w:fill="auto"/>
            <w:noWrap/>
            <w:vAlign w:val="center"/>
            <w:hideMark/>
          </w:tcPr>
          <w:p w14:paraId="40CD7767" w14:textId="30157868"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16,376</w:t>
            </w:r>
          </w:p>
        </w:tc>
        <w:tc>
          <w:tcPr>
            <w:tcW w:w="1294" w:type="dxa"/>
            <w:shd w:val="clear" w:color="auto" w:fill="auto"/>
            <w:noWrap/>
            <w:vAlign w:val="center"/>
            <w:hideMark/>
          </w:tcPr>
          <w:p w14:paraId="256A8455" w14:textId="42B901DA"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16,704</w:t>
            </w:r>
          </w:p>
        </w:tc>
        <w:tc>
          <w:tcPr>
            <w:tcW w:w="1323" w:type="dxa"/>
            <w:shd w:val="clear" w:color="auto" w:fill="auto"/>
            <w:noWrap/>
            <w:vAlign w:val="center"/>
            <w:hideMark/>
          </w:tcPr>
          <w:p w14:paraId="02638986" w14:textId="4E88DA64"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17,038</w:t>
            </w:r>
          </w:p>
        </w:tc>
        <w:tc>
          <w:tcPr>
            <w:tcW w:w="1298" w:type="dxa"/>
            <w:shd w:val="clear" w:color="auto" w:fill="auto"/>
            <w:noWrap/>
            <w:vAlign w:val="bottom"/>
            <w:hideMark/>
          </w:tcPr>
          <w:p w14:paraId="3F9F8896" w14:textId="77777777"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9%</w:t>
            </w:r>
          </w:p>
        </w:tc>
      </w:tr>
      <w:tr w:rsidR="00D705FD" w:rsidRPr="00D705FD" w14:paraId="4723F855" w14:textId="77777777" w:rsidTr="00572FDC">
        <w:trPr>
          <w:trHeight w:val="325"/>
        </w:trPr>
        <w:tc>
          <w:tcPr>
            <w:tcW w:w="2836" w:type="dxa"/>
            <w:shd w:val="clear" w:color="auto" w:fill="auto"/>
            <w:noWrap/>
            <w:vAlign w:val="bottom"/>
            <w:hideMark/>
          </w:tcPr>
          <w:p w14:paraId="6761C4F3" w14:textId="77777777" w:rsidR="00D705FD" w:rsidRPr="00D705FD" w:rsidRDefault="00D705FD" w:rsidP="00D705FD">
            <w:pPr>
              <w:spacing w:after="0" w:line="240" w:lineRule="auto"/>
              <w:rPr>
                <w:rFonts w:ascii="Calibri" w:eastAsia="Times New Roman" w:hAnsi="Calibri" w:cs="Calibri"/>
                <w:color w:val="000000"/>
                <w:lang w:eastAsia="en-NZ"/>
              </w:rPr>
            </w:pPr>
            <w:r w:rsidRPr="00D705FD">
              <w:rPr>
                <w:rFonts w:ascii="Calibri" w:eastAsia="Times New Roman" w:hAnsi="Calibri" w:cs="Calibri"/>
                <w:color w:val="000000"/>
                <w:lang w:eastAsia="en-NZ"/>
              </w:rPr>
              <w:t>1 child&lt;13 ,two&gt;13</w:t>
            </w:r>
          </w:p>
        </w:tc>
        <w:tc>
          <w:tcPr>
            <w:tcW w:w="1039" w:type="dxa"/>
            <w:shd w:val="clear" w:color="auto" w:fill="auto"/>
            <w:noWrap/>
            <w:vAlign w:val="center"/>
            <w:hideMark/>
          </w:tcPr>
          <w:p w14:paraId="2CCD9950" w14:textId="732F1221"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22,623</w:t>
            </w:r>
          </w:p>
        </w:tc>
        <w:tc>
          <w:tcPr>
            <w:tcW w:w="1039" w:type="dxa"/>
            <w:shd w:val="clear" w:color="auto" w:fill="auto"/>
            <w:noWrap/>
            <w:vAlign w:val="center"/>
            <w:hideMark/>
          </w:tcPr>
          <w:p w14:paraId="667F4F47" w14:textId="6FD77A17"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23,651</w:t>
            </w:r>
          </w:p>
        </w:tc>
        <w:tc>
          <w:tcPr>
            <w:tcW w:w="1294" w:type="dxa"/>
            <w:shd w:val="clear" w:color="auto" w:fill="auto"/>
            <w:noWrap/>
            <w:vAlign w:val="center"/>
            <w:hideMark/>
          </w:tcPr>
          <w:p w14:paraId="3D113FFE" w14:textId="3873B92B"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24,124</w:t>
            </w:r>
          </w:p>
        </w:tc>
        <w:tc>
          <w:tcPr>
            <w:tcW w:w="1323" w:type="dxa"/>
            <w:shd w:val="clear" w:color="auto" w:fill="auto"/>
            <w:noWrap/>
            <w:vAlign w:val="center"/>
            <w:hideMark/>
          </w:tcPr>
          <w:p w14:paraId="59D0CE03" w14:textId="4A93875A"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24,606</w:t>
            </w:r>
          </w:p>
        </w:tc>
        <w:tc>
          <w:tcPr>
            <w:tcW w:w="1298" w:type="dxa"/>
            <w:shd w:val="clear" w:color="auto" w:fill="auto"/>
            <w:noWrap/>
            <w:vAlign w:val="bottom"/>
            <w:hideMark/>
          </w:tcPr>
          <w:p w14:paraId="3A7C21A8" w14:textId="77777777"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9%</w:t>
            </w:r>
          </w:p>
        </w:tc>
      </w:tr>
      <w:tr w:rsidR="00D705FD" w:rsidRPr="00D705FD" w14:paraId="4C28498A" w14:textId="77777777" w:rsidTr="00572FDC">
        <w:trPr>
          <w:trHeight w:val="325"/>
        </w:trPr>
        <w:tc>
          <w:tcPr>
            <w:tcW w:w="2836" w:type="dxa"/>
            <w:shd w:val="clear" w:color="auto" w:fill="auto"/>
            <w:noWrap/>
            <w:vAlign w:val="bottom"/>
            <w:hideMark/>
          </w:tcPr>
          <w:p w14:paraId="49FAA799" w14:textId="3C5E9C97" w:rsidR="00D705FD" w:rsidRPr="00D705FD" w:rsidRDefault="00D705FD" w:rsidP="00D705FD">
            <w:pPr>
              <w:spacing w:after="0" w:line="240" w:lineRule="auto"/>
              <w:rPr>
                <w:rFonts w:ascii="Calibri" w:eastAsia="Times New Roman" w:hAnsi="Calibri" w:cs="Calibri"/>
                <w:color w:val="000000"/>
                <w:lang w:eastAsia="en-NZ"/>
              </w:rPr>
            </w:pPr>
            <w:r w:rsidRPr="00D705FD">
              <w:rPr>
                <w:rFonts w:ascii="Calibri" w:eastAsia="Times New Roman" w:hAnsi="Calibri" w:cs="Calibri"/>
                <w:color w:val="000000"/>
                <w:lang w:eastAsia="en-NZ"/>
              </w:rPr>
              <w:t>2 child</w:t>
            </w:r>
            <w:r w:rsidR="00570E49">
              <w:rPr>
                <w:rFonts w:ascii="Calibri" w:eastAsia="Times New Roman" w:hAnsi="Calibri" w:cs="Calibri"/>
                <w:color w:val="000000"/>
                <w:lang w:eastAsia="en-NZ"/>
              </w:rPr>
              <w:t>ren</w:t>
            </w:r>
            <w:r w:rsidRPr="00D705FD">
              <w:rPr>
                <w:rFonts w:ascii="Calibri" w:eastAsia="Times New Roman" w:hAnsi="Calibri" w:cs="Calibri"/>
                <w:color w:val="000000"/>
                <w:lang w:eastAsia="en-NZ"/>
              </w:rPr>
              <w:t>&lt;13 , two&gt;13</w:t>
            </w:r>
          </w:p>
        </w:tc>
        <w:tc>
          <w:tcPr>
            <w:tcW w:w="1039" w:type="dxa"/>
            <w:shd w:val="clear" w:color="auto" w:fill="auto"/>
            <w:noWrap/>
            <w:vAlign w:val="center"/>
            <w:hideMark/>
          </w:tcPr>
          <w:p w14:paraId="2FFC86CE" w14:textId="18BC74A5"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28,142</w:t>
            </w:r>
          </w:p>
        </w:tc>
        <w:tc>
          <w:tcPr>
            <w:tcW w:w="1039" w:type="dxa"/>
            <w:shd w:val="clear" w:color="auto" w:fill="auto"/>
            <w:noWrap/>
            <w:vAlign w:val="center"/>
            <w:hideMark/>
          </w:tcPr>
          <w:p w14:paraId="05CC47BC" w14:textId="10D39577"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29,425</w:t>
            </w:r>
          </w:p>
        </w:tc>
        <w:tc>
          <w:tcPr>
            <w:tcW w:w="1294" w:type="dxa"/>
            <w:shd w:val="clear" w:color="auto" w:fill="auto"/>
            <w:noWrap/>
            <w:vAlign w:val="center"/>
            <w:hideMark/>
          </w:tcPr>
          <w:p w14:paraId="08E8A1EF" w14:textId="2019C090"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30,013</w:t>
            </w:r>
          </w:p>
        </w:tc>
        <w:tc>
          <w:tcPr>
            <w:tcW w:w="1323" w:type="dxa"/>
            <w:shd w:val="clear" w:color="auto" w:fill="auto"/>
            <w:noWrap/>
            <w:vAlign w:val="center"/>
            <w:hideMark/>
          </w:tcPr>
          <w:p w14:paraId="5F990EDC" w14:textId="16FD0EFC"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30,613</w:t>
            </w:r>
          </w:p>
        </w:tc>
        <w:tc>
          <w:tcPr>
            <w:tcW w:w="1298" w:type="dxa"/>
            <w:shd w:val="clear" w:color="auto" w:fill="auto"/>
            <w:noWrap/>
            <w:vAlign w:val="bottom"/>
            <w:hideMark/>
          </w:tcPr>
          <w:p w14:paraId="0DDC013D" w14:textId="77777777"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9%</w:t>
            </w:r>
          </w:p>
        </w:tc>
      </w:tr>
      <w:tr w:rsidR="00D705FD" w:rsidRPr="00D705FD" w14:paraId="3F5C919A" w14:textId="77777777" w:rsidTr="00572FDC">
        <w:trPr>
          <w:trHeight w:val="325"/>
        </w:trPr>
        <w:tc>
          <w:tcPr>
            <w:tcW w:w="2836" w:type="dxa"/>
            <w:shd w:val="clear" w:color="auto" w:fill="auto"/>
            <w:noWrap/>
            <w:vAlign w:val="bottom"/>
            <w:hideMark/>
          </w:tcPr>
          <w:p w14:paraId="409A1ECE" w14:textId="696B2FEC" w:rsidR="00D705FD" w:rsidRPr="00D705FD" w:rsidRDefault="00D705FD" w:rsidP="00D705FD">
            <w:pPr>
              <w:spacing w:after="0" w:line="240" w:lineRule="auto"/>
              <w:rPr>
                <w:rFonts w:ascii="Calibri" w:eastAsia="Times New Roman" w:hAnsi="Calibri" w:cs="Calibri"/>
                <w:color w:val="000000"/>
                <w:lang w:eastAsia="en-NZ"/>
              </w:rPr>
            </w:pPr>
            <w:r w:rsidRPr="00D705FD">
              <w:rPr>
                <w:rFonts w:ascii="Calibri" w:eastAsia="Times New Roman" w:hAnsi="Calibri" w:cs="Calibri"/>
                <w:color w:val="000000"/>
                <w:lang w:eastAsia="en-NZ"/>
              </w:rPr>
              <w:t>3 child</w:t>
            </w:r>
            <w:r w:rsidR="00570E49">
              <w:rPr>
                <w:rFonts w:ascii="Calibri" w:eastAsia="Times New Roman" w:hAnsi="Calibri" w:cs="Calibri"/>
                <w:color w:val="000000"/>
                <w:lang w:eastAsia="en-NZ"/>
              </w:rPr>
              <w:t>ren</w:t>
            </w:r>
            <w:r w:rsidRPr="00D705FD">
              <w:rPr>
                <w:rFonts w:ascii="Calibri" w:eastAsia="Times New Roman" w:hAnsi="Calibri" w:cs="Calibri"/>
                <w:color w:val="000000"/>
                <w:lang w:eastAsia="en-NZ"/>
              </w:rPr>
              <w:t>&lt;13 , two&gt;13</w:t>
            </w:r>
          </w:p>
        </w:tc>
        <w:tc>
          <w:tcPr>
            <w:tcW w:w="1039" w:type="dxa"/>
            <w:shd w:val="clear" w:color="auto" w:fill="auto"/>
            <w:noWrap/>
            <w:vAlign w:val="center"/>
            <w:hideMark/>
          </w:tcPr>
          <w:p w14:paraId="739C9F59" w14:textId="053495A5"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33,661</w:t>
            </w:r>
          </w:p>
        </w:tc>
        <w:tc>
          <w:tcPr>
            <w:tcW w:w="1039" w:type="dxa"/>
            <w:shd w:val="clear" w:color="auto" w:fill="auto"/>
            <w:noWrap/>
            <w:vAlign w:val="center"/>
            <w:hideMark/>
          </w:tcPr>
          <w:p w14:paraId="5A9A035B" w14:textId="4D5D81FB"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35,199</w:t>
            </w:r>
          </w:p>
        </w:tc>
        <w:tc>
          <w:tcPr>
            <w:tcW w:w="1294" w:type="dxa"/>
            <w:shd w:val="clear" w:color="auto" w:fill="auto"/>
            <w:noWrap/>
            <w:vAlign w:val="center"/>
            <w:hideMark/>
          </w:tcPr>
          <w:p w14:paraId="617F94CC" w14:textId="17504604"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35,903</w:t>
            </w:r>
          </w:p>
        </w:tc>
        <w:tc>
          <w:tcPr>
            <w:tcW w:w="1323" w:type="dxa"/>
            <w:shd w:val="clear" w:color="auto" w:fill="auto"/>
            <w:noWrap/>
            <w:vAlign w:val="center"/>
            <w:hideMark/>
          </w:tcPr>
          <w:p w14:paraId="767C2EAC" w14:textId="7D9AB408"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36,621</w:t>
            </w:r>
          </w:p>
        </w:tc>
        <w:tc>
          <w:tcPr>
            <w:tcW w:w="1298" w:type="dxa"/>
            <w:shd w:val="clear" w:color="auto" w:fill="auto"/>
            <w:noWrap/>
            <w:vAlign w:val="bottom"/>
            <w:hideMark/>
          </w:tcPr>
          <w:p w14:paraId="15177127" w14:textId="77777777"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9%</w:t>
            </w:r>
          </w:p>
        </w:tc>
      </w:tr>
      <w:tr w:rsidR="00D705FD" w:rsidRPr="00D705FD" w14:paraId="4F621F2B" w14:textId="77777777" w:rsidTr="00572FDC">
        <w:trPr>
          <w:trHeight w:val="325"/>
        </w:trPr>
        <w:tc>
          <w:tcPr>
            <w:tcW w:w="2836" w:type="dxa"/>
            <w:shd w:val="clear" w:color="auto" w:fill="auto"/>
            <w:noWrap/>
            <w:vAlign w:val="bottom"/>
            <w:hideMark/>
          </w:tcPr>
          <w:p w14:paraId="5D4A8FC5" w14:textId="685448BE" w:rsidR="00D705FD" w:rsidRPr="00D705FD" w:rsidRDefault="00D705FD" w:rsidP="00D705FD">
            <w:pPr>
              <w:spacing w:after="0" w:line="240" w:lineRule="auto"/>
              <w:rPr>
                <w:rFonts w:ascii="Calibri" w:eastAsia="Times New Roman" w:hAnsi="Calibri" w:cs="Calibri"/>
                <w:color w:val="000000"/>
                <w:lang w:eastAsia="en-NZ"/>
              </w:rPr>
            </w:pPr>
            <w:r w:rsidRPr="00D705FD">
              <w:rPr>
                <w:rFonts w:ascii="Calibri" w:eastAsia="Times New Roman" w:hAnsi="Calibri" w:cs="Calibri"/>
                <w:color w:val="000000"/>
                <w:lang w:eastAsia="en-NZ"/>
              </w:rPr>
              <w:t>4 child</w:t>
            </w:r>
            <w:r w:rsidR="00570E49">
              <w:rPr>
                <w:rFonts w:ascii="Calibri" w:eastAsia="Times New Roman" w:hAnsi="Calibri" w:cs="Calibri"/>
                <w:color w:val="000000"/>
                <w:lang w:eastAsia="en-NZ"/>
              </w:rPr>
              <w:t>ren</w:t>
            </w:r>
            <w:r w:rsidRPr="00D705FD">
              <w:rPr>
                <w:rFonts w:ascii="Calibri" w:eastAsia="Times New Roman" w:hAnsi="Calibri" w:cs="Calibri"/>
                <w:color w:val="000000"/>
                <w:lang w:eastAsia="en-NZ"/>
              </w:rPr>
              <w:t>&lt;13 , two&gt;13</w:t>
            </w:r>
          </w:p>
        </w:tc>
        <w:tc>
          <w:tcPr>
            <w:tcW w:w="1039" w:type="dxa"/>
            <w:shd w:val="clear" w:color="auto" w:fill="auto"/>
            <w:noWrap/>
            <w:vAlign w:val="center"/>
            <w:hideMark/>
          </w:tcPr>
          <w:p w14:paraId="107A55B5" w14:textId="32F99A08"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39,179</w:t>
            </w:r>
          </w:p>
        </w:tc>
        <w:tc>
          <w:tcPr>
            <w:tcW w:w="1039" w:type="dxa"/>
            <w:shd w:val="clear" w:color="auto" w:fill="auto"/>
            <w:noWrap/>
            <w:vAlign w:val="center"/>
            <w:hideMark/>
          </w:tcPr>
          <w:p w14:paraId="4036ABC3" w14:textId="2C96F9F4"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40,973</w:t>
            </w:r>
          </w:p>
        </w:tc>
        <w:tc>
          <w:tcPr>
            <w:tcW w:w="1294" w:type="dxa"/>
            <w:shd w:val="clear" w:color="auto" w:fill="auto"/>
            <w:noWrap/>
            <w:vAlign w:val="center"/>
            <w:hideMark/>
          </w:tcPr>
          <w:p w14:paraId="0C683BB9" w14:textId="36FFBF56"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41,792</w:t>
            </w:r>
          </w:p>
        </w:tc>
        <w:tc>
          <w:tcPr>
            <w:tcW w:w="1323" w:type="dxa"/>
            <w:shd w:val="clear" w:color="auto" w:fill="auto"/>
            <w:noWrap/>
            <w:vAlign w:val="center"/>
            <w:hideMark/>
          </w:tcPr>
          <w:p w14:paraId="15C7E08E" w14:textId="0C5C1AD7"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42,628</w:t>
            </w:r>
          </w:p>
        </w:tc>
        <w:tc>
          <w:tcPr>
            <w:tcW w:w="1298" w:type="dxa"/>
            <w:shd w:val="clear" w:color="auto" w:fill="auto"/>
            <w:noWrap/>
            <w:vAlign w:val="bottom"/>
            <w:hideMark/>
          </w:tcPr>
          <w:p w14:paraId="2FFE71D7" w14:textId="77777777" w:rsidR="00D705FD" w:rsidRPr="00D705FD" w:rsidRDefault="00D705FD" w:rsidP="00900E80">
            <w:pPr>
              <w:spacing w:after="0" w:line="240" w:lineRule="auto"/>
              <w:jc w:val="center"/>
              <w:rPr>
                <w:rFonts w:ascii="Calibri" w:eastAsia="Times New Roman" w:hAnsi="Calibri" w:cs="Calibri"/>
                <w:color w:val="000000"/>
                <w:lang w:eastAsia="en-NZ"/>
              </w:rPr>
            </w:pPr>
            <w:r w:rsidRPr="00D705FD">
              <w:rPr>
                <w:rFonts w:ascii="Calibri" w:eastAsia="Times New Roman" w:hAnsi="Calibri" w:cs="Calibri"/>
                <w:color w:val="000000"/>
                <w:lang w:eastAsia="en-NZ"/>
              </w:rPr>
              <w:t>9%</w:t>
            </w:r>
          </w:p>
        </w:tc>
      </w:tr>
    </w:tbl>
    <w:p w14:paraId="346F5BA5" w14:textId="77777777" w:rsidR="0033230B" w:rsidRDefault="0033230B" w:rsidP="00E37EE6">
      <w:pPr>
        <w:spacing w:before="120"/>
      </w:pPr>
    </w:p>
    <w:p w14:paraId="2C9C0183" w14:textId="36D56ACF" w:rsidR="00900E80" w:rsidRPr="007718FE" w:rsidRDefault="00714B49" w:rsidP="00E37EE6">
      <w:pPr>
        <w:spacing w:before="120"/>
      </w:pPr>
      <w:r>
        <w:t>T</w:t>
      </w:r>
      <w:r w:rsidR="00CE5F1C">
        <w:t>able</w:t>
      </w:r>
      <w:r w:rsidR="008560D8">
        <w:t>s</w:t>
      </w:r>
      <w:r w:rsidR="00CE5F1C">
        <w:t xml:space="preserve"> </w:t>
      </w:r>
      <w:r w:rsidR="0010371B">
        <w:t>4</w:t>
      </w:r>
      <w:r w:rsidR="008560D8">
        <w:t>a &amp; 4b</w:t>
      </w:r>
      <w:r w:rsidR="00CE5F1C">
        <w:t xml:space="preserve"> compare the maximum child-related tax credits</w:t>
      </w:r>
      <w:r w:rsidR="00583930">
        <w:t xml:space="preserve"> in both countries</w:t>
      </w:r>
      <w:r w:rsidR="003C6874">
        <w:t xml:space="preserve"> as at 1 July 2021</w:t>
      </w:r>
      <w:r w:rsidR="008560D8">
        <w:t xml:space="preserve"> and 1 July 2023 (estimated)</w:t>
      </w:r>
      <w:r w:rsidR="00CE54ED">
        <w:t xml:space="preserve">. </w:t>
      </w:r>
      <w:r>
        <w:t>It</w:t>
      </w:r>
      <w:r w:rsidR="00645FA8">
        <w:t xml:space="preserve"> shows </w:t>
      </w:r>
      <w:r w:rsidR="00DD22FE">
        <w:t xml:space="preserve">that </w:t>
      </w:r>
      <w:r w:rsidR="00645FA8">
        <w:t>f</w:t>
      </w:r>
      <w:r w:rsidR="00CE54ED">
        <w:t xml:space="preserve">or families </w:t>
      </w:r>
      <w:r>
        <w:t>off-</w:t>
      </w:r>
      <w:r w:rsidR="00CE54ED">
        <w:t>benefit</w:t>
      </w:r>
      <w:r>
        <w:t>,</w:t>
      </w:r>
      <w:r w:rsidR="00CE54ED">
        <w:t xml:space="preserve"> the maximum Australian tax benefits are more generous than in New Zealand</w:t>
      </w:r>
      <w:r w:rsidR="00CD4594">
        <w:t>, especially as family size increases</w:t>
      </w:r>
      <w:r w:rsidR="00DB423B">
        <w:t xml:space="preserve"> and when</w:t>
      </w:r>
      <w:r w:rsidR="00214A5F">
        <w:t xml:space="preserve"> higher rates for older</w:t>
      </w:r>
      <w:r w:rsidR="00CD4594">
        <w:t xml:space="preserve"> </w:t>
      </w:r>
      <w:r w:rsidR="00214A5F">
        <w:t xml:space="preserve">children </w:t>
      </w:r>
      <w:r w:rsidR="00DB423B">
        <w:t xml:space="preserve">apply. </w:t>
      </w:r>
      <w:r w:rsidR="002255C7">
        <w:t>The</w:t>
      </w:r>
      <w:r w:rsidR="00B334F7">
        <w:t xml:space="preserve"> relative generosity </w:t>
      </w:r>
      <w:r w:rsidR="002255C7">
        <w:t xml:space="preserve">must also be viewed in the light of </w:t>
      </w:r>
      <w:r w:rsidR="0045043B">
        <w:t>T</w:t>
      </w:r>
      <w:r w:rsidR="002255C7">
        <w:t>able 2</w:t>
      </w:r>
      <w:r w:rsidR="0045043B">
        <w:t xml:space="preserve"> where the tax environment for low</w:t>
      </w:r>
      <w:r w:rsidR="00C4775E">
        <w:t>-</w:t>
      </w:r>
      <w:r w:rsidR="0045043B">
        <w:t xml:space="preserve">income families is </w:t>
      </w:r>
      <w:r w:rsidR="00C4775E">
        <w:t xml:space="preserve">much </w:t>
      </w:r>
      <w:r w:rsidR="0045043B">
        <w:t>more benign.</w:t>
      </w:r>
    </w:p>
    <w:p w14:paraId="258B98C4" w14:textId="77777777" w:rsidR="001B540A" w:rsidRDefault="001B540A">
      <w:pPr>
        <w:rPr>
          <w:b/>
          <w:bCs/>
        </w:rPr>
      </w:pPr>
      <w:r>
        <w:rPr>
          <w:b/>
          <w:bCs/>
        </w:rPr>
        <w:br w:type="page"/>
      </w:r>
    </w:p>
    <w:p w14:paraId="00B28427" w14:textId="6E9195A3" w:rsidR="003C6874" w:rsidRDefault="00583930" w:rsidP="00486A59">
      <w:pPr>
        <w:spacing w:after="0"/>
        <w:rPr>
          <w:b/>
          <w:bCs/>
        </w:rPr>
      </w:pPr>
      <w:r w:rsidRPr="00B13CF6">
        <w:rPr>
          <w:b/>
          <w:bCs/>
        </w:rPr>
        <w:lastRenderedPageBreak/>
        <w:t xml:space="preserve">Table </w:t>
      </w:r>
      <w:r w:rsidR="0010371B">
        <w:rPr>
          <w:b/>
          <w:bCs/>
        </w:rPr>
        <w:t>4</w:t>
      </w:r>
      <w:r w:rsidR="008560D8">
        <w:rPr>
          <w:b/>
          <w:bCs/>
        </w:rPr>
        <w:t>a</w:t>
      </w:r>
      <w:r w:rsidRPr="00B13CF6">
        <w:rPr>
          <w:b/>
          <w:bCs/>
        </w:rPr>
        <w:t xml:space="preserve">. </w:t>
      </w:r>
      <w:r w:rsidR="00214A5F">
        <w:rPr>
          <w:b/>
          <w:bCs/>
        </w:rPr>
        <w:t>Comparison</w:t>
      </w:r>
      <w:r w:rsidR="00810561">
        <w:rPr>
          <w:b/>
          <w:bCs/>
        </w:rPr>
        <w:t xml:space="preserve"> </w:t>
      </w:r>
      <w:r w:rsidR="005C3657">
        <w:rPr>
          <w:b/>
          <w:bCs/>
        </w:rPr>
        <w:t xml:space="preserve">of </w:t>
      </w:r>
      <w:r w:rsidR="00283F4C">
        <w:rPr>
          <w:b/>
          <w:bCs/>
        </w:rPr>
        <w:t xml:space="preserve">annualised </w:t>
      </w:r>
      <w:r w:rsidR="005C3657">
        <w:rPr>
          <w:b/>
          <w:bCs/>
        </w:rPr>
        <w:t xml:space="preserve">entitlements in NZ and </w:t>
      </w:r>
      <w:r w:rsidR="00810561">
        <w:rPr>
          <w:b/>
          <w:bCs/>
        </w:rPr>
        <w:t xml:space="preserve">Australia for </w:t>
      </w:r>
      <w:r w:rsidR="005C3657">
        <w:rPr>
          <w:b/>
          <w:bCs/>
        </w:rPr>
        <w:t>low-income families receiving and not receiving main benefits</w:t>
      </w:r>
      <w:r w:rsidR="00837125">
        <w:rPr>
          <w:b/>
          <w:bCs/>
        </w:rPr>
        <w:t xml:space="preserve">, </w:t>
      </w:r>
      <w:r w:rsidR="00AF1CBF">
        <w:rPr>
          <w:b/>
          <w:bCs/>
        </w:rPr>
        <w:t>as at</w:t>
      </w:r>
      <w:r w:rsidR="008560D8">
        <w:rPr>
          <w:b/>
          <w:bCs/>
        </w:rPr>
        <w:t xml:space="preserve"> </w:t>
      </w:r>
      <w:r w:rsidR="00C75091">
        <w:rPr>
          <w:b/>
          <w:bCs/>
        </w:rPr>
        <w:t>1 July</w:t>
      </w:r>
      <w:r w:rsidR="00486A59">
        <w:rPr>
          <w:b/>
          <w:bCs/>
        </w:rPr>
        <w:t xml:space="preserve"> 202</w:t>
      </w:r>
      <w:r w:rsidR="009D5671">
        <w:rPr>
          <w:b/>
          <w:bCs/>
        </w:rPr>
        <w:t>1</w:t>
      </w:r>
      <w:r w:rsidR="00506682">
        <w:rPr>
          <w:b/>
          <w:bCs/>
        </w:rPr>
        <w:t>**</w:t>
      </w:r>
      <w:r w:rsidRPr="00B13CF6">
        <w:rPr>
          <w:b/>
          <w:bCs/>
        </w:rPr>
        <w:t xml:space="preserve"> </w:t>
      </w:r>
    </w:p>
    <w:tbl>
      <w:tblPr>
        <w:tblW w:w="0" w:type="auto"/>
        <w:tblInd w:w="-45" w:type="dxa"/>
        <w:tblLayout w:type="fixed"/>
        <w:tblCellMar>
          <w:left w:w="30" w:type="dxa"/>
          <w:right w:w="30" w:type="dxa"/>
        </w:tblCellMar>
        <w:tblLook w:val="0000" w:firstRow="0" w:lastRow="0" w:firstColumn="0" w:lastColumn="0" w:noHBand="0" w:noVBand="0"/>
      </w:tblPr>
      <w:tblGrid>
        <w:gridCol w:w="1653"/>
        <w:gridCol w:w="1352"/>
        <w:gridCol w:w="1055"/>
        <w:gridCol w:w="1253"/>
        <w:gridCol w:w="1508"/>
        <w:gridCol w:w="1791"/>
      </w:tblGrid>
      <w:tr w:rsidR="003C6874" w14:paraId="6513A69E" w14:textId="77777777" w:rsidTr="00283F4C">
        <w:trPr>
          <w:trHeight w:val="1215"/>
        </w:trPr>
        <w:tc>
          <w:tcPr>
            <w:tcW w:w="1653" w:type="dxa"/>
            <w:tcBorders>
              <w:top w:val="single" w:sz="8" w:space="0" w:color="auto"/>
              <w:left w:val="single" w:sz="8" w:space="0" w:color="auto"/>
              <w:bottom w:val="single" w:sz="8" w:space="0" w:color="auto"/>
            </w:tcBorders>
            <w:vAlign w:val="bottom"/>
          </w:tcPr>
          <w:p w14:paraId="75B6C797" w14:textId="77777777" w:rsidR="003C6874" w:rsidRDefault="003C6874" w:rsidP="00873CA9">
            <w:pPr>
              <w:autoSpaceDE w:val="0"/>
              <w:autoSpaceDN w:val="0"/>
              <w:adjustRightInd w:val="0"/>
              <w:spacing w:after="0" w:line="240" w:lineRule="auto"/>
              <w:jc w:val="center"/>
              <w:rPr>
                <w:rFonts w:ascii="Calibri" w:hAnsi="Calibri" w:cs="Calibri"/>
                <w:color w:val="000000"/>
              </w:rPr>
            </w:pPr>
          </w:p>
          <w:p w14:paraId="3F0CCA93" w14:textId="1C44802B"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up to 2 children over 13*</w:t>
            </w:r>
          </w:p>
        </w:tc>
        <w:tc>
          <w:tcPr>
            <w:tcW w:w="1352" w:type="dxa"/>
            <w:tcBorders>
              <w:top w:val="single" w:sz="8" w:space="0" w:color="auto"/>
              <w:bottom w:val="single" w:sz="8" w:space="0" w:color="auto"/>
            </w:tcBorders>
            <w:vAlign w:val="bottom"/>
          </w:tcPr>
          <w:p w14:paraId="7466A1A7" w14:textId="1644CF89" w:rsidR="003C6874" w:rsidRDefault="003C6874" w:rsidP="00873CA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NZ </w:t>
            </w:r>
            <w:r w:rsidR="00DD22FE">
              <w:rPr>
                <w:rFonts w:ascii="Calibri" w:hAnsi="Calibri" w:cs="Calibri"/>
                <w:b/>
                <w:bCs/>
                <w:color w:val="000000"/>
              </w:rPr>
              <w:t>off-</w:t>
            </w:r>
            <w:r>
              <w:rPr>
                <w:rFonts w:ascii="Calibri" w:hAnsi="Calibri" w:cs="Calibri"/>
                <w:b/>
                <w:bCs/>
                <w:color w:val="000000"/>
              </w:rPr>
              <w:t>benefit</w:t>
            </w:r>
          </w:p>
          <w:p w14:paraId="68C43574" w14:textId="1FCD3DD1" w:rsidR="00873CA9" w:rsidRDefault="00873CA9" w:rsidP="00873CA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NZD</w:t>
            </w:r>
          </w:p>
        </w:tc>
        <w:tc>
          <w:tcPr>
            <w:tcW w:w="1055" w:type="dxa"/>
            <w:tcBorders>
              <w:top w:val="single" w:sz="8" w:space="0" w:color="auto"/>
              <w:bottom w:val="single" w:sz="8" w:space="0" w:color="auto"/>
            </w:tcBorders>
            <w:shd w:val="solid" w:color="FFFFFF" w:fill="auto"/>
            <w:vAlign w:val="bottom"/>
          </w:tcPr>
          <w:p w14:paraId="4A438AFE" w14:textId="68DA688C" w:rsidR="00873CA9" w:rsidRDefault="003C6874" w:rsidP="00873CA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NZ </w:t>
            </w:r>
            <w:r w:rsidR="00DD22FE">
              <w:rPr>
                <w:rFonts w:ascii="Calibri" w:hAnsi="Calibri" w:cs="Calibri"/>
                <w:b/>
                <w:bCs/>
                <w:color w:val="000000"/>
              </w:rPr>
              <w:t>o</w:t>
            </w:r>
            <w:r>
              <w:rPr>
                <w:rFonts w:ascii="Calibri" w:hAnsi="Calibri" w:cs="Calibri"/>
                <w:b/>
                <w:bCs/>
                <w:color w:val="000000"/>
              </w:rPr>
              <w:t>n benefit</w:t>
            </w:r>
            <w:r w:rsidR="00873CA9">
              <w:rPr>
                <w:rFonts w:ascii="Calibri" w:hAnsi="Calibri" w:cs="Calibri"/>
                <w:b/>
                <w:bCs/>
                <w:color w:val="000000"/>
              </w:rPr>
              <w:t xml:space="preserve"> NZD</w:t>
            </w:r>
          </w:p>
        </w:tc>
        <w:tc>
          <w:tcPr>
            <w:tcW w:w="1253" w:type="dxa"/>
            <w:tcBorders>
              <w:top w:val="single" w:sz="8" w:space="0" w:color="auto"/>
              <w:bottom w:val="single" w:sz="8" w:space="0" w:color="auto"/>
            </w:tcBorders>
            <w:shd w:val="solid" w:color="FFFFFF" w:fill="auto"/>
            <w:vAlign w:val="bottom"/>
          </w:tcPr>
          <w:p w14:paraId="1C3802AD" w14:textId="6F118347" w:rsidR="003C6874" w:rsidRDefault="003C6874" w:rsidP="00873CA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Australia: all low incomes</w:t>
            </w:r>
            <w:r w:rsidR="00873CA9">
              <w:rPr>
                <w:rFonts w:ascii="Calibri" w:hAnsi="Calibri" w:cs="Calibri"/>
                <w:b/>
                <w:bCs/>
                <w:color w:val="000000"/>
              </w:rPr>
              <w:t xml:space="preserve"> AUD</w:t>
            </w:r>
          </w:p>
        </w:tc>
        <w:tc>
          <w:tcPr>
            <w:tcW w:w="1508" w:type="dxa"/>
            <w:tcBorders>
              <w:top w:val="single" w:sz="8" w:space="0" w:color="auto"/>
              <w:bottom w:val="single" w:sz="8" w:space="0" w:color="auto"/>
            </w:tcBorders>
            <w:vAlign w:val="bottom"/>
          </w:tcPr>
          <w:p w14:paraId="2BCB5681" w14:textId="2BD32FA6" w:rsidR="003C6874" w:rsidRDefault="003C6874" w:rsidP="00873CA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 xml:space="preserve">Difference </w:t>
            </w:r>
            <w:r w:rsidR="00DD22FE">
              <w:rPr>
                <w:rFonts w:ascii="Calibri" w:hAnsi="Calibri" w:cs="Calibri"/>
                <w:b/>
                <w:bCs/>
                <w:color w:val="000000"/>
              </w:rPr>
              <w:t xml:space="preserve">NZ vs Australia </w:t>
            </w:r>
            <w:r w:rsidR="00984E69">
              <w:rPr>
                <w:rFonts w:ascii="Calibri" w:hAnsi="Calibri" w:cs="Calibri"/>
                <w:b/>
                <w:bCs/>
                <w:color w:val="000000"/>
              </w:rPr>
              <w:t xml:space="preserve">off </w:t>
            </w:r>
            <w:r>
              <w:rPr>
                <w:rFonts w:ascii="Calibri" w:hAnsi="Calibri" w:cs="Calibri"/>
                <w:b/>
                <w:bCs/>
                <w:color w:val="000000"/>
              </w:rPr>
              <w:t>benefit $</w:t>
            </w:r>
            <w:r w:rsidR="00873CA9">
              <w:rPr>
                <w:rFonts w:ascii="Calibri" w:hAnsi="Calibri" w:cs="Calibri"/>
                <w:b/>
                <w:bCs/>
                <w:color w:val="000000"/>
              </w:rPr>
              <w:t>**</w:t>
            </w:r>
          </w:p>
        </w:tc>
        <w:tc>
          <w:tcPr>
            <w:tcW w:w="1791" w:type="dxa"/>
            <w:tcBorders>
              <w:top w:val="single" w:sz="8" w:space="0" w:color="auto"/>
              <w:bottom w:val="single" w:sz="8" w:space="0" w:color="auto"/>
              <w:right w:val="single" w:sz="8" w:space="0" w:color="auto"/>
            </w:tcBorders>
            <w:vAlign w:val="bottom"/>
          </w:tcPr>
          <w:p w14:paraId="32C25A6C" w14:textId="74A3B916" w:rsidR="003C6874" w:rsidRDefault="003C6874" w:rsidP="00873CA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Difference</w:t>
            </w:r>
            <w:r w:rsidR="00DD22FE">
              <w:rPr>
                <w:rFonts w:ascii="Calibri" w:hAnsi="Calibri" w:cs="Calibri"/>
                <w:b/>
                <w:bCs/>
                <w:color w:val="000000"/>
              </w:rPr>
              <w:t xml:space="preserve"> NZ vs Australia</w:t>
            </w:r>
            <w:r>
              <w:rPr>
                <w:rFonts w:ascii="Calibri" w:hAnsi="Calibri" w:cs="Calibri"/>
                <w:b/>
                <w:bCs/>
                <w:color w:val="000000"/>
              </w:rPr>
              <w:t xml:space="preserve"> on benefit $</w:t>
            </w:r>
            <w:r w:rsidR="00873CA9">
              <w:rPr>
                <w:rFonts w:ascii="Calibri" w:hAnsi="Calibri" w:cs="Calibri"/>
                <w:b/>
                <w:bCs/>
                <w:color w:val="000000"/>
              </w:rPr>
              <w:t>**</w:t>
            </w:r>
          </w:p>
        </w:tc>
      </w:tr>
      <w:tr w:rsidR="003C6874" w14:paraId="4411FAF5" w14:textId="77777777" w:rsidTr="00283F4C">
        <w:trPr>
          <w:trHeight w:val="303"/>
        </w:trPr>
        <w:tc>
          <w:tcPr>
            <w:tcW w:w="1653" w:type="dxa"/>
            <w:tcBorders>
              <w:top w:val="single" w:sz="8" w:space="0" w:color="auto"/>
              <w:left w:val="single" w:sz="8" w:space="0" w:color="auto"/>
            </w:tcBorders>
          </w:tcPr>
          <w:p w14:paraId="3DEBDCE1" w14:textId="5E161AE5" w:rsidR="003C6874" w:rsidRDefault="00D906D9">
            <w:pPr>
              <w:autoSpaceDE w:val="0"/>
              <w:autoSpaceDN w:val="0"/>
              <w:adjustRightInd w:val="0"/>
              <w:spacing w:after="0" w:line="240" w:lineRule="auto"/>
              <w:rPr>
                <w:rFonts w:ascii="Calibri" w:hAnsi="Calibri" w:cs="Calibri"/>
                <w:color w:val="000000"/>
              </w:rPr>
            </w:pPr>
            <w:r>
              <w:rPr>
                <w:rFonts w:ascii="Calibri" w:hAnsi="Calibri" w:cs="Calibri"/>
                <w:color w:val="000000"/>
              </w:rPr>
              <w:t>1-</w:t>
            </w:r>
            <w:r w:rsidR="003C6874">
              <w:rPr>
                <w:rFonts w:ascii="Calibri" w:hAnsi="Calibri" w:cs="Calibri"/>
                <w:color w:val="000000"/>
              </w:rPr>
              <w:t>child family</w:t>
            </w:r>
          </w:p>
        </w:tc>
        <w:tc>
          <w:tcPr>
            <w:tcW w:w="1352" w:type="dxa"/>
            <w:tcBorders>
              <w:top w:val="single" w:sz="8" w:space="0" w:color="auto"/>
            </w:tcBorders>
            <w:vAlign w:val="center"/>
          </w:tcPr>
          <w:p w14:paraId="1C8589A5"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$9,648</w:t>
            </w:r>
          </w:p>
        </w:tc>
        <w:tc>
          <w:tcPr>
            <w:tcW w:w="1055" w:type="dxa"/>
            <w:tcBorders>
              <w:top w:val="single" w:sz="8" w:space="0" w:color="auto"/>
            </w:tcBorders>
            <w:shd w:val="solid" w:color="FFFFFF" w:fill="auto"/>
            <w:vAlign w:val="center"/>
          </w:tcPr>
          <w:p w14:paraId="49FE339E"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$5,878</w:t>
            </w:r>
          </w:p>
        </w:tc>
        <w:tc>
          <w:tcPr>
            <w:tcW w:w="1253" w:type="dxa"/>
            <w:tcBorders>
              <w:top w:val="single" w:sz="8" w:space="0" w:color="auto"/>
            </w:tcBorders>
            <w:shd w:val="solid" w:color="FFFFFF" w:fill="auto"/>
            <w:vAlign w:val="center"/>
          </w:tcPr>
          <w:p w14:paraId="380F0279"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$10,602</w:t>
            </w:r>
          </w:p>
        </w:tc>
        <w:tc>
          <w:tcPr>
            <w:tcW w:w="1508" w:type="dxa"/>
            <w:tcBorders>
              <w:top w:val="single" w:sz="8" w:space="0" w:color="auto"/>
            </w:tcBorders>
            <w:vAlign w:val="center"/>
          </w:tcPr>
          <w:p w14:paraId="32DEC023" w14:textId="28FEA65B"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$954</w:t>
            </w:r>
          </w:p>
        </w:tc>
        <w:tc>
          <w:tcPr>
            <w:tcW w:w="1791" w:type="dxa"/>
            <w:tcBorders>
              <w:top w:val="single" w:sz="8" w:space="0" w:color="auto"/>
              <w:right w:val="single" w:sz="8" w:space="0" w:color="auto"/>
            </w:tcBorders>
            <w:vAlign w:val="center"/>
          </w:tcPr>
          <w:p w14:paraId="267DD2F0" w14:textId="2C2E0D16"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$4,724</w:t>
            </w:r>
          </w:p>
        </w:tc>
      </w:tr>
      <w:tr w:rsidR="003C6874" w14:paraId="1B797EB5" w14:textId="77777777" w:rsidTr="00283F4C">
        <w:trPr>
          <w:trHeight w:val="303"/>
        </w:trPr>
        <w:tc>
          <w:tcPr>
            <w:tcW w:w="1653" w:type="dxa"/>
            <w:tcBorders>
              <w:left w:val="single" w:sz="8" w:space="0" w:color="auto"/>
            </w:tcBorders>
          </w:tcPr>
          <w:p w14:paraId="00D56492" w14:textId="3DC7DCC7" w:rsidR="003C6874" w:rsidRDefault="003C6874">
            <w:pPr>
              <w:autoSpaceDE w:val="0"/>
              <w:autoSpaceDN w:val="0"/>
              <w:adjustRightInd w:val="0"/>
              <w:spacing w:after="0" w:line="240" w:lineRule="auto"/>
              <w:rPr>
                <w:rFonts w:ascii="Calibri" w:hAnsi="Calibri" w:cs="Calibri"/>
                <w:color w:val="000000"/>
              </w:rPr>
            </w:pPr>
            <w:r>
              <w:rPr>
                <w:rFonts w:ascii="Calibri" w:hAnsi="Calibri" w:cs="Calibri"/>
                <w:color w:val="000000"/>
              </w:rPr>
              <w:t>2</w:t>
            </w:r>
            <w:r w:rsidR="00D906D9">
              <w:rPr>
                <w:rFonts w:ascii="Calibri" w:hAnsi="Calibri" w:cs="Calibri"/>
                <w:color w:val="000000"/>
              </w:rPr>
              <w:t>-</w:t>
            </w:r>
            <w:r>
              <w:rPr>
                <w:rFonts w:ascii="Calibri" w:hAnsi="Calibri" w:cs="Calibri"/>
                <w:color w:val="000000"/>
              </w:rPr>
              <w:t>child family</w:t>
            </w:r>
          </w:p>
        </w:tc>
        <w:tc>
          <w:tcPr>
            <w:tcW w:w="1352" w:type="dxa"/>
            <w:vAlign w:val="center"/>
          </w:tcPr>
          <w:p w14:paraId="157FE72B"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$14,380</w:t>
            </w:r>
          </w:p>
        </w:tc>
        <w:tc>
          <w:tcPr>
            <w:tcW w:w="1055" w:type="dxa"/>
            <w:shd w:val="solid" w:color="FFFFFF" w:fill="auto"/>
            <w:vAlign w:val="center"/>
          </w:tcPr>
          <w:p w14:paraId="66D423F4"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$10,610</w:t>
            </w:r>
          </w:p>
        </w:tc>
        <w:tc>
          <w:tcPr>
            <w:tcW w:w="1253" w:type="dxa"/>
            <w:shd w:val="solid" w:color="FFFFFF" w:fill="auto"/>
            <w:vAlign w:val="center"/>
          </w:tcPr>
          <w:p w14:paraId="737429FB"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$16,376</w:t>
            </w:r>
          </w:p>
        </w:tc>
        <w:tc>
          <w:tcPr>
            <w:tcW w:w="1508" w:type="dxa"/>
            <w:vAlign w:val="center"/>
          </w:tcPr>
          <w:p w14:paraId="4A7B7EB7" w14:textId="0DD18716"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$1,996</w:t>
            </w:r>
          </w:p>
        </w:tc>
        <w:tc>
          <w:tcPr>
            <w:tcW w:w="1791" w:type="dxa"/>
            <w:tcBorders>
              <w:right w:val="single" w:sz="8" w:space="0" w:color="auto"/>
            </w:tcBorders>
            <w:vAlign w:val="center"/>
          </w:tcPr>
          <w:p w14:paraId="7EB9081F" w14:textId="06811B69"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$5,766</w:t>
            </w:r>
          </w:p>
        </w:tc>
      </w:tr>
      <w:tr w:rsidR="003C6874" w14:paraId="1B2CCF80" w14:textId="77777777" w:rsidTr="00283F4C">
        <w:trPr>
          <w:trHeight w:val="303"/>
        </w:trPr>
        <w:tc>
          <w:tcPr>
            <w:tcW w:w="1653" w:type="dxa"/>
            <w:tcBorders>
              <w:left w:val="single" w:sz="8" w:space="0" w:color="auto"/>
            </w:tcBorders>
          </w:tcPr>
          <w:p w14:paraId="1EFE9988" w14:textId="77777777" w:rsidR="003C6874" w:rsidRDefault="003C6874">
            <w:pPr>
              <w:autoSpaceDE w:val="0"/>
              <w:autoSpaceDN w:val="0"/>
              <w:adjustRightInd w:val="0"/>
              <w:spacing w:after="0" w:line="240" w:lineRule="auto"/>
              <w:rPr>
                <w:rFonts w:ascii="Calibri" w:hAnsi="Calibri" w:cs="Calibri"/>
                <w:color w:val="000000"/>
              </w:rPr>
            </w:pPr>
            <w:r>
              <w:rPr>
                <w:rFonts w:ascii="Calibri" w:hAnsi="Calibri" w:cs="Calibri"/>
                <w:color w:val="000000"/>
              </w:rPr>
              <w:t>3- child family</w:t>
            </w:r>
          </w:p>
        </w:tc>
        <w:tc>
          <w:tcPr>
            <w:tcW w:w="1352" w:type="dxa"/>
            <w:vAlign w:val="center"/>
          </w:tcPr>
          <w:p w14:paraId="2854BD97"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$19,112</w:t>
            </w:r>
          </w:p>
        </w:tc>
        <w:tc>
          <w:tcPr>
            <w:tcW w:w="1055" w:type="dxa"/>
            <w:shd w:val="solid" w:color="FFFFFF" w:fill="auto"/>
            <w:vAlign w:val="center"/>
          </w:tcPr>
          <w:p w14:paraId="55FA12C2"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$15,342</w:t>
            </w:r>
          </w:p>
        </w:tc>
        <w:tc>
          <w:tcPr>
            <w:tcW w:w="1253" w:type="dxa"/>
            <w:shd w:val="solid" w:color="FFFFFF" w:fill="auto"/>
            <w:vAlign w:val="center"/>
          </w:tcPr>
          <w:p w14:paraId="75AE9290"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$23,651</w:t>
            </w:r>
          </w:p>
        </w:tc>
        <w:tc>
          <w:tcPr>
            <w:tcW w:w="1508" w:type="dxa"/>
            <w:vAlign w:val="center"/>
          </w:tcPr>
          <w:p w14:paraId="45398257" w14:textId="03D2961D"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$4,539</w:t>
            </w:r>
          </w:p>
        </w:tc>
        <w:tc>
          <w:tcPr>
            <w:tcW w:w="1791" w:type="dxa"/>
            <w:tcBorders>
              <w:right w:val="single" w:sz="8" w:space="0" w:color="auto"/>
            </w:tcBorders>
            <w:vAlign w:val="center"/>
          </w:tcPr>
          <w:p w14:paraId="4A4A3053" w14:textId="1C086B55"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$8,309</w:t>
            </w:r>
          </w:p>
        </w:tc>
      </w:tr>
      <w:tr w:rsidR="003C6874" w14:paraId="3593AE2C" w14:textId="77777777" w:rsidTr="00283F4C">
        <w:trPr>
          <w:trHeight w:val="303"/>
        </w:trPr>
        <w:tc>
          <w:tcPr>
            <w:tcW w:w="1653" w:type="dxa"/>
            <w:tcBorders>
              <w:left w:val="single" w:sz="8" w:space="0" w:color="auto"/>
            </w:tcBorders>
          </w:tcPr>
          <w:p w14:paraId="212111D5" w14:textId="77777777" w:rsidR="003C6874" w:rsidRDefault="003C6874">
            <w:pPr>
              <w:autoSpaceDE w:val="0"/>
              <w:autoSpaceDN w:val="0"/>
              <w:adjustRightInd w:val="0"/>
              <w:spacing w:after="0" w:line="240" w:lineRule="auto"/>
              <w:rPr>
                <w:rFonts w:ascii="Calibri" w:hAnsi="Calibri" w:cs="Calibri"/>
                <w:color w:val="000000"/>
              </w:rPr>
            </w:pPr>
            <w:r>
              <w:rPr>
                <w:rFonts w:ascii="Calibri" w:hAnsi="Calibri" w:cs="Calibri"/>
                <w:color w:val="000000"/>
              </w:rPr>
              <w:t>4-child family</w:t>
            </w:r>
          </w:p>
        </w:tc>
        <w:tc>
          <w:tcPr>
            <w:tcW w:w="1352" w:type="dxa"/>
            <w:vAlign w:val="center"/>
          </w:tcPr>
          <w:p w14:paraId="0CB5D1ED"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$24,594</w:t>
            </w:r>
          </w:p>
        </w:tc>
        <w:tc>
          <w:tcPr>
            <w:tcW w:w="1055" w:type="dxa"/>
            <w:shd w:val="solid" w:color="FFFFFF" w:fill="auto"/>
            <w:vAlign w:val="center"/>
          </w:tcPr>
          <w:p w14:paraId="364337C2"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$20,074</w:t>
            </w:r>
          </w:p>
        </w:tc>
        <w:tc>
          <w:tcPr>
            <w:tcW w:w="1253" w:type="dxa"/>
            <w:shd w:val="solid" w:color="FFFFFF" w:fill="auto"/>
            <w:vAlign w:val="center"/>
          </w:tcPr>
          <w:p w14:paraId="4BBECBF7"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$29,425</w:t>
            </w:r>
          </w:p>
        </w:tc>
        <w:tc>
          <w:tcPr>
            <w:tcW w:w="1508" w:type="dxa"/>
            <w:vAlign w:val="center"/>
          </w:tcPr>
          <w:p w14:paraId="71A3AF4D" w14:textId="578A1B38"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$4,831</w:t>
            </w:r>
          </w:p>
        </w:tc>
        <w:tc>
          <w:tcPr>
            <w:tcW w:w="1791" w:type="dxa"/>
            <w:tcBorders>
              <w:right w:val="single" w:sz="8" w:space="0" w:color="auto"/>
            </w:tcBorders>
            <w:vAlign w:val="center"/>
          </w:tcPr>
          <w:p w14:paraId="2F88FE61" w14:textId="654A55A6"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$9,351</w:t>
            </w:r>
          </w:p>
        </w:tc>
      </w:tr>
      <w:tr w:rsidR="003C6874" w14:paraId="0504FE31" w14:textId="77777777" w:rsidTr="00283F4C">
        <w:trPr>
          <w:trHeight w:val="303"/>
        </w:trPr>
        <w:tc>
          <w:tcPr>
            <w:tcW w:w="1653" w:type="dxa"/>
            <w:tcBorders>
              <w:left w:val="single" w:sz="8" w:space="0" w:color="auto"/>
            </w:tcBorders>
          </w:tcPr>
          <w:p w14:paraId="7D8DAD24" w14:textId="77777777" w:rsidR="003C6874" w:rsidRDefault="003C6874">
            <w:pPr>
              <w:autoSpaceDE w:val="0"/>
              <w:autoSpaceDN w:val="0"/>
              <w:adjustRightInd w:val="0"/>
              <w:spacing w:after="0" w:line="240" w:lineRule="auto"/>
              <w:rPr>
                <w:rFonts w:ascii="Calibri" w:hAnsi="Calibri" w:cs="Calibri"/>
                <w:color w:val="000000"/>
              </w:rPr>
            </w:pPr>
            <w:r>
              <w:rPr>
                <w:rFonts w:ascii="Calibri" w:hAnsi="Calibri" w:cs="Calibri"/>
                <w:color w:val="000000"/>
              </w:rPr>
              <w:t>5-child family</w:t>
            </w:r>
          </w:p>
        </w:tc>
        <w:tc>
          <w:tcPr>
            <w:tcW w:w="1352" w:type="dxa"/>
            <w:vAlign w:val="center"/>
          </w:tcPr>
          <w:p w14:paraId="3F383224"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$30,076</w:t>
            </w:r>
          </w:p>
        </w:tc>
        <w:tc>
          <w:tcPr>
            <w:tcW w:w="1055" w:type="dxa"/>
            <w:shd w:val="solid" w:color="FFFFFF" w:fill="auto"/>
            <w:vAlign w:val="center"/>
          </w:tcPr>
          <w:p w14:paraId="69E876DA"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$24,806</w:t>
            </w:r>
          </w:p>
        </w:tc>
        <w:tc>
          <w:tcPr>
            <w:tcW w:w="1253" w:type="dxa"/>
            <w:shd w:val="solid" w:color="FFFFFF" w:fill="auto"/>
            <w:vAlign w:val="center"/>
          </w:tcPr>
          <w:p w14:paraId="162478FE"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$35,199</w:t>
            </w:r>
          </w:p>
        </w:tc>
        <w:tc>
          <w:tcPr>
            <w:tcW w:w="1508" w:type="dxa"/>
            <w:vAlign w:val="center"/>
          </w:tcPr>
          <w:p w14:paraId="10425C0D" w14:textId="662E56F7"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$5,123</w:t>
            </w:r>
          </w:p>
        </w:tc>
        <w:tc>
          <w:tcPr>
            <w:tcW w:w="1791" w:type="dxa"/>
            <w:tcBorders>
              <w:right w:val="single" w:sz="8" w:space="0" w:color="auto"/>
            </w:tcBorders>
            <w:vAlign w:val="center"/>
          </w:tcPr>
          <w:p w14:paraId="5CD225E7" w14:textId="6203C691"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$10,393</w:t>
            </w:r>
          </w:p>
        </w:tc>
      </w:tr>
      <w:tr w:rsidR="003C6874" w14:paraId="15AE5368" w14:textId="77777777" w:rsidTr="00283F4C">
        <w:trPr>
          <w:trHeight w:val="318"/>
        </w:trPr>
        <w:tc>
          <w:tcPr>
            <w:tcW w:w="1653" w:type="dxa"/>
            <w:tcBorders>
              <w:left w:val="single" w:sz="8" w:space="0" w:color="auto"/>
              <w:bottom w:val="single" w:sz="8" w:space="0" w:color="auto"/>
            </w:tcBorders>
          </w:tcPr>
          <w:p w14:paraId="2B98472A" w14:textId="77777777" w:rsidR="003C6874" w:rsidRDefault="003C6874">
            <w:pPr>
              <w:autoSpaceDE w:val="0"/>
              <w:autoSpaceDN w:val="0"/>
              <w:adjustRightInd w:val="0"/>
              <w:spacing w:after="0" w:line="240" w:lineRule="auto"/>
              <w:rPr>
                <w:rFonts w:ascii="Calibri" w:hAnsi="Calibri" w:cs="Calibri"/>
                <w:color w:val="000000"/>
              </w:rPr>
            </w:pPr>
            <w:r>
              <w:rPr>
                <w:rFonts w:ascii="Calibri" w:hAnsi="Calibri" w:cs="Calibri"/>
                <w:color w:val="000000"/>
              </w:rPr>
              <w:t>6- child family</w:t>
            </w:r>
          </w:p>
        </w:tc>
        <w:tc>
          <w:tcPr>
            <w:tcW w:w="1352" w:type="dxa"/>
            <w:tcBorders>
              <w:bottom w:val="single" w:sz="8" w:space="0" w:color="auto"/>
            </w:tcBorders>
            <w:vAlign w:val="center"/>
          </w:tcPr>
          <w:p w14:paraId="0BEED3ED"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$35,558</w:t>
            </w:r>
          </w:p>
        </w:tc>
        <w:tc>
          <w:tcPr>
            <w:tcW w:w="1055" w:type="dxa"/>
            <w:tcBorders>
              <w:bottom w:val="single" w:sz="8" w:space="0" w:color="auto"/>
            </w:tcBorders>
            <w:shd w:val="solid" w:color="FFFFFF" w:fill="auto"/>
            <w:vAlign w:val="center"/>
          </w:tcPr>
          <w:p w14:paraId="6444F161"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$29,538</w:t>
            </w:r>
          </w:p>
        </w:tc>
        <w:tc>
          <w:tcPr>
            <w:tcW w:w="1253" w:type="dxa"/>
            <w:tcBorders>
              <w:bottom w:val="single" w:sz="8" w:space="0" w:color="auto"/>
            </w:tcBorders>
            <w:shd w:val="solid" w:color="FFFFFF" w:fill="auto"/>
            <w:vAlign w:val="center"/>
          </w:tcPr>
          <w:p w14:paraId="43ECFE9D" w14:textId="77777777" w:rsidR="003C6874" w:rsidRDefault="003C6874"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$40,973</w:t>
            </w:r>
          </w:p>
        </w:tc>
        <w:tc>
          <w:tcPr>
            <w:tcW w:w="1508" w:type="dxa"/>
            <w:tcBorders>
              <w:bottom w:val="single" w:sz="8" w:space="0" w:color="auto"/>
            </w:tcBorders>
            <w:vAlign w:val="center"/>
          </w:tcPr>
          <w:p w14:paraId="75F0A7D8" w14:textId="44CD052D"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$5,415</w:t>
            </w:r>
          </w:p>
        </w:tc>
        <w:tc>
          <w:tcPr>
            <w:tcW w:w="1791" w:type="dxa"/>
            <w:tcBorders>
              <w:bottom w:val="single" w:sz="8" w:space="0" w:color="auto"/>
              <w:right w:val="single" w:sz="8" w:space="0" w:color="auto"/>
            </w:tcBorders>
            <w:vAlign w:val="center"/>
          </w:tcPr>
          <w:p w14:paraId="2C640F5E" w14:textId="282C2391" w:rsidR="003C6874" w:rsidRDefault="00AF1CBF" w:rsidP="00873C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r w:rsidR="003C6874">
              <w:rPr>
                <w:rFonts w:ascii="Calibri" w:hAnsi="Calibri" w:cs="Calibri"/>
                <w:color w:val="000000"/>
              </w:rPr>
              <w:t>$11,435</w:t>
            </w:r>
          </w:p>
        </w:tc>
      </w:tr>
    </w:tbl>
    <w:p w14:paraId="717F6DE5" w14:textId="1A0B5A65" w:rsidR="00486A59" w:rsidRPr="00E37EE6" w:rsidRDefault="00506682" w:rsidP="00486A59">
      <w:pPr>
        <w:spacing w:after="0"/>
        <w:rPr>
          <w:b/>
          <w:bCs/>
          <w:sz w:val="22"/>
          <w:szCs w:val="20"/>
        </w:rPr>
      </w:pPr>
      <w:r w:rsidRPr="00E37EE6">
        <w:rPr>
          <w:b/>
          <w:bCs/>
          <w:sz w:val="22"/>
          <w:szCs w:val="20"/>
        </w:rPr>
        <w:t xml:space="preserve">* </w:t>
      </w:r>
      <w:r w:rsidRPr="00E37EE6">
        <w:rPr>
          <w:sz w:val="22"/>
          <w:szCs w:val="20"/>
        </w:rPr>
        <w:t>see table 3c</w:t>
      </w:r>
    </w:p>
    <w:p w14:paraId="18DDCB04" w14:textId="2876534D" w:rsidR="00A00579" w:rsidRDefault="00246C5D" w:rsidP="00506682">
      <w:pPr>
        <w:rPr>
          <w:sz w:val="22"/>
          <w:szCs w:val="20"/>
        </w:rPr>
      </w:pPr>
      <w:r w:rsidRPr="00E37EE6">
        <w:rPr>
          <w:sz w:val="22"/>
          <w:szCs w:val="20"/>
        </w:rPr>
        <w:t>** makes no allowance for exchange rate difference</w:t>
      </w:r>
      <w:r w:rsidR="001B540A">
        <w:rPr>
          <w:sz w:val="22"/>
          <w:szCs w:val="20"/>
        </w:rPr>
        <w:t xml:space="preserve"> </w:t>
      </w:r>
      <w:r w:rsidR="00BC137D">
        <w:rPr>
          <w:sz w:val="22"/>
          <w:szCs w:val="20"/>
        </w:rPr>
        <w:t xml:space="preserve">as close to parity </w:t>
      </w:r>
      <w:r w:rsidR="001B540A">
        <w:rPr>
          <w:sz w:val="22"/>
          <w:szCs w:val="20"/>
        </w:rPr>
        <w:t>(currently NZ$1 = AUS$0.96</w:t>
      </w:r>
      <w:r w:rsidR="00BC137D">
        <w:rPr>
          <w:sz w:val="22"/>
          <w:szCs w:val="20"/>
        </w:rPr>
        <w:t>.</w:t>
      </w:r>
      <w:r w:rsidR="00570E49">
        <w:rPr>
          <w:sz w:val="22"/>
          <w:szCs w:val="20"/>
        </w:rPr>
        <w:t>)</w:t>
      </w:r>
    </w:p>
    <w:tbl>
      <w:tblPr>
        <w:tblW w:w="8718" w:type="dxa"/>
        <w:tblLayout w:type="fixed"/>
        <w:tblLook w:val="04A0" w:firstRow="1" w:lastRow="0" w:firstColumn="1" w:lastColumn="0" w:noHBand="0" w:noVBand="1"/>
      </w:tblPr>
      <w:tblGrid>
        <w:gridCol w:w="2268"/>
        <w:gridCol w:w="1305"/>
        <w:gridCol w:w="1172"/>
        <w:gridCol w:w="1229"/>
        <w:gridCol w:w="1323"/>
        <w:gridCol w:w="1421"/>
      </w:tblGrid>
      <w:tr w:rsidR="001A046A" w:rsidRPr="000401C1" w14:paraId="27B365F0" w14:textId="77777777" w:rsidTr="00283F4C">
        <w:trPr>
          <w:trHeight w:val="328"/>
        </w:trPr>
        <w:tc>
          <w:tcPr>
            <w:tcW w:w="8718" w:type="dxa"/>
            <w:gridSpan w:val="6"/>
            <w:tcBorders>
              <w:top w:val="nil"/>
              <w:left w:val="nil"/>
              <w:bottom w:val="nil"/>
              <w:right w:val="nil"/>
            </w:tcBorders>
            <w:shd w:val="clear" w:color="auto" w:fill="auto"/>
            <w:noWrap/>
            <w:vAlign w:val="center"/>
            <w:hideMark/>
          </w:tcPr>
          <w:p w14:paraId="2C0DC7B6" w14:textId="1D4B91F3" w:rsidR="001A046A" w:rsidRPr="000401C1" w:rsidRDefault="001A046A" w:rsidP="001A6285">
            <w:pPr>
              <w:spacing w:after="0" w:line="240" w:lineRule="auto"/>
              <w:rPr>
                <w:rFonts w:ascii="Calibri" w:eastAsia="Times New Roman" w:hAnsi="Calibri" w:cs="Calibri"/>
                <w:b/>
                <w:bCs/>
                <w:color w:val="000000"/>
                <w:szCs w:val="24"/>
                <w:lang w:eastAsia="en-NZ"/>
              </w:rPr>
            </w:pPr>
            <w:r w:rsidRPr="000401C1">
              <w:rPr>
                <w:rFonts w:ascii="Calibri" w:eastAsia="Times New Roman" w:hAnsi="Calibri" w:cs="Calibri"/>
                <w:b/>
                <w:bCs/>
                <w:color w:val="000000"/>
                <w:szCs w:val="24"/>
                <w:lang w:eastAsia="en-NZ"/>
              </w:rPr>
              <w:t>Table 4b. Comparison</w:t>
            </w:r>
            <w:r w:rsidR="00984E69">
              <w:rPr>
                <w:rFonts w:ascii="Calibri" w:eastAsia="Times New Roman" w:hAnsi="Calibri" w:cs="Calibri"/>
                <w:b/>
                <w:bCs/>
                <w:color w:val="000000"/>
                <w:szCs w:val="24"/>
                <w:lang w:eastAsia="en-NZ"/>
              </w:rPr>
              <w:t xml:space="preserve"> of </w:t>
            </w:r>
            <w:r w:rsidR="00AF1CBF">
              <w:rPr>
                <w:rFonts w:ascii="Calibri" w:eastAsia="Times New Roman" w:hAnsi="Calibri" w:cs="Calibri"/>
                <w:b/>
                <w:bCs/>
                <w:color w:val="000000"/>
                <w:szCs w:val="24"/>
                <w:lang w:eastAsia="en-NZ"/>
              </w:rPr>
              <w:t xml:space="preserve">annualised </w:t>
            </w:r>
            <w:r w:rsidR="00984E69">
              <w:rPr>
                <w:rFonts w:ascii="Calibri" w:eastAsia="Times New Roman" w:hAnsi="Calibri" w:cs="Calibri"/>
                <w:b/>
                <w:bCs/>
                <w:color w:val="000000"/>
                <w:szCs w:val="24"/>
                <w:lang w:eastAsia="en-NZ"/>
              </w:rPr>
              <w:t>entitlements in NZ</w:t>
            </w:r>
            <w:r w:rsidRPr="000401C1">
              <w:rPr>
                <w:rFonts w:ascii="Calibri" w:eastAsia="Times New Roman" w:hAnsi="Calibri" w:cs="Calibri"/>
                <w:b/>
                <w:bCs/>
                <w:color w:val="000000"/>
                <w:szCs w:val="24"/>
                <w:lang w:eastAsia="en-NZ"/>
              </w:rPr>
              <w:t xml:space="preserve"> </w:t>
            </w:r>
            <w:r w:rsidR="005C3657">
              <w:rPr>
                <w:rFonts w:ascii="Calibri" w:eastAsia="Times New Roman" w:hAnsi="Calibri" w:cs="Calibri"/>
                <w:b/>
                <w:bCs/>
                <w:color w:val="000000"/>
                <w:szCs w:val="24"/>
                <w:lang w:eastAsia="en-NZ"/>
              </w:rPr>
              <w:t xml:space="preserve">and </w:t>
            </w:r>
            <w:r w:rsidRPr="000401C1">
              <w:rPr>
                <w:rFonts w:ascii="Calibri" w:eastAsia="Times New Roman" w:hAnsi="Calibri" w:cs="Calibri"/>
                <w:b/>
                <w:bCs/>
                <w:color w:val="000000"/>
                <w:szCs w:val="24"/>
                <w:lang w:eastAsia="en-NZ"/>
              </w:rPr>
              <w:t xml:space="preserve">Australia for </w:t>
            </w:r>
            <w:r w:rsidR="005C3657">
              <w:rPr>
                <w:rFonts w:ascii="Calibri" w:eastAsia="Times New Roman" w:hAnsi="Calibri" w:cs="Calibri"/>
                <w:b/>
                <w:bCs/>
                <w:color w:val="000000"/>
                <w:szCs w:val="24"/>
                <w:lang w:eastAsia="en-NZ"/>
              </w:rPr>
              <w:t xml:space="preserve">low-income families receiving and not receiving main </w:t>
            </w:r>
            <w:r w:rsidRPr="000401C1">
              <w:rPr>
                <w:rFonts w:ascii="Calibri" w:eastAsia="Times New Roman" w:hAnsi="Calibri" w:cs="Calibri"/>
                <w:b/>
                <w:bCs/>
                <w:color w:val="000000"/>
                <w:szCs w:val="24"/>
                <w:lang w:eastAsia="en-NZ"/>
              </w:rPr>
              <w:t>benefit</w:t>
            </w:r>
            <w:r w:rsidR="005C3657">
              <w:rPr>
                <w:rFonts w:ascii="Calibri" w:eastAsia="Times New Roman" w:hAnsi="Calibri" w:cs="Calibri"/>
                <w:b/>
                <w:bCs/>
                <w:color w:val="000000"/>
                <w:szCs w:val="24"/>
                <w:lang w:eastAsia="en-NZ"/>
              </w:rPr>
              <w:t>s</w:t>
            </w:r>
            <w:r w:rsidRPr="000401C1">
              <w:rPr>
                <w:rFonts w:ascii="Calibri" w:eastAsia="Times New Roman" w:hAnsi="Calibri" w:cs="Calibri"/>
                <w:b/>
                <w:bCs/>
                <w:color w:val="000000"/>
                <w:szCs w:val="24"/>
                <w:lang w:eastAsia="en-NZ"/>
              </w:rPr>
              <w:t xml:space="preserve">, </w:t>
            </w:r>
            <w:r w:rsidR="00AF1CBF">
              <w:rPr>
                <w:rFonts w:ascii="Calibri" w:eastAsia="Times New Roman" w:hAnsi="Calibri" w:cs="Calibri"/>
                <w:b/>
                <w:bCs/>
                <w:color w:val="000000"/>
                <w:szCs w:val="24"/>
                <w:lang w:eastAsia="en-NZ"/>
              </w:rPr>
              <w:t>as at</w:t>
            </w:r>
            <w:r w:rsidR="008560D8">
              <w:rPr>
                <w:rFonts w:ascii="Calibri" w:eastAsia="Times New Roman" w:hAnsi="Calibri" w:cs="Calibri"/>
                <w:b/>
                <w:bCs/>
                <w:color w:val="000000"/>
                <w:szCs w:val="24"/>
                <w:lang w:eastAsia="en-NZ"/>
              </w:rPr>
              <w:t xml:space="preserve"> </w:t>
            </w:r>
            <w:r w:rsidR="001B540A">
              <w:rPr>
                <w:rFonts w:ascii="Calibri" w:eastAsia="Times New Roman" w:hAnsi="Calibri" w:cs="Calibri"/>
                <w:b/>
                <w:bCs/>
                <w:color w:val="000000"/>
                <w:szCs w:val="24"/>
                <w:lang w:eastAsia="en-NZ"/>
              </w:rPr>
              <w:t xml:space="preserve">1 </w:t>
            </w:r>
            <w:r w:rsidR="008560D8">
              <w:rPr>
                <w:rFonts w:ascii="Calibri" w:eastAsia="Times New Roman" w:hAnsi="Calibri" w:cs="Calibri"/>
                <w:b/>
                <w:bCs/>
                <w:color w:val="000000"/>
                <w:szCs w:val="24"/>
                <w:lang w:eastAsia="en-NZ"/>
              </w:rPr>
              <w:t>July 2022</w:t>
            </w:r>
            <w:r w:rsidR="001B540A">
              <w:rPr>
                <w:rFonts w:ascii="Calibri" w:eastAsia="Times New Roman" w:hAnsi="Calibri" w:cs="Calibri"/>
                <w:b/>
                <w:bCs/>
                <w:color w:val="000000"/>
                <w:szCs w:val="24"/>
                <w:lang w:eastAsia="en-NZ"/>
              </w:rPr>
              <w:t>**</w:t>
            </w:r>
          </w:p>
        </w:tc>
      </w:tr>
      <w:tr w:rsidR="001B540A" w:rsidRPr="000401C1" w14:paraId="0C0F4CA9" w14:textId="77777777" w:rsidTr="00283F4C">
        <w:trPr>
          <w:trHeight w:val="1959"/>
        </w:trPr>
        <w:tc>
          <w:tcPr>
            <w:tcW w:w="226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219D48F" w14:textId="77777777" w:rsidR="001B540A" w:rsidRPr="000401C1" w:rsidRDefault="001B540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w:t>
            </w:r>
          </w:p>
          <w:p w14:paraId="285A7358" w14:textId="43FC4186" w:rsidR="001B540A" w:rsidRPr="000401C1" w:rsidRDefault="001B540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up to 2 children over 13*</w:t>
            </w:r>
          </w:p>
        </w:tc>
        <w:tc>
          <w:tcPr>
            <w:tcW w:w="1305" w:type="dxa"/>
            <w:tcBorders>
              <w:top w:val="single" w:sz="8" w:space="0" w:color="auto"/>
              <w:left w:val="single" w:sz="4" w:space="0" w:color="auto"/>
              <w:bottom w:val="single" w:sz="4" w:space="0" w:color="auto"/>
              <w:right w:val="nil"/>
            </w:tcBorders>
            <w:shd w:val="clear" w:color="auto" w:fill="auto"/>
            <w:vAlign w:val="center"/>
            <w:hideMark/>
          </w:tcPr>
          <w:p w14:paraId="2763F6B2" w14:textId="77777777" w:rsidR="001B540A" w:rsidRPr="000401C1" w:rsidRDefault="001B540A" w:rsidP="001A6285">
            <w:pPr>
              <w:spacing w:after="0" w:line="240" w:lineRule="auto"/>
              <w:jc w:val="center"/>
              <w:rPr>
                <w:rFonts w:ascii="Calibri" w:eastAsia="Times New Roman" w:hAnsi="Calibri" w:cs="Calibri"/>
                <w:b/>
                <w:bCs/>
                <w:color w:val="000000"/>
                <w:szCs w:val="24"/>
                <w:lang w:eastAsia="en-NZ"/>
              </w:rPr>
            </w:pPr>
            <w:r w:rsidRPr="000401C1">
              <w:rPr>
                <w:rFonts w:ascii="Calibri" w:eastAsia="Times New Roman" w:hAnsi="Calibri" w:cs="Calibri"/>
                <w:b/>
                <w:bCs/>
                <w:color w:val="000000"/>
                <w:szCs w:val="24"/>
                <w:lang w:eastAsia="en-NZ"/>
              </w:rPr>
              <w:t>NZ Low income off-benefit</w:t>
            </w:r>
          </w:p>
          <w:p w14:paraId="3107B190" w14:textId="40FBC855" w:rsidR="001B540A" w:rsidRPr="000401C1" w:rsidRDefault="001B540A" w:rsidP="001A6285">
            <w:pPr>
              <w:spacing w:after="0" w:line="240" w:lineRule="auto"/>
              <w:jc w:val="center"/>
              <w:rPr>
                <w:rFonts w:ascii="Calibri" w:eastAsia="Times New Roman" w:hAnsi="Calibri" w:cs="Calibri"/>
                <w:b/>
                <w:bCs/>
                <w:color w:val="000000"/>
                <w:szCs w:val="24"/>
                <w:lang w:eastAsia="en-NZ"/>
              </w:rPr>
            </w:pPr>
            <w:r w:rsidRPr="000401C1">
              <w:rPr>
                <w:rFonts w:ascii="Calibri" w:eastAsia="Times New Roman" w:hAnsi="Calibri" w:cs="Calibri"/>
                <w:b/>
                <w:bCs/>
                <w:color w:val="000000"/>
                <w:szCs w:val="24"/>
                <w:lang w:eastAsia="en-NZ"/>
              </w:rPr>
              <w:t>NZD</w:t>
            </w:r>
          </w:p>
        </w:tc>
        <w:tc>
          <w:tcPr>
            <w:tcW w:w="1172" w:type="dxa"/>
            <w:tcBorders>
              <w:top w:val="single" w:sz="8" w:space="0" w:color="auto"/>
              <w:left w:val="nil"/>
              <w:bottom w:val="single" w:sz="8" w:space="0" w:color="000000"/>
              <w:right w:val="nil"/>
            </w:tcBorders>
            <w:shd w:val="clear" w:color="000000" w:fill="FFFFFF"/>
            <w:vAlign w:val="center"/>
            <w:hideMark/>
          </w:tcPr>
          <w:p w14:paraId="0F33BCCE" w14:textId="772AE127" w:rsidR="001B540A" w:rsidRPr="000401C1" w:rsidRDefault="001B540A" w:rsidP="001A6285">
            <w:pPr>
              <w:spacing w:after="0" w:line="240" w:lineRule="auto"/>
              <w:jc w:val="center"/>
              <w:rPr>
                <w:rFonts w:ascii="Calibri" w:eastAsia="Times New Roman" w:hAnsi="Calibri" w:cs="Calibri"/>
                <w:b/>
                <w:bCs/>
                <w:color w:val="000000"/>
                <w:szCs w:val="24"/>
                <w:lang w:eastAsia="en-NZ"/>
              </w:rPr>
            </w:pPr>
            <w:r w:rsidRPr="000401C1">
              <w:rPr>
                <w:rFonts w:ascii="Calibri" w:eastAsia="Times New Roman" w:hAnsi="Calibri" w:cs="Calibri"/>
                <w:b/>
                <w:bCs/>
                <w:color w:val="000000"/>
                <w:szCs w:val="24"/>
                <w:lang w:eastAsia="en-NZ"/>
              </w:rPr>
              <w:t>NZ on benefit NZD</w:t>
            </w:r>
          </w:p>
        </w:tc>
        <w:tc>
          <w:tcPr>
            <w:tcW w:w="1229" w:type="dxa"/>
            <w:tcBorders>
              <w:top w:val="single" w:sz="8" w:space="0" w:color="auto"/>
              <w:left w:val="nil"/>
              <w:bottom w:val="single" w:sz="8" w:space="0" w:color="000000"/>
              <w:right w:val="nil"/>
            </w:tcBorders>
            <w:shd w:val="clear" w:color="000000" w:fill="FFFFFF"/>
            <w:vAlign w:val="center"/>
            <w:hideMark/>
          </w:tcPr>
          <w:p w14:paraId="4EDED5FE" w14:textId="2DFE496F" w:rsidR="001B540A" w:rsidRPr="000401C1" w:rsidRDefault="001B540A" w:rsidP="001A6285">
            <w:pPr>
              <w:spacing w:after="0" w:line="240" w:lineRule="auto"/>
              <w:jc w:val="center"/>
              <w:rPr>
                <w:rFonts w:ascii="Calibri" w:eastAsia="Times New Roman" w:hAnsi="Calibri" w:cs="Calibri"/>
                <w:b/>
                <w:bCs/>
                <w:color w:val="000000"/>
                <w:szCs w:val="24"/>
                <w:lang w:eastAsia="en-NZ"/>
              </w:rPr>
            </w:pPr>
            <w:r w:rsidRPr="000401C1">
              <w:rPr>
                <w:rFonts w:ascii="Calibri" w:eastAsia="Times New Roman" w:hAnsi="Calibri" w:cs="Calibri"/>
                <w:b/>
                <w:bCs/>
                <w:color w:val="000000"/>
                <w:szCs w:val="24"/>
                <w:lang w:eastAsia="en-NZ"/>
              </w:rPr>
              <w:t>Australia</w:t>
            </w:r>
            <w:r w:rsidR="00283F4C">
              <w:rPr>
                <w:rFonts w:ascii="Calibri" w:eastAsia="Times New Roman" w:hAnsi="Calibri" w:cs="Calibri"/>
                <w:b/>
                <w:bCs/>
                <w:color w:val="000000"/>
                <w:szCs w:val="24"/>
                <w:lang w:eastAsia="en-NZ"/>
              </w:rPr>
              <w:t>:a</w:t>
            </w:r>
            <w:r w:rsidRPr="000401C1">
              <w:rPr>
                <w:rFonts w:ascii="Calibri" w:eastAsia="Times New Roman" w:hAnsi="Calibri" w:cs="Calibri"/>
                <w:b/>
                <w:bCs/>
                <w:color w:val="000000"/>
                <w:szCs w:val="24"/>
                <w:lang w:eastAsia="en-NZ"/>
              </w:rPr>
              <w:t>ll low incomes AUD</w:t>
            </w:r>
          </w:p>
        </w:tc>
        <w:tc>
          <w:tcPr>
            <w:tcW w:w="1323" w:type="dxa"/>
            <w:tcBorders>
              <w:top w:val="single" w:sz="8" w:space="0" w:color="auto"/>
              <w:left w:val="nil"/>
              <w:bottom w:val="single" w:sz="8" w:space="0" w:color="000000"/>
              <w:right w:val="nil"/>
            </w:tcBorders>
            <w:shd w:val="clear" w:color="auto" w:fill="auto"/>
            <w:vAlign w:val="center"/>
            <w:hideMark/>
          </w:tcPr>
          <w:p w14:paraId="55C46317" w14:textId="430C991E" w:rsidR="001B540A" w:rsidRPr="000401C1" w:rsidRDefault="001B540A" w:rsidP="001A6285">
            <w:pPr>
              <w:spacing w:after="0" w:line="240" w:lineRule="auto"/>
              <w:jc w:val="center"/>
              <w:rPr>
                <w:rFonts w:ascii="Calibri" w:eastAsia="Times New Roman" w:hAnsi="Calibri" w:cs="Calibri"/>
                <w:b/>
                <w:bCs/>
                <w:color w:val="000000"/>
                <w:szCs w:val="24"/>
                <w:lang w:eastAsia="en-NZ"/>
              </w:rPr>
            </w:pPr>
            <w:r w:rsidRPr="000401C1">
              <w:rPr>
                <w:rFonts w:ascii="Calibri" w:eastAsia="Times New Roman" w:hAnsi="Calibri" w:cs="Calibri"/>
                <w:b/>
                <w:bCs/>
                <w:color w:val="000000"/>
                <w:szCs w:val="24"/>
                <w:lang w:eastAsia="en-NZ"/>
              </w:rPr>
              <w:t xml:space="preserve">Difference NZ vs Australia </w:t>
            </w:r>
            <w:r w:rsidR="00984E69">
              <w:rPr>
                <w:rFonts w:ascii="Calibri" w:eastAsia="Times New Roman" w:hAnsi="Calibri" w:cs="Calibri"/>
                <w:b/>
                <w:bCs/>
                <w:color w:val="000000"/>
                <w:szCs w:val="24"/>
                <w:lang w:eastAsia="en-NZ"/>
              </w:rPr>
              <w:t xml:space="preserve">off </w:t>
            </w:r>
            <w:r w:rsidRPr="000401C1">
              <w:rPr>
                <w:rFonts w:ascii="Calibri" w:eastAsia="Times New Roman" w:hAnsi="Calibri" w:cs="Calibri"/>
                <w:b/>
                <w:bCs/>
                <w:color w:val="000000"/>
                <w:szCs w:val="24"/>
                <w:lang w:eastAsia="en-NZ"/>
              </w:rPr>
              <w:t>benefits $**</w:t>
            </w:r>
          </w:p>
        </w:tc>
        <w:tc>
          <w:tcPr>
            <w:tcW w:w="1421" w:type="dxa"/>
            <w:tcBorders>
              <w:top w:val="single" w:sz="8" w:space="0" w:color="auto"/>
              <w:left w:val="nil"/>
              <w:bottom w:val="single" w:sz="8" w:space="0" w:color="000000"/>
              <w:right w:val="single" w:sz="8" w:space="0" w:color="auto"/>
            </w:tcBorders>
            <w:shd w:val="clear" w:color="auto" w:fill="auto"/>
            <w:vAlign w:val="center"/>
            <w:hideMark/>
          </w:tcPr>
          <w:p w14:paraId="6A1A3FD2" w14:textId="1BA185DF" w:rsidR="001B540A" w:rsidRPr="000401C1" w:rsidRDefault="001B540A" w:rsidP="001A6285">
            <w:pPr>
              <w:spacing w:after="0" w:line="240" w:lineRule="auto"/>
              <w:jc w:val="center"/>
              <w:rPr>
                <w:rFonts w:ascii="Calibri" w:eastAsia="Times New Roman" w:hAnsi="Calibri" w:cs="Calibri"/>
                <w:b/>
                <w:bCs/>
                <w:color w:val="000000"/>
                <w:szCs w:val="24"/>
                <w:lang w:eastAsia="en-NZ"/>
              </w:rPr>
            </w:pPr>
            <w:r w:rsidRPr="000401C1">
              <w:rPr>
                <w:rFonts w:ascii="Calibri" w:eastAsia="Times New Roman" w:hAnsi="Calibri" w:cs="Calibri"/>
                <w:b/>
                <w:bCs/>
                <w:color w:val="000000"/>
                <w:szCs w:val="24"/>
                <w:lang w:eastAsia="en-NZ"/>
              </w:rPr>
              <w:t>Difference NZ vs Australia on benefit $**</w:t>
            </w:r>
          </w:p>
        </w:tc>
      </w:tr>
      <w:tr w:rsidR="001A046A" w:rsidRPr="000401C1" w14:paraId="355D5F46" w14:textId="77777777" w:rsidTr="00283F4C">
        <w:trPr>
          <w:trHeight w:val="316"/>
        </w:trPr>
        <w:tc>
          <w:tcPr>
            <w:tcW w:w="2268" w:type="dxa"/>
            <w:tcBorders>
              <w:top w:val="single" w:sz="4" w:space="0" w:color="auto"/>
              <w:left w:val="single" w:sz="8" w:space="0" w:color="auto"/>
              <w:bottom w:val="nil"/>
              <w:right w:val="single" w:sz="8" w:space="0" w:color="auto"/>
            </w:tcBorders>
            <w:shd w:val="clear" w:color="auto" w:fill="auto"/>
            <w:noWrap/>
            <w:vAlign w:val="center"/>
            <w:hideMark/>
          </w:tcPr>
          <w:p w14:paraId="31DCC291" w14:textId="77777777" w:rsidR="001A046A" w:rsidRPr="000401C1" w:rsidRDefault="001A046A" w:rsidP="001A6285">
            <w:pPr>
              <w:spacing w:after="0" w:line="240" w:lineRule="auto"/>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one child &gt;13</w:t>
            </w:r>
          </w:p>
        </w:tc>
        <w:tc>
          <w:tcPr>
            <w:tcW w:w="1305" w:type="dxa"/>
            <w:tcBorders>
              <w:top w:val="single" w:sz="4" w:space="0" w:color="auto"/>
              <w:left w:val="nil"/>
              <w:bottom w:val="nil"/>
              <w:right w:val="nil"/>
            </w:tcBorders>
            <w:shd w:val="clear" w:color="auto" w:fill="auto"/>
            <w:vAlign w:val="center"/>
            <w:hideMark/>
          </w:tcPr>
          <w:p w14:paraId="7D21151B"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$10,454 </w:t>
            </w:r>
          </w:p>
        </w:tc>
        <w:tc>
          <w:tcPr>
            <w:tcW w:w="1172" w:type="dxa"/>
            <w:tcBorders>
              <w:top w:val="nil"/>
              <w:left w:val="nil"/>
              <w:bottom w:val="nil"/>
              <w:right w:val="nil"/>
            </w:tcBorders>
            <w:shd w:val="clear" w:color="000000" w:fill="FFFFFF"/>
            <w:vAlign w:val="center"/>
            <w:hideMark/>
          </w:tcPr>
          <w:p w14:paraId="7933A43E"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$6,674 </w:t>
            </w:r>
          </w:p>
        </w:tc>
        <w:tc>
          <w:tcPr>
            <w:tcW w:w="1229" w:type="dxa"/>
            <w:tcBorders>
              <w:top w:val="nil"/>
              <w:left w:val="nil"/>
              <w:bottom w:val="nil"/>
              <w:right w:val="nil"/>
            </w:tcBorders>
            <w:shd w:val="clear" w:color="000000" w:fill="FFFFFF"/>
            <w:vAlign w:val="center"/>
            <w:hideMark/>
          </w:tcPr>
          <w:p w14:paraId="4D30CD0B"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$10,844 </w:t>
            </w:r>
          </w:p>
        </w:tc>
        <w:tc>
          <w:tcPr>
            <w:tcW w:w="1323" w:type="dxa"/>
            <w:tcBorders>
              <w:top w:val="nil"/>
              <w:left w:val="nil"/>
              <w:bottom w:val="nil"/>
              <w:right w:val="nil"/>
            </w:tcBorders>
            <w:shd w:val="clear" w:color="auto" w:fill="auto"/>
            <w:vAlign w:val="center"/>
            <w:hideMark/>
          </w:tcPr>
          <w:p w14:paraId="6436F5D6" w14:textId="2B2F7C90" w:rsidR="001A046A" w:rsidRPr="000401C1" w:rsidRDefault="001B540A"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 xml:space="preserve"> </w:t>
            </w:r>
            <w:r w:rsidR="00AF1CBF">
              <w:rPr>
                <w:rFonts w:ascii="Calibri" w:eastAsia="Times New Roman" w:hAnsi="Calibri" w:cs="Calibri"/>
                <w:color w:val="000000"/>
                <w:szCs w:val="24"/>
                <w:lang w:eastAsia="en-NZ"/>
              </w:rPr>
              <w:t>-</w:t>
            </w:r>
            <w:r>
              <w:rPr>
                <w:rFonts w:ascii="Calibri" w:eastAsia="Times New Roman" w:hAnsi="Calibri" w:cs="Calibri"/>
                <w:color w:val="000000"/>
                <w:szCs w:val="24"/>
                <w:lang w:eastAsia="en-NZ"/>
              </w:rPr>
              <w:t xml:space="preserve"> </w:t>
            </w:r>
            <w:r w:rsidR="001A046A" w:rsidRPr="000401C1">
              <w:rPr>
                <w:rFonts w:ascii="Calibri" w:eastAsia="Times New Roman" w:hAnsi="Calibri" w:cs="Calibri"/>
                <w:color w:val="000000"/>
                <w:szCs w:val="24"/>
                <w:lang w:eastAsia="en-NZ"/>
              </w:rPr>
              <w:t xml:space="preserve">$389 </w:t>
            </w:r>
          </w:p>
        </w:tc>
        <w:tc>
          <w:tcPr>
            <w:tcW w:w="1421" w:type="dxa"/>
            <w:tcBorders>
              <w:top w:val="nil"/>
              <w:left w:val="nil"/>
              <w:bottom w:val="nil"/>
              <w:right w:val="single" w:sz="8" w:space="0" w:color="auto"/>
            </w:tcBorders>
            <w:shd w:val="clear" w:color="auto" w:fill="auto"/>
            <w:vAlign w:val="center"/>
            <w:hideMark/>
          </w:tcPr>
          <w:p w14:paraId="2B820097" w14:textId="64D567E9"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$4,170 </w:t>
            </w:r>
          </w:p>
        </w:tc>
      </w:tr>
      <w:tr w:rsidR="001A046A" w:rsidRPr="000401C1" w14:paraId="1E0EF23B" w14:textId="77777777" w:rsidTr="00283F4C">
        <w:trPr>
          <w:trHeight w:val="316"/>
        </w:trPr>
        <w:tc>
          <w:tcPr>
            <w:tcW w:w="2268" w:type="dxa"/>
            <w:tcBorders>
              <w:top w:val="nil"/>
              <w:left w:val="single" w:sz="8" w:space="0" w:color="auto"/>
              <w:bottom w:val="nil"/>
              <w:right w:val="single" w:sz="8" w:space="0" w:color="auto"/>
            </w:tcBorders>
            <w:shd w:val="clear" w:color="auto" w:fill="auto"/>
            <w:noWrap/>
            <w:vAlign w:val="center"/>
            <w:hideMark/>
          </w:tcPr>
          <w:p w14:paraId="5A1CBFAB" w14:textId="77777777" w:rsidR="001A046A" w:rsidRPr="000401C1" w:rsidRDefault="001A046A" w:rsidP="001A6285">
            <w:pPr>
              <w:spacing w:after="0" w:line="240" w:lineRule="auto"/>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1 child&lt;13 , one&gt;13</w:t>
            </w:r>
          </w:p>
        </w:tc>
        <w:tc>
          <w:tcPr>
            <w:tcW w:w="1305" w:type="dxa"/>
            <w:tcBorders>
              <w:top w:val="nil"/>
              <w:left w:val="nil"/>
              <w:bottom w:val="nil"/>
              <w:right w:val="nil"/>
            </w:tcBorders>
            <w:shd w:val="clear" w:color="auto" w:fill="auto"/>
            <w:vAlign w:val="center"/>
            <w:hideMark/>
          </w:tcPr>
          <w:p w14:paraId="1BF1E8A7"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$15,877 </w:t>
            </w:r>
          </w:p>
        </w:tc>
        <w:tc>
          <w:tcPr>
            <w:tcW w:w="1172" w:type="dxa"/>
            <w:tcBorders>
              <w:top w:val="nil"/>
              <w:left w:val="nil"/>
              <w:bottom w:val="nil"/>
              <w:right w:val="nil"/>
            </w:tcBorders>
            <w:shd w:val="clear" w:color="000000" w:fill="FFFFFF"/>
            <w:vAlign w:val="center"/>
            <w:hideMark/>
          </w:tcPr>
          <w:p w14:paraId="2A7706DE"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$12,096 </w:t>
            </w:r>
          </w:p>
        </w:tc>
        <w:tc>
          <w:tcPr>
            <w:tcW w:w="1229" w:type="dxa"/>
            <w:tcBorders>
              <w:top w:val="nil"/>
              <w:left w:val="nil"/>
              <w:bottom w:val="nil"/>
              <w:right w:val="nil"/>
            </w:tcBorders>
            <w:shd w:val="clear" w:color="000000" w:fill="FFFFFF"/>
            <w:vAlign w:val="center"/>
            <w:hideMark/>
          </w:tcPr>
          <w:p w14:paraId="334F2EF8"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$16,749 </w:t>
            </w:r>
          </w:p>
        </w:tc>
        <w:tc>
          <w:tcPr>
            <w:tcW w:w="1323" w:type="dxa"/>
            <w:tcBorders>
              <w:top w:val="nil"/>
              <w:left w:val="nil"/>
              <w:bottom w:val="nil"/>
              <w:right w:val="nil"/>
            </w:tcBorders>
            <w:shd w:val="clear" w:color="auto" w:fill="auto"/>
            <w:vAlign w:val="center"/>
            <w:hideMark/>
          </w:tcPr>
          <w:p w14:paraId="7FC99C08" w14:textId="3AF40861" w:rsidR="001A046A" w:rsidRPr="000401C1" w:rsidRDefault="001B540A"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 xml:space="preserve">  </w:t>
            </w:r>
            <w:r w:rsidR="00AF1CBF">
              <w:rPr>
                <w:rFonts w:ascii="Calibri" w:eastAsia="Times New Roman" w:hAnsi="Calibri" w:cs="Calibri"/>
                <w:color w:val="000000"/>
                <w:szCs w:val="24"/>
                <w:lang w:eastAsia="en-NZ"/>
              </w:rPr>
              <w:t>-</w:t>
            </w:r>
            <w:r>
              <w:rPr>
                <w:rFonts w:ascii="Calibri" w:eastAsia="Times New Roman" w:hAnsi="Calibri" w:cs="Calibri"/>
                <w:color w:val="000000"/>
                <w:szCs w:val="24"/>
                <w:lang w:eastAsia="en-NZ"/>
              </w:rPr>
              <w:t xml:space="preserve"> </w:t>
            </w:r>
            <w:r w:rsidR="001A046A" w:rsidRPr="000401C1">
              <w:rPr>
                <w:rFonts w:ascii="Calibri" w:eastAsia="Times New Roman" w:hAnsi="Calibri" w:cs="Calibri"/>
                <w:color w:val="000000"/>
                <w:szCs w:val="24"/>
                <w:lang w:eastAsia="en-NZ"/>
              </w:rPr>
              <w:t xml:space="preserve">$872 </w:t>
            </w:r>
          </w:p>
        </w:tc>
        <w:tc>
          <w:tcPr>
            <w:tcW w:w="1421" w:type="dxa"/>
            <w:tcBorders>
              <w:top w:val="nil"/>
              <w:left w:val="nil"/>
              <w:bottom w:val="nil"/>
              <w:right w:val="single" w:sz="8" w:space="0" w:color="auto"/>
            </w:tcBorders>
            <w:shd w:val="clear" w:color="auto" w:fill="auto"/>
            <w:vAlign w:val="center"/>
            <w:hideMark/>
          </w:tcPr>
          <w:p w14:paraId="7473EB18" w14:textId="5D63AC3E"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$4,652 </w:t>
            </w:r>
          </w:p>
        </w:tc>
      </w:tr>
      <w:tr w:rsidR="001A046A" w:rsidRPr="000401C1" w14:paraId="6419C1C3" w14:textId="77777777" w:rsidTr="00283F4C">
        <w:trPr>
          <w:trHeight w:val="316"/>
        </w:trPr>
        <w:tc>
          <w:tcPr>
            <w:tcW w:w="2268" w:type="dxa"/>
            <w:tcBorders>
              <w:top w:val="nil"/>
              <w:left w:val="single" w:sz="8" w:space="0" w:color="auto"/>
              <w:bottom w:val="nil"/>
              <w:right w:val="single" w:sz="8" w:space="0" w:color="auto"/>
            </w:tcBorders>
            <w:shd w:val="clear" w:color="auto" w:fill="auto"/>
            <w:noWrap/>
            <w:vAlign w:val="center"/>
            <w:hideMark/>
          </w:tcPr>
          <w:p w14:paraId="3E6F744F" w14:textId="77777777" w:rsidR="001A046A" w:rsidRPr="000401C1" w:rsidRDefault="001A046A" w:rsidP="001A6285">
            <w:pPr>
              <w:spacing w:after="0" w:line="240" w:lineRule="auto"/>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1 child&lt;13 ,two&gt;13</w:t>
            </w:r>
          </w:p>
        </w:tc>
        <w:tc>
          <w:tcPr>
            <w:tcW w:w="1305" w:type="dxa"/>
            <w:tcBorders>
              <w:top w:val="nil"/>
              <w:left w:val="nil"/>
              <w:bottom w:val="nil"/>
              <w:right w:val="nil"/>
            </w:tcBorders>
            <w:shd w:val="clear" w:color="auto" w:fill="auto"/>
            <w:vAlign w:val="center"/>
            <w:hideMark/>
          </w:tcPr>
          <w:p w14:paraId="54CDE15A"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$21,299 </w:t>
            </w:r>
          </w:p>
        </w:tc>
        <w:tc>
          <w:tcPr>
            <w:tcW w:w="1172" w:type="dxa"/>
            <w:tcBorders>
              <w:top w:val="nil"/>
              <w:left w:val="nil"/>
              <w:bottom w:val="nil"/>
              <w:right w:val="nil"/>
            </w:tcBorders>
            <w:shd w:val="clear" w:color="000000" w:fill="FFFFFF"/>
            <w:vAlign w:val="center"/>
            <w:hideMark/>
          </w:tcPr>
          <w:p w14:paraId="794B0DB0"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$17,519 </w:t>
            </w:r>
          </w:p>
        </w:tc>
        <w:tc>
          <w:tcPr>
            <w:tcW w:w="1229" w:type="dxa"/>
            <w:tcBorders>
              <w:top w:val="nil"/>
              <w:left w:val="nil"/>
              <w:bottom w:val="nil"/>
              <w:right w:val="nil"/>
            </w:tcBorders>
            <w:shd w:val="clear" w:color="000000" w:fill="FFFFFF"/>
            <w:vAlign w:val="center"/>
            <w:hideMark/>
          </w:tcPr>
          <w:p w14:paraId="4F590A87"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$24,189 </w:t>
            </w:r>
          </w:p>
        </w:tc>
        <w:tc>
          <w:tcPr>
            <w:tcW w:w="1323" w:type="dxa"/>
            <w:tcBorders>
              <w:top w:val="nil"/>
              <w:left w:val="nil"/>
              <w:bottom w:val="nil"/>
              <w:right w:val="nil"/>
            </w:tcBorders>
            <w:shd w:val="clear" w:color="auto" w:fill="auto"/>
            <w:vAlign w:val="center"/>
            <w:hideMark/>
          </w:tcPr>
          <w:p w14:paraId="25F5C4F8" w14:textId="5B851BC5"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$2,890 </w:t>
            </w:r>
          </w:p>
        </w:tc>
        <w:tc>
          <w:tcPr>
            <w:tcW w:w="1421" w:type="dxa"/>
            <w:tcBorders>
              <w:top w:val="nil"/>
              <w:left w:val="nil"/>
              <w:bottom w:val="nil"/>
              <w:right w:val="single" w:sz="8" w:space="0" w:color="auto"/>
            </w:tcBorders>
            <w:shd w:val="clear" w:color="auto" w:fill="auto"/>
            <w:vAlign w:val="center"/>
            <w:hideMark/>
          </w:tcPr>
          <w:p w14:paraId="60923575" w14:textId="19788404"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$6,670 </w:t>
            </w:r>
          </w:p>
        </w:tc>
      </w:tr>
      <w:tr w:rsidR="001A046A" w:rsidRPr="000401C1" w14:paraId="484EFA68" w14:textId="77777777" w:rsidTr="00283F4C">
        <w:trPr>
          <w:trHeight w:val="316"/>
        </w:trPr>
        <w:tc>
          <w:tcPr>
            <w:tcW w:w="2268" w:type="dxa"/>
            <w:tcBorders>
              <w:top w:val="nil"/>
              <w:left w:val="single" w:sz="8" w:space="0" w:color="auto"/>
              <w:bottom w:val="nil"/>
              <w:right w:val="single" w:sz="8" w:space="0" w:color="auto"/>
            </w:tcBorders>
            <w:shd w:val="clear" w:color="auto" w:fill="auto"/>
            <w:noWrap/>
            <w:vAlign w:val="center"/>
            <w:hideMark/>
          </w:tcPr>
          <w:p w14:paraId="4B2B4422" w14:textId="77777777" w:rsidR="001A046A" w:rsidRPr="000401C1" w:rsidRDefault="001A046A" w:rsidP="001A6285">
            <w:pPr>
              <w:spacing w:after="0" w:line="240" w:lineRule="auto"/>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2 child&lt;13 , two&gt;13</w:t>
            </w:r>
          </w:p>
        </w:tc>
        <w:tc>
          <w:tcPr>
            <w:tcW w:w="1305" w:type="dxa"/>
            <w:tcBorders>
              <w:top w:val="nil"/>
              <w:left w:val="nil"/>
              <w:bottom w:val="nil"/>
              <w:right w:val="nil"/>
            </w:tcBorders>
            <w:shd w:val="clear" w:color="auto" w:fill="auto"/>
            <w:vAlign w:val="center"/>
            <w:hideMark/>
          </w:tcPr>
          <w:p w14:paraId="55E1B493"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$27,504 </w:t>
            </w:r>
          </w:p>
        </w:tc>
        <w:tc>
          <w:tcPr>
            <w:tcW w:w="1172" w:type="dxa"/>
            <w:tcBorders>
              <w:top w:val="nil"/>
              <w:left w:val="nil"/>
              <w:bottom w:val="nil"/>
              <w:right w:val="nil"/>
            </w:tcBorders>
            <w:shd w:val="clear" w:color="000000" w:fill="FFFFFF"/>
            <w:vAlign w:val="center"/>
            <w:hideMark/>
          </w:tcPr>
          <w:p w14:paraId="4ED95EA4"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$22,942 </w:t>
            </w:r>
          </w:p>
        </w:tc>
        <w:tc>
          <w:tcPr>
            <w:tcW w:w="1229" w:type="dxa"/>
            <w:tcBorders>
              <w:top w:val="nil"/>
              <w:left w:val="nil"/>
              <w:bottom w:val="nil"/>
              <w:right w:val="nil"/>
            </w:tcBorders>
            <w:shd w:val="clear" w:color="000000" w:fill="FFFFFF"/>
            <w:vAlign w:val="center"/>
            <w:hideMark/>
          </w:tcPr>
          <w:p w14:paraId="0410A15C"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$30,094 </w:t>
            </w:r>
          </w:p>
        </w:tc>
        <w:tc>
          <w:tcPr>
            <w:tcW w:w="1323" w:type="dxa"/>
            <w:tcBorders>
              <w:top w:val="nil"/>
              <w:left w:val="nil"/>
              <w:bottom w:val="nil"/>
              <w:right w:val="nil"/>
            </w:tcBorders>
            <w:shd w:val="clear" w:color="auto" w:fill="auto"/>
            <w:vAlign w:val="center"/>
            <w:hideMark/>
          </w:tcPr>
          <w:p w14:paraId="0D0AE97E" w14:textId="0568C1DD"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$2,590 </w:t>
            </w:r>
          </w:p>
        </w:tc>
        <w:tc>
          <w:tcPr>
            <w:tcW w:w="1421" w:type="dxa"/>
            <w:tcBorders>
              <w:top w:val="nil"/>
              <w:left w:val="nil"/>
              <w:bottom w:val="nil"/>
              <w:right w:val="single" w:sz="8" w:space="0" w:color="auto"/>
            </w:tcBorders>
            <w:shd w:val="clear" w:color="auto" w:fill="auto"/>
            <w:vAlign w:val="center"/>
            <w:hideMark/>
          </w:tcPr>
          <w:p w14:paraId="76AC3A8C" w14:textId="22F05CE8"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$7,153 </w:t>
            </w:r>
          </w:p>
        </w:tc>
      </w:tr>
      <w:tr w:rsidR="001A046A" w:rsidRPr="000401C1" w14:paraId="395E7E53" w14:textId="77777777" w:rsidTr="00283F4C">
        <w:trPr>
          <w:trHeight w:val="316"/>
        </w:trPr>
        <w:tc>
          <w:tcPr>
            <w:tcW w:w="2268" w:type="dxa"/>
            <w:tcBorders>
              <w:top w:val="nil"/>
              <w:left w:val="single" w:sz="8" w:space="0" w:color="auto"/>
              <w:bottom w:val="nil"/>
              <w:right w:val="single" w:sz="8" w:space="0" w:color="auto"/>
            </w:tcBorders>
            <w:shd w:val="clear" w:color="auto" w:fill="auto"/>
            <w:noWrap/>
            <w:vAlign w:val="center"/>
            <w:hideMark/>
          </w:tcPr>
          <w:p w14:paraId="18E930D7" w14:textId="77777777" w:rsidR="001A046A" w:rsidRPr="000401C1" w:rsidRDefault="001A046A" w:rsidP="001A6285">
            <w:pPr>
              <w:spacing w:after="0" w:line="240" w:lineRule="auto"/>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3 child&lt;13 , two&gt;13</w:t>
            </w:r>
          </w:p>
        </w:tc>
        <w:tc>
          <w:tcPr>
            <w:tcW w:w="1305" w:type="dxa"/>
            <w:tcBorders>
              <w:top w:val="nil"/>
              <w:left w:val="nil"/>
              <w:right w:val="nil"/>
            </w:tcBorders>
            <w:shd w:val="clear" w:color="auto" w:fill="auto"/>
            <w:vAlign w:val="center"/>
            <w:hideMark/>
          </w:tcPr>
          <w:p w14:paraId="45035F67"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$33,709 </w:t>
            </w:r>
          </w:p>
        </w:tc>
        <w:tc>
          <w:tcPr>
            <w:tcW w:w="1172" w:type="dxa"/>
            <w:tcBorders>
              <w:top w:val="nil"/>
              <w:left w:val="nil"/>
              <w:right w:val="nil"/>
            </w:tcBorders>
            <w:shd w:val="clear" w:color="000000" w:fill="FFFFFF"/>
            <w:vAlign w:val="center"/>
            <w:hideMark/>
          </w:tcPr>
          <w:p w14:paraId="2D6FCE35"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$28,364 </w:t>
            </w:r>
          </w:p>
        </w:tc>
        <w:tc>
          <w:tcPr>
            <w:tcW w:w="1229" w:type="dxa"/>
            <w:tcBorders>
              <w:top w:val="nil"/>
              <w:left w:val="nil"/>
              <w:right w:val="nil"/>
            </w:tcBorders>
            <w:shd w:val="clear" w:color="000000" w:fill="FFFFFF"/>
            <w:vAlign w:val="center"/>
            <w:hideMark/>
          </w:tcPr>
          <w:p w14:paraId="35468E49"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$36,000 </w:t>
            </w:r>
          </w:p>
        </w:tc>
        <w:tc>
          <w:tcPr>
            <w:tcW w:w="1323" w:type="dxa"/>
            <w:tcBorders>
              <w:top w:val="nil"/>
              <w:left w:val="nil"/>
              <w:right w:val="nil"/>
            </w:tcBorders>
            <w:shd w:val="clear" w:color="auto" w:fill="auto"/>
            <w:vAlign w:val="center"/>
            <w:hideMark/>
          </w:tcPr>
          <w:p w14:paraId="6ECD67D9" w14:textId="00A13D10"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$2,291 </w:t>
            </w:r>
          </w:p>
        </w:tc>
        <w:tc>
          <w:tcPr>
            <w:tcW w:w="1421" w:type="dxa"/>
            <w:tcBorders>
              <w:top w:val="nil"/>
              <w:left w:val="nil"/>
              <w:right w:val="single" w:sz="8" w:space="0" w:color="auto"/>
            </w:tcBorders>
            <w:shd w:val="clear" w:color="auto" w:fill="auto"/>
            <w:vAlign w:val="center"/>
            <w:hideMark/>
          </w:tcPr>
          <w:p w14:paraId="5915EE29" w14:textId="23F58C49"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$7,635 </w:t>
            </w:r>
          </w:p>
        </w:tc>
      </w:tr>
      <w:tr w:rsidR="001A046A" w:rsidRPr="000401C1" w14:paraId="3D2D125B" w14:textId="77777777" w:rsidTr="00283F4C">
        <w:trPr>
          <w:trHeight w:val="328"/>
        </w:trPr>
        <w:tc>
          <w:tcPr>
            <w:tcW w:w="2268" w:type="dxa"/>
            <w:tcBorders>
              <w:top w:val="nil"/>
              <w:left w:val="single" w:sz="8" w:space="0" w:color="auto"/>
              <w:bottom w:val="single" w:sz="8" w:space="0" w:color="auto"/>
              <w:right w:val="single" w:sz="8" w:space="0" w:color="auto"/>
            </w:tcBorders>
            <w:shd w:val="clear" w:color="auto" w:fill="auto"/>
            <w:noWrap/>
            <w:vAlign w:val="center"/>
            <w:hideMark/>
          </w:tcPr>
          <w:p w14:paraId="79211169" w14:textId="77777777" w:rsidR="001A046A" w:rsidRPr="000401C1" w:rsidRDefault="001A046A" w:rsidP="001A6285">
            <w:pPr>
              <w:spacing w:after="0" w:line="240" w:lineRule="auto"/>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4 child&lt;13 , two&gt;13</w:t>
            </w:r>
          </w:p>
        </w:tc>
        <w:tc>
          <w:tcPr>
            <w:tcW w:w="1305" w:type="dxa"/>
            <w:tcBorders>
              <w:top w:val="nil"/>
              <w:left w:val="nil"/>
              <w:bottom w:val="single" w:sz="4" w:space="0" w:color="auto"/>
              <w:right w:val="nil"/>
            </w:tcBorders>
            <w:shd w:val="clear" w:color="auto" w:fill="auto"/>
            <w:vAlign w:val="center"/>
            <w:hideMark/>
          </w:tcPr>
          <w:p w14:paraId="04A5F27E"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$39,913 </w:t>
            </w:r>
          </w:p>
        </w:tc>
        <w:tc>
          <w:tcPr>
            <w:tcW w:w="1172" w:type="dxa"/>
            <w:tcBorders>
              <w:top w:val="nil"/>
              <w:left w:val="nil"/>
              <w:bottom w:val="single" w:sz="4" w:space="0" w:color="auto"/>
              <w:right w:val="nil"/>
            </w:tcBorders>
            <w:shd w:val="clear" w:color="000000" w:fill="FFFFFF"/>
            <w:vAlign w:val="center"/>
            <w:hideMark/>
          </w:tcPr>
          <w:p w14:paraId="6D547D4C"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$33,787 </w:t>
            </w:r>
          </w:p>
        </w:tc>
        <w:tc>
          <w:tcPr>
            <w:tcW w:w="1229" w:type="dxa"/>
            <w:tcBorders>
              <w:top w:val="nil"/>
              <w:left w:val="nil"/>
              <w:bottom w:val="single" w:sz="4" w:space="0" w:color="auto"/>
              <w:right w:val="nil"/>
            </w:tcBorders>
            <w:shd w:val="clear" w:color="000000" w:fill="FFFFFF"/>
            <w:vAlign w:val="center"/>
            <w:hideMark/>
          </w:tcPr>
          <w:p w14:paraId="5D57CF48" w14:textId="77777777" w:rsidR="001A046A" w:rsidRPr="000401C1" w:rsidRDefault="001A046A" w:rsidP="001A6285">
            <w:pPr>
              <w:spacing w:after="0" w:line="240" w:lineRule="auto"/>
              <w:jc w:val="center"/>
              <w:rPr>
                <w:rFonts w:ascii="Calibri" w:eastAsia="Times New Roman" w:hAnsi="Calibri" w:cs="Calibri"/>
                <w:color w:val="000000"/>
                <w:szCs w:val="24"/>
                <w:lang w:eastAsia="en-NZ"/>
              </w:rPr>
            </w:pPr>
            <w:r w:rsidRPr="000401C1">
              <w:rPr>
                <w:rFonts w:ascii="Calibri" w:eastAsia="Times New Roman" w:hAnsi="Calibri" w:cs="Calibri"/>
                <w:color w:val="000000"/>
                <w:szCs w:val="24"/>
                <w:lang w:eastAsia="en-NZ"/>
              </w:rPr>
              <w:t xml:space="preserve">$41,905 </w:t>
            </w:r>
          </w:p>
        </w:tc>
        <w:tc>
          <w:tcPr>
            <w:tcW w:w="1323" w:type="dxa"/>
            <w:tcBorders>
              <w:top w:val="nil"/>
              <w:left w:val="nil"/>
              <w:bottom w:val="single" w:sz="4" w:space="0" w:color="auto"/>
              <w:right w:val="nil"/>
            </w:tcBorders>
            <w:shd w:val="clear" w:color="auto" w:fill="auto"/>
            <w:vAlign w:val="center"/>
            <w:hideMark/>
          </w:tcPr>
          <w:p w14:paraId="0CB7F4F8" w14:textId="16D03C58"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$1,992 </w:t>
            </w:r>
          </w:p>
        </w:tc>
        <w:tc>
          <w:tcPr>
            <w:tcW w:w="1421" w:type="dxa"/>
            <w:tcBorders>
              <w:top w:val="nil"/>
              <w:left w:val="nil"/>
              <w:bottom w:val="single" w:sz="4" w:space="0" w:color="auto"/>
              <w:right w:val="single" w:sz="8" w:space="0" w:color="auto"/>
            </w:tcBorders>
            <w:shd w:val="clear" w:color="auto" w:fill="auto"/>
            <w:vAlign w:val="center"/>
            <w:hideMark/>
          </w:tcPr>
          <w:p w14:paraId="083D9295" w14:textId="03E637AB" w:rsidR="001A046A" w:rsidRPr="000401C1" w:rsidRDefault="00AF1CBF" w:rsidP="001A6285">
            <w:pPr>
              <w:spacing w:after="0" w:line="240" w:lineRule="auto"/>
              <w:jc w:val="center"/>
              <w:rPr>
                <w:rFonts w:ascii="Calibri" w:eastAsia="Times New Roman" w:hAnsi="Calibri" w:cs="Calibri"/>
                <w:color w:val="000000"/>
                <w:szCs w:val="24"/>
                <w:lang w:eastAsia="en-NZ"/>
              </w:rPr>
            </w:pPr>
            <w:r>
              <w:rPr>
                <w:rFonts w:ascii="Calibri" w:eastAsia="Times New Roman" w:hAnsi="Calibri" w:cs="Calibri"/>
                <w:color w:val="000000"/>
                <w:szCs w:val="24"/>
                <w:lang w:eastAsia="en-NZ"/>
              </w:rPr>
              <w:t>-</w:t>
            </w:r>
            <w:r w:rsidR="001A046A" w:rsidRPr="000401C1">
              <w:rPr>
                <w:rFonts w:ascii="Calibri" w:eastAsia="Times New Roman" w:hAnsi="Calibri" w:cs="Calibri"/>
                <w:color w:val="000000"/>
                <w:szCs w:val="24"/>
                <w:lang w:eastAsia="en-NZ"/>
              </w:rPr>
              <w:t xml:space="preserve">$8,118 </w:t>
            </w:r>
          </w:p>
        </w:tc>
      </w:tr>
    </w:tbl>
    <w:p w14:paraId="20E8C4D6" w14:textId="77777777" w:rsidR="001B540A" w:rsidRPr="00E37EE6" w:rsidRDefault="001B540A" w:rsidP="001B540A">
      <w:pPr>
        <w:spacing w:after="0"/>
        <w:rPr>
          <w:b/>
          <w:bCs/>
          <w:sz w:val="22"/>
          <w:szCs w:val="20"/>
        </w:rPr>
      </w:pPr>
      <w:r w:rsidRPr="00E37EE6">
        <w:rPr>
          <w:b/>
          <w:bCs/>
          <w:sz w:val="22"/>
          <w:szCs w:val="20"/>
        </w:rPr>
        <w:t xml:space="preserve">* </w:t>
      </w:r>
      <w:r w:rsidRPr="00E37EE6">
        <w:rPr>
          <w:sz w:val="22"/>
          <w:szCs w:val="20"/>
        </w:rPr>
        <w:t>see table 3c</w:t>
      </w:r>
    </w:p>
    <w:p w14:paraId="17BB02E3" w14:textId="7247A185" w:rsidR="001A046A" w:rsidRPr="00E37EE6" w:rsidRDefault="001B540A" w:rsidP="00506682">
      <w:pPr>
        <w:rPr>
          <w:sz w:val="22"/>
          <w:szCs w:val="20"/>
        </w:rPr>
      </w:pPr>
      <w:r w:rsidRPr="00E37EE6">
        <w:rPr>
          <w:sz w:val="22"/>
          <w:szCs w:val="20"/>
        </w:rPr>
        <w:t>** makes no allowance for exchange rate difference</w:t>
      </w:r>
      <w:r>
        <w:rPr>
          <w:sz w:val="22"/>
          <w:szCs w:val="20"/>
        </w:rPr>
        <w:t xml:space="preserve"> </w:t>
      </w:r>
      <w:r w:rsidR="00BC137D">
        <w:rPr>
          <w:sz w:val="22"/>
          <w:szCs w:val="20"/>
        </w:rPr>
        <w:t xml:space="preserve">as close to parity </w:t>
      </w:r>
      <w:r>
        <w:rPr>
          <w:sz w:val="22"/>
          <w:szCs w:val="20"/>
        </w:rPr>
        <w:t>(currently NZ$1 = AUS$0.96</w:t>
      </w:r>
      <w:r w:rsidR="00BC137D">
        <w:rPr>
          <w:sz w:val="22"/>
          <w:szCs w:val="20"/>
        </w:rPr>
        <w:t>.</w:t>
      </w:r>
    </w:p>
    <w:p w14:paraId="7AE83A0F" w14:textId="7C768B74" w:rsidR="00506682" w:rsidRPr="00506682" w:rsidRDefault="00506682" w:rsidP="007718FE">
      <w:pPr>
        <w:pStyle w:val="Heading2"/>
        <w:spacing w:after="120"/>
      </w:pPr>
      <w:r w:rsidRPr="00506682">
        <w:t>Conclusion</w:t>
      </w:r>
      <w:r>
        <w:tab/>
      </w:r>
    </w:p>
    <w:p w14:paraId="0D39B05A" w14:textId="114D3E30" w:rsidR="00F64C9F" w:rsidRDefault="00506682" w:rsidP="00C229B9">
      <w:r>
        <w:t>A</w:t>
      </w:r>
      <w:r w:rsidR="002255C7">
        <w:t xml:space="preserve"> </w:t>
      </w:r>
      <w:r w:rsidR="00714B49">
        <w:t xml:space="preserve">key </w:t>
      </w:r>
      <w:r w:rsidR="002255C7">
        <w:t>difference</w:t>
      </w:r>
      <w:r w:rsidR="0045043B">
        <w:t xml:space="preserve"> between the two countries is that New Zealand discriminates between </w:t>
      </w:r>
      <w:r w:rsidR="0001406F">
        <w:t>‘</w:t>
      </w:r>
      <w:r w:rsidR="0045043B">
        <w:t>deserving</w:t>
      </w:r>
      <w:r w:rsidR="0001406F">
        <w:t>’</w:t>
      </w:r>
      <w:r w:rsidR="0045043B">
        <w:t xml:space="preserve"> children (who parents are not on any benefit) and the </w:t>
      </w:r>
      <w:r w:rsidR="0001406F">
        <w:t>‘</w:t>
      </w:r>
      <w:r w:rsidR="0045043B">
        <w:t>undeserving</w:t>
      </w:r>
      <w:r w:rsidR="0001406F">
        <w:t>’</w:t>
      </w:r>
      <w:r w:rsidR="0045043B">
        <w:t xml:space="preserve"> (whose parents </w:t>
      </w:r>
      <w:r w:rsidR="00800CD1">
        <w:t>are on a benefit)</w:t>
      </w:r>
      <w:r w:rsidR="00246C5D">
        <w:t xml:space="preserve">. </w:t>
      </w:r>
      <w:r w:rsidR="00E40F5E">
        <w:t>Those on benefits receive markedly less</w:t>
      </w:r>
      <w:r w:rsidR="00B57BEB">
        <w:t xml:space="preserve"> for their children</w:t>
      </w:r>
      <w:r w:rsidR="00714B49">
        <w:t xml:space="preserve"> compared to </w:t>
      </w:r>
      <w:r>
        <w:t>low</w:t>
      </w:r>
      <w:r w:rsidR="00873CA9">
        <w:t>-</w:t>
      </w:r>
      <w:r>
        <w:t xml:space="preserve">income families not on benefits. </w:t>
      </w:r>
      <w:r w:rsidR="00F64C9F">
        <w:t xml:space="preserve">The </w:t>
      </w:r>
      <w:r w:rsidR="00693263">
        <w:t>cumulative</w:t>
      </w:r>
      <w:r w:rsidR="00F64C9F">
        <w:t xml:space="preserve"> </w:t>
      </w:r>
      <w:r w:rsidR="00693263">
        <w:t>losse</w:t>
      </w:r>
      <w:r w:rsidR="00F64C9F">
        <w:t xml:space="preserve">s have a </w:t>
      </w:r>
      <w:r w:rsidR="00DD22FE">
        <w:t xml:space="preserve">significant </w:t>
      </w:r>
      <w:r w:rsidR="00F64C9F">
        <w:t xml:space="preserve">impact on </w:t>
      </w:r>
      <w:r w:rsidR="00DD22FE">
        <w:t>the balance sheets of families receiving core benefits</w:t>
      </w:r>
      <w:r w:rsidR="00F64C9F">
        <w:t xml:space="preserve">. For example, a 6-child family </w:t>
      </w:r>
      <w:r w:rsidR="001B540A">
        <w:t xml:space="preserve">receiving a benefit in New Zealand </w:t>
      </w:r>
      <w:r w:rsidR="00F64C9F">
        <w:t>lose</w:t>
      </w:r>
      <w:r w:rsidR="00DD22FE">
        <w:t>s</w:t>
      </w:r>
      <w:r w:rsidR="00F64C9F">
        <w:t xml:space="preserve"> $30,100 over five years</w:t>
      </w:r>
      <w:r w:rsidR="001B540A">
        <w:t xml:space="preserve"> (whether they’re in paid work or not) compared to a low-income 6-child family not receiving a benefit</w:t>
      </w:r>
      <w:r w:rsidR="009E01D1">
        <w:t>.</w:t>
      </w:r>
    </w:p>
    <w:p w14:paraId="2983B415" w14:textId="05AB76D1" w:rsidR="00F64C9F" w:rsidRDefault="00543881" w:rsidP="00C229B9">
      <w:pPr>
        <w:rPr>
          <w:rFonts w:ascii="Calibri" w:hAnsi="Calibri" w:cs="Calibri"/>
          <w:color w:val="000000"/>
        </w:rPr>
      </w:pPr>
      <w:r>
        <w:t xml:space="preserve">Australia does not discriminate against </w:t>
      </w:r>
      <w:r w:rsidR="00DD22FE">
        <w:t>families on-benefit</w:t>
      </w:r>
      <w:r>
        <w:t>.</w:t>
      </w:r>
      <w:r w:rsidR="00DD22FE">
        <w:t xml:space="preserve"> </w:t>
      </w:r>
      <w:r w:rsidR="00F64C9F">
        <w:t xml:space="preserve">When compared to Australia, </w:t>
      </w:r>
      <w:r w:rsidR="00F64C9F" w:rsidRPr="00543881">
        <w:rPr>
          <w:b/>
          <w:bCs/>
        </w:rPr>
        <w:t>all low-income families</w:t>
      </w:r>
      <w:r w:rsidR="00F64C9F">
        <w:t xml:space="preserve"> </w:t>
      </w:r>
      <w:r>
        <w:t xml:space="preserve">in New Zealand </w:t>
      </w:r>
      <w:r w:rsidR="00DD22FE">
        <w:t xml:space="preserve">receive </w:t>
      </w:r>
      <w:r w:rsidR="00F64C9F">
        <w:t>less</w:t>
      </w:r>
      <w:r w:rsidR="00DD22FE">
        <w:t>, but those on benefits particularly miss out</w:t>
      </w:r>
      <w:r w:rsidR="00F64C9F">
        <w:t xml:space="preserve">. </w:t>
      </w:r>
      <w:r w:rsidR="006D317A" w:rsidRPr="006D317A">
        <w:t xml:space="preserve">As at 1 July 2021, a 6-child family off-benefit in New Zealand received $5,415 on annualised basis less than their Australian counterpart, while the same family on-benefit </w:t>
      </w:r>
      <w:r w:rsidR="006D317A" w:rsidRPr="006D317A">
        <w:lastRenderedPageBreak/>
        <w:t>received $11,435 less than they would in Australia</w:t>
      </w:r>
      <w:r w:rsidR="00F64C9F">
        <w:rPr>
          <w:rFonts w:ascii="Calibri" w:hAnsi="Calibri" w:cs="Calibri"/>
          <w:color w:val="000000"/>
        </w:rPr>
        <w:t>.</w:t>
      </w:r>
      <w:r w:rsidR="00F360B0">
        <w:rPr>
          <w:rFonts w:ascii="Calibri" w:hAnsi="Calibri" w:cs="Calibri"/>
          <w:color w:val="000000"/>
        </w:rPr>
        <w:t xml:space="preserve"> After the NZ 2022 changes, Table 4b shows the estimated </w:t>
      </w:r>
      <w:r w:rsidR="00C52BA4">
        <w:rPr>
          <w:rFonts w:ascii="Calibri" w:hAnsi="Calibri" w:cs="Calibri"/>
          <w:color w:val="000000"/>
        </w:rPr>
        <w:t xml:space="preserve">annualised </w:t>
      </w:r>
      <w:r w:rsidR="00F360B0">
        <w:rPr>
          <w:rFonts w:ascii="Calibri" w:hAnsi="Calibri" w:cs="Calibri"/>
          <w:color w:val="000000"/>
        </w:rPr>
        <w:t xml:space="preserve">difference as at </w:t>
      </w:r>
      <w:r w:rsidR="00C52BA4">
        <w:rPr>
          <w:rFonts w:ascii="Calibri" w:hAnsi="Calibri" w:cs="Calibri"/>
          <w:color w:val="000000"/>
        </w:rPr>
        <w:t xml:space="preserve">1 </w:t>
      </w:r>
      <w:r w:rsidR="00F360B0">
        <w:rPr>
          <w:rFonts w:ascii="Calibri" w:hAnsi="Calibri" w:cs="Calibri"/>
          <w:color w:val="000000"/>
        </w:rPr>
        <w:t>July 2023 may be a little less stark.</w:t>
      </w:r>
    </w:p>
    <w:p w14:paraId="4977BCF1" w14:textId="1E4538FD" w:rsidR="00873CA9" w:rsidRDefault="00873CA9" w:rsidP="00C229B9">
      <w:r>
        <w:t xml:space="preserve">It is not suggested that every aspect of what Australia does for low-income families is worthy; in particular, Family Tax Credit B is abated against the caregiver’s income from a low level unless she is a sole parent.  There are other aspects to welfare policy such as how sole parents are treated when the youngest children is aged 8 that are not child-centric.  </w:t>
      </w:r>
    </w:p>
    <w:p w14:paraId="4C2742DE" w14:textId="4C64045D" w:rsidR="00873CA9" w:rsidRDefault="00F534F5" w:rsidP="00C229B9">
      <w:r>
        <w:t>Unicef international comparisons show that the percentage of children under the 60% after housing costs poverty line in Australia in 2017/18 was around 17.5% (holding steady for at least a decade), whereas in New Zealand, it was much higher, at around 24%, having increased over the decade from around 20%</w:t>
      </w:r>
      <w:r w:rsidR="00900E80">
        <w:t>.</w:t>
      </w:r>
      <w:r>
        <w:rPr>
          <w:rStyle w:val="FootnoteReference"/>
        </w:rPr>
        <w:footnoteReference w:id="4"/>
      </w:r>
      <w:r w:rsidR="00900E80">
        <w:t xml:space="preserve"> </w:t>
      </w:r>
      <w:r w:rsidR="007718FE">
        <w:t>I</w:t>
      </w:r>
      <w:r w:rsidR="00873CA9">
        <w:t xml:space="preserve">t is unlikely that Australia has anywhere near the depth of child poverty </w:t>
      </w:r>
      <w:r w:rsidR="00AF1CBF">
        <w:t>that exists</w:t>
      </w:r>
      <w:r w:rsidR="00873CA9">
        <w:t xml:space="preserve"> in New Zealand where around 160,000 children </w:t>
      </w:r>
      <w:r w:rsidR="00A810BE">
        <w:t xml:space="preserve">were </w:t>
      </w:r>
      <w:r w:rsidR="00873CA9">
        <w:t>languish</w:t>
      </w:r>
      <w:r w:rsidR="00A810BE">
        <w:t>ing</w:t>
      </w:r>
      <w:r w:rsidR="00873CA9">
        <w:t xml:space="preserve"> under the 40% after housing costs poverty line </w:t>
      </w:r>
      <w:r w:rsidR="00A810BE">
        <w:t xml:space="preserve">even </w:t>
      </w:r>
      <w:r w:rsidR="00873CA9">
        <w:t>before Covid hit.</w:t>
      </w:r>
      <w:r w:rsidR="00005377">
        <w:rPr>
          <w:rStyle w:val="FootnoteReference"/>
        </w:rPr>
        <w:footnoteReference w:id="5"/>
      </w:r>
      <w:r w:rsidR="00873CA9">
        <w:t xml:space="preserve"> </w:t>
      </w:r>
    </w:p>
    <w:p w14:paraId="50DE8CC8" w14:textId="7861F5FF" w:rsidR="0059258A" w:rsidRDefault="00506682" w:rsidP="00C229B9">
      <w:r>
        <w:t>The</w:t>
      </w:r>
      <w:r w:rsidR="00020A3A">
        <w:t xml:space="preserve"> use of a ch</w:t>
      </w:r>
      <w:r w:rsidR="0059258A">
        <w:t>i</w:t>
      </w:r>
      <w:r w:rsidR="00020A3A">
        <w:t>ld</w:t>
      </w:r>
      <w:r>
        <w:t xml:space="preserve">-related </w:t>
      </w:r>
      <w:r w:rsidR="00020A3A">
        <w:t>tax credit to ince</w:t>
      </w:r>
      <w:r w:rsidR="0059258A">
        <w:t>n</w:t>
      </w:r>
      <w:r w:rsidR="00020A3A">
        <w:t xml:space="preserve">tivise </w:t>
      </w:r>
      <w:r w:rsidR="0059258A">
        <w:t xml:space="preserve">behaviour of adults </w:t>
      </w:r>
      <w:r w:rsidR="00B57BEB">
        <w:t xml:space="preserve">contributes significantly to </w:t>
      </w:r>
      <w:r w:rsidR="00020A3A">
        <w:t xml:space="preserve">child </w:t>
      </w:r>
      <w:r w:rsidR="00671214">
        <w:t>poverty</w:t>
      </w:r>
      <w:r w:rsidR="00C3492F">
        <w:t xml:space="preserve"> </w:t>
      </w:r>
      <w:r w:rsidR="00A810BE">
        <w:t>in New Zealand</w:t>
      </w:r>
      <w:r w:rsidR="0059258A">
        <w:t>.</w:t>
      </w:r>
      <w:r w:rsidR="00921BF3">
        <w:t xml:space="preserve"> It is out of step with Australia and even in the US, </w:t>
      </w:r>
      <w:r w:rsidR="00C3492F">
        <w:t xml:space="preserve">where </w:t>
      </w:r>
      <w:r w:rsidR="00E6754F">
        <w:t xml:space="preserve">proposed </w:t>
      </w:r>
      <w:r w:rsidR="00921BF3">
        <w:t>reforms to the child tax credit make sure that those without paid work do not get less</w:t>
      </w:r>
      <w:r w:rsidR="005D1186">
        <w:t>.</w:t>
      </w:r>
      <w:r w:rsidR="00EA4D4F">
        <w:rPr>
          <w:rStyle w:val="FootnoteReference"/>
        </w:rPr>
        <w:footnoteReference w:id="6"/>
      </w:r>
    </w:p>
    <w:p w14:paraId="7F9C589F" w14:textId="132A86A1" w:rsidR="00683710" w:rsidRDefault="00B644DA" w:rsidP="00C229B9">
      <w:r>
        <w:t>This issue is of particular urgency</w:t>
      </w:r>
      <w:r w:rsidR="00683710">
        <w:t xml:space="preserve">. While there has been some </w:t>
      </w:r>
      <w:r w:rsidR="00A97564">
        <w:t>soften</w:t>
      </w:r>
      <w:r w:rsidR="00002228">
        <w:t>ing</w:t>
      </w:r>
      <w:r w:rsidR="00A97564">
        <w:t xml:space="preserve"> of the work</w:t>
      </w:r>
      <w:r w:rsidR="00E6754F">
        <w:t>-</w:t>
      </w:r>
      <w:r w:rsidR="00A97564">
        <w:t>related requirements for the IWTC that require</w:t>
      </w:r>
      <w:r w:rsidR="00E04718">
        <w:t>d</w:t>
      </w:r>
      <w:r w:rsidR="00A97564">
        <w:t xml:space="preserve"> families to be in </w:t>
      </w:r>
      <w:r w:rsidR="00002228">
        <w:t xml:space="preserve">fixed hours of </w:t>
      </w:r>
      <w:r w:rsidR="00A97564">
        <w:t>paid work</w:t>
      </w:r>
      <w:r w:rsidR="00DD22FE">
        <w:t>,</w:t>
      </w:r>
      <w:r w:rsidR="00A97564">
        <w:rPr>
          <w:rStyle w:val="FootnoteReference"/>
        </w:rPr>
        <w:footnoteReference w:id="7"/>
      </w:r>
      <w:r w:rsidR="00A97564">
        <w:t xml:space="preserve"> </w:t>
      </w:r>
      <w:r w:rsidR="00714B49">
        <w:t>caregivers are still required to be off-benefit and in some paid work</w:t>
      </w:r>
      <w:r w:rsidR="00002228">
        <w:t>. A</w:t>
      </w:r>
      <w:r w:rsidR="00A97564">
        <w:t xml:space="preserve">s </w:t>
      </w:r>
      <w:r w:rsidR="00714B49">
        <w:t xml:space="preserve">the number of families needing to access benefits </w:t>
      </w:r>
      <w:r w:rsidR="00714B49">
        <w:t>increases</w:t>
      </w:r>
      <w:r w:rsidR="00C52BA4">
        <w:t xml:space="preserve"> in the </w:t>
      </w:r>
      <w:r w:rsidR="00EC6D73">
        <w:t xml:space="preserve">ongoing </w:t>
      </w:r>
      <w:r w:rsidR="00C52BA4">
        <w:t>pandemic</w:t>
      </w:r>
      <w:r w:rsidR="00482852">
        <w:t xml:space="preserve">, </w:t>
      </w:r>
      <w:r w:rsidR="00002228">
        <w:t>whether they have some paid work or not</w:t>
      </w:r>
      <w:r w:rsidR="0068529C">
        <w:t xml:space="preserve">, </w:t>
      </w:r>
      <w:r w:rsidR="00482852">
        <w:t xml:space="preserve">the loss of the IWTC for their children is </w:t>
      </w:r>
      <w:r w:rsidR="00DD22FE">
        <w:t>punitive</w:t>
      </w:r>
      <w:r w:rsidR="0068529C">
        <w:t>.</w:t>
      </w:r>
    </w:p>
    <w:p w14:paraId="6F99961E" w14:textId="73A58403" w:rsidR="00CE104D" w:rsidRDefault="00F40710">
      <w:r>
        <w:t>All</w:t>
      </w:r>
      <w:r w:rsidR="00852522">
        <w:t>o</w:t>
      </w:r>
      <w:r>
        <w:t xml:space="preserve">wing all families </w:t>
      </w:r>
      <w:r w:rsidR="00764150">
        <w:t xml:space="preserve">whether </w:t>
      </w:r>
      <w:r>
        <w:t>o</w:t>
      </w:r>
      <w:r w:rsidR="00DD22FE">
        <w:t>ff</w:t>
      </w:r>
      <w:r w:rsidR="00764150">
        <w:t xml:space="preserve"> or</w:t>
      </w:r>
      <w:r w:rsidR="00DD22FE">
        <w:t xml:space="preserve"> on-benefit</w:t>
      </w:r>
      <w:r w:rsidR="00764150">
        <w:t>s</w:t>
      </w:r>
      <w:r w:rsidR="00DD22FE">
        <w:t xml:space="preserve"> to </w:t>
      </w:r>
      <w:r w:rsidR="00F534F5">
        <w:t xml:space="preserve">have </w:t>
      </w:r>
      <w:r>
        <w:t>full access to WFF is an imp</w:t>
      </w:r>
      <w:r w:rsidR="00852522">
        <w:t>o</w:t>
      </w:r>
      <w:r>
        <w:t xml:space="preserve">rtant </w:t>
      </w:r>
      <w:r w:rsidR="002423E3">
        <w:t>and</w:t>
      </w:r>
      <w:r w:rsidR="00714B49">
        <w:t xml:space="preserve"> highly targeted</w:t>
      </w:r>
      <w:r w:rsidR="00F534F5">
        <w:t>,</w:t>
      </w:r>
      <w:r w:rsidR="00714B49">
        <w:t xml:space="preserve"> </w:t>
      </w:r>
      <w:r w:rsidR="00EA4D4F">
        <w:t>systemic</w:t>
      </w:r>
      <w:r w:rsidR="00F534F5">
        <w:t>,</w:t>
      </w:r>
      <w:r w:rsidR="00EA4D4F">
        <w:t xml:space="preserve"> </w:t>
      </w:r>
      <w:r w:rsidR="00070CF2">
        <w:t xml:space="preserve">meaningful </w:t>
      </w:r>
      <w:r w:rsidR="00EA4D4F">
        <w:t xml:space="preserve">change that would be consistent with </w:t>
      </w:r>
      <w:r w:rsidR="002423E3">
        <w:t xml:space="preserve">child poverty </w:t>
      </w:r>
      <w:r w:rsidR="005547C3">
        <w:t xml:space="preserve">reduction </w:t>
      </w:r>
      <w:r w:rsidR="002423E3">
        <w:t>objectives</w:t>
      </w:r>
      <w:r w:rsidR="00DD22FE">
        <w:t>,</w:t>
      </w:r>
      <w:r w:rsidR="00070CF2">
        <w:t xml:space="preserve"> </w:t>
      </w:r>
      <w:r w:rsidR="00543881">
        <w:t xml:space="preserve">and </w:t>
      </w:r>
      <w:r w:rsidR="00AA07B4">
        <w:t xml:space="preserve">would </w:t>
      </w:r>
      <w:r w:rsidR="00543881">
        <w:t xml:space="preserve">reduce the </w:t>
      </w:r>
      <w:r w:rsidR="00DD22FE">
        <w:t xml:space="preserve">disproportionate </w:t>
      </w:r>
      <w:r w:rsidR="00543881">
        <w:t xml:space="preserve">stress of the Covid </w:t>
      </w:r>
      <w:r w:rsidR="008844D9">
        <w:t>pandemic</w:t>
      </w:r>
      <w:r w:rsidR="00DD22FE">
        <w:t xml:space="preserve"> on low income families.</w:t>
      </w:r>
      <w:r w:rsidR="00E23259">
        <w:t xml:space="preserve"> </w:t>
      </w:r>
      <w:r w:rsidR="00C54B85">
        <w:t>The annual cost would be around $500m</w:t>
      </w:r>
      <w:r w:rsidR="005547C3">
        <w:t>.</w:t>
      </w:r>
    </w:p>
    <w:sectPr w:rsidR="00CE104D" w:rsidSect="00543881">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D582" w14:textId="77777777" w:rsidR="00363DD2" w:rsidRDefault="00363DD2" w:rsidP="003C59A3">
      <w:pPr>
        <w:spacing w:after="0" w:line="240" w:lineRule="auto"/>
      </w:pPr>
      <w:r>
        <w:separator/>
      </w:r>
    </w:p>
  </w:endnote>
  <w:endnote w:type="continuationSeparator" w:id="0">
    <w:p w14:paraId="4A9F8666" w14:textId="77777777" w:rsidR="00363DD2" w:rsidRDefault="00363DD2" w:rsidP="003C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99606"/>
      <w:docPartObj>
        <w:docPartGallery w:val="Page Numbers (Bottom of Page)"/>
        <w:docPartUnique/>
      </w:docPartObj>
    </w:sdtPr>
    <w:sdtEndPr>
      <w:rPr>
        <w:noProof/>
      </w:rPr>
    </w:sdtEndPr>
    <w:sdtContent>
      <w:p w14:paraId="227096DB" w14:textId="525C00B4" w:rsidR="00590661" w:rsidRDefault="00590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F68CB" w14:textId="77777777" w:rsidR="00411848" w:rsidRDefault="00411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A381" w14:textId="77777777" w:rsidR="00363DD2" w:rsidRDefault="00363DD2" w:rsidP="003C59A3">
      <w:pPr>
        <w:spacing w:after="0" w:line="240" w:lineRule="auto"/>
      </w:pPr>
      <w:r>
        <w:separator/>
      </w:r>
    </w:p>
  </w:footnote>
  <w:footnote w:type="continuationSeparator" w:id="0">
    <w:p w14:paraId="1A0A9B4B" w14:textId="77777777" w:rsidR="00363DD2" w:rsidRDefault="00363DD2" w:rsidP="003C59A3">
      <w:pPr>
        <w:spacing w:after="0" w:line="240" w:lineRule="auto"/>
      </w:pPr>
      <w:r>
        <w:continuationSeparator/>
      </w:r>
    </w:p>
  </w:footnote>
  <w:footnote w:id="1">
    <w:p w14:paraId="7F589D9A" w14:textId="333F8A05" w:rsidR="00DD3AD9" w:rsidRPr="00900E80" w:rsidRDefault="00DD3AD9" w:rsidP="00DD3AD9">
      <w:pPr>
        <w:pStyle w:val="FootnoteText"/>
      </w:pPr>
      <w:r w:rsidRPr="005006AF">
        <w:rPr>
          <w:rStyle w:val="FootnoteReference"/>
          <w:sz w:val="16"/>
          <w:szCs w:val="16"/>
        </w:rPr>
        <w:footnoteRef/>
      </w:r>
      <w:r w:rsidRPr="005006AF">
        <w:rPr>
          <w:sz w:val="16"/>
          <w:szCs w:val="16"/>
        </w:rPr>
        <w:t xml:space="preserve"> </w:t>
      </w:r>
      <w:hyperlink r:id="rId1" w:history="1">
        <w:r w:rsidR="002E044E" w:rsidRPr="00614301">
          <w:rPr>
            <w:rStyle w:val="Hyperlink"/>
          </w:rPr>
          <w:t>“We’re backing New Zealand families” Factsheet</w:t>
        </w:r>
      </w:hyperlink>
      <w:r w:rsidR="002E044E" w:rsidRPr="00614301">
        <w:t>, NZ Government, Nov 2021</w:t>
      </w:r>
      <w:r w:rsidR="002E044E" w:rsidRPr="002E044E">
        <w:t xml:space="preserve">. </w:t>
      </w:r>
      <w:r w:rsidRPr="00900E80">
        <w:t>The announced WFF review</w:t>
      </w:r>
      <w:r w:rsidR="00614301">
        <w:t xml:space="preserve"> has</w:t>
      </w:r>
      <w:r w:rsidRPr="00900E80">
        <w:t xml:space="preserve"> been postponed until 2022 and therefore </w:t>
      </w:r>
      <w:r w:rsidR="00662800">
        <w:t xml:space="preserve">further </w:t>
      </w:r>
      <w:r w:rsidRPr="00900E80">
        <w:t xml:space="preserve">changes are unlikely before 2023. Currently, indexation only occurs when cumulated inflation exceeds 5% and that </w:t>
      </w:r>
      <w:r w:rsidR="00AB3135">
        <w:t>occurs</w:t>
      </w:r>
      <w:r>
        <w:t xml:space="preserve"> in 2022 and therefore is unlikely to occur again in 2023.</w:t>
      </w:r>
      <w:r w:rsidR="00435841" w:rsidRPr="00435841">
        <w:t xml:space="preserve"> </w:t>
      </w:r>
      <w:r w:rsidR="00435841">
        <w:t>There will also be an increase in abatement rate from 25% to 27% but this paper is about only the maximums available to those below the threshold.</w:t>
      </w:r>
    </w:p>
  </w:footnote>
  <w:footnote w:id="2">
    <w:p w14:paraId="29F79697" w14:textId="11469125" w:rsidR="002E732E" w:rsidRPr="00900E80" w:rsidRDefault="002E732E" w:rsidP="002E732E">
      <w:pPr>
        <w:pStyle w:val="FootnoteText"/>
        <w:rPr>
          <w:sz w:val="24"/>
          <w:szCs w:val="24"/>
        </w:rPr>
      </w:pPr>
      <w:r w:rsidRPr="00900E80">
        <w:rPr>
          <w:rStyle w:val="FootnoteReference"/>
        </w:rPr>
        <w:footnoteRef/>
      </w:r>
      <w:r w:rsidRPr="00900E80">
        <w:t xml:space="preserve"> </w:t>
      </w:r>
      <w:r>
        <w:t>Includes the increase to the FTC scheduled for 2022. T</w:t>
      </w:r>
      <w:r w:rsidRPr="00900E80">
        <w:t>he IWTC is unadjusted as it is not included in the cumulative 5% rule that</w:t>
      </w:r>
      <w:r>
        <w:t xml:space="preserve"> is</w:t>
      </w:r>
      <w:r w:rsidRPr="00900E80">
        <w:t xml:space="preserve"> applied to the FTC.</w:t>
      </w:r>
      <w:r>
        <w:t xml:space="preserve"> (</w:t>
      </w:r>
      <w:r w:rsidR="00570E49">
        <w:t>1</w:t>
      </w:r>
      <w:r>
        <w:t xml:space="preserve"> July is chosen to align with comparisons later to Australia</w:t>
      </w:r>
      <w:r w:rsidR="00570E49">
        <w:t>.</w:t>
      </w:r>
      <w:r>
        <w:t>)</w:t>
      </w:r>
    </w:p>
  </w:footnote>
  <w:footnote w:id="3">
    <w:p w14:paraId="032D2EFD" w14:textId="7FC9DAE8" w:rsidR="009A1677" w:rsidRDefault="009A1677" w:rsidP="009A1677">
      <w:pPr>
        <w:spacing w:after="120"/>
        <w:rPr>
          <w:sz w:val="20"/>
          <w:szCs w:val="20"/>
        </w:rPr>
      </w:pPr>
      <w:r>
        <w:rPr>
          <w:rStyle w:val="FootnoteReference"/>
        </w:rPr>
        <w:footnoteRef/>
      </w:r>
      <w:r>
        <w:t xml:space="preserve"> </w:t>
      </w:r>
      <w:r w:rsidRPr="009A1677">
        <w:rPr>
          <w:sz w:val="20"/>
          <w:szCs w:val="20"/>
        </w:rPr>
        <w:t xml:space="preserve">The Family Tax Benefit in Australia has two parts – FTBA and FTBB – each with their own eligibility criteria. FTBA is abated according to household income until the payment received is nil. Families will automatically receive the maximum FTBA rate if their household income is below $56,137. There are no work requirements attached to this payment. </w:t>
      </w:r>
    </w:p>
    <w:p w14:paraId="4AECD160" w14:textId="77777777" w:rsidR="009A1677" w:rsidRDefault="009A1677" w:rsidP="009A1677">
      <w:pPr>
        <w:spacing w:after="120"/>
        <w:rPr>
          <w:sz w:val="20"/>
          <w:szCs w:val="20"/>
        </w:rPr>
      </w:pPr>
      <w:r w:rsidRPr="009A1677">
        <w:rPr>
          <w:sz w:val="20"/>
          <w:szCs w:val="20"/>
        </w:rPr>
        <w:t xml:space="preserve">FTBB is a targeted payment with specific eligibility criteria that seeks to compensate for limited engagement with the workforce based on family circumstances. It provides extra assistance to families with young children, single parent families and some couple families with one main income earner. Single parents automatically receive the maximum amount of FTBB so long as they earn under $100,000. </w:t>
      </w:r>
    </w:p>
    <w:p w14:paraId="7DD9C49A" w14:textId="21BC2BE6" w:rsidR="009A1677" w:rsidRPr="009A1677" w:rsidRDefault="009A1677" w:rsidP="009A1677">
      <w:pPr>
        <w:spacing w:after="120"/>
        <w:rPr>
          <w:sz w:val="20"/>
          <w:szCs w:val="20"/>
        </w:rPr>
      </w:pPr>
      <w:r w:rsidRPr="009A1677">
        <w:rPr>
          <w:sz w:val="20"/>
          <w:szCs w:val="20"/>
        </w:rPr>
        <w:t xml:space="preserve">For more detail, see Table 1 of our 2020 comparison report: </w:t>
      </w:r>
      <w:hyperlink r:id="rId2" w:history="1">
        <w:r w:rsidRPr="009A1677">
          <w:rPr>
            <w:rStyle w:val="Hyperlink"/>
            <w:i/>
            <w:iCs/>
            <w:sz w:val="20"/>
            <w:szCs w:val="20"/>
          </w:rPr>
          <w:t>Family Tax Credits: Do children get the support in New Zealand that they would get in Australia?</w:t>
        </w:r>
      </w:hyperlink>
      <w:r w:rsidRPr="009A1677">
        <w:rPr>
          <w:rStyle w:val="Hyperlink"/>
          <w:sz w:val="20"/>
          <w:szCs w:val="20"/>
        </w:rPr>
        <w:t>,</w:t>
      </w:r>
      <w:r w:rsidRPr="009A1677">
        <w:rPr>
          <w:sz w:val="20"/>
          <w:szCs w:val="20"/>
        </w:rPr>
        <w:t xml:space="preserve"> (CPAG June 2020).</w:t>
      </w:r>
    </w:p>
    <w:p w14:paraId="39C017FA" w14:textId="2658466D" w:rsidR="009A1677" w:rsidRPr="009A1677" w:rsidRDefault="009A1677">
      <w:pPr>
        <w:pStyle w:val="FootnoteText"/>
      </w:pPr>
      <w:r>
        <w:t xml:space="preserve"> </w:t>
      </w:r>
    </w:p>
  </w:footnote>
  <w:footnote w:id="4">
    <w:p w14:paraId="1D95B6A3" w14:textId="4AFEB7F9" w:rsidR="00F534F5" w:rsidRPr="00005377" w:rsidRDefault="00F534F5" w:rsidP="00F534F5">
      <w:pPr>
        <w:pStyle w:val="FootnoteText"/>
        <w:rPr>
          <w:lang w:val="en-US"/>
        </w:rPr>
      </w:pPr>
      <w:r>
        <w:rPr>
          <w:rStyle w:val="FootnoteReference"/>
        </w:rPr>
        <w:footnoteRef/>
      </w:r>
      <w:r>
        <w:t xml:space="preserve"> Figure 25. UNICEF Innocenti, ‘Worlds of Influence: Understanding what shapes child well-being in rich countries’, Innocenti Report Card 16, UNICEF Office of Research – Innocenti, Florence, 2020. </w:t>
      </w:r>
      <w:hyperlink r:id="rId3" w:history="1">
        <w:r w:rsidR="007718FE" w:rsidRPr="003220B2">
          <w:rPr>
            <w:rStyle w:val="Hyperlink"/>
          </w:rPr>
          <w:t>https://assets.ctfassets.net/7khjx3c731kq/lYSqwHAIX4yN7gOIpnueS/c9c1005642c66e69c54b93a05cc3bdc0/Report-Card-16-Worlds-of-Influence-child-wellbeing.pdf</w:t>
        </w:r>
      </w:hyperlink>
      <w:r w:rsidR="007718FE">
        <w:t xml:space="preserve"> </w:t>
      </w:r>
    </w:p>
  </w:footnote>
  <w:footnote w:id="5">
    <w:p w14:paraId="6468A895" w14:textId="61339F1B" w:rsidR="00005377" w:rsidRPr="00005377" w:rsidRDefault="00005377">
      <w:pPr>
        <w:pStyle w:val="FootnoteText"/>
        <w:rPr>
          <w:lang w:val="en-US"/>
        </w:rPr>
      </w:pPr>
      <w:r>
        <w:rPr>
          <w:rStyle w:val="FootnoteReference"/>
        </w:rPr>
        <w:footnoteRef/>
      </w:r>
      <w:r>
        <w:t xml:space="preserve"> Table 7.01. StatsNZ (April, 2020) Child poverty statistics – year ended June 2020 corrected </w:t>
      </w:r>
      <w:hyperlink r:id="rId4" w:history="1">
        <w:r w:rsidRPr="00005377">
          <w:rPr>
            <w:rStyle w:val="Hyperlink"/>
          </w:rPr>
          <w:t>https://www.stats.govt.nz/information-releases/child-poverty-statistics-year-ended-june-2020</w:t>
        </w:r>
      </w:hyperlink>
      <w:r>
        <w:t xml:space="preserve"> </w:t>
      </w:r>
    </w:p>
  </w:footnote>
  <w:footnote w:id="6">
    <w:p w14:paraId="4D9F9716" w14:textId="3A8C2EE8" w:rsidR="00EA4D4F" w:rsidRDefault="00EA4D4F">
      <w:pPr>
        <w:pStyle w:val="FootnoteText"/>
      </w:pPr>
      <w:r w:rsidRPr="00E37EE6">
        <w:rPr>
          <w:rStyle w:val="FootnoteReference"/>
          <w:sz w:val="18"/>
          <w:szCs w:val="18"/>
        </w:rPr>
        <w:footnoteRef/>
      </w:r>
      <w:hyperlink r:id="rId5" w:history="1">
        <w:r w:rsidR="00070CF2" w:rsidRPr="00E37EE6">
          <w:rPr>
            <w:rStyle w:val="Hyperlink"/>
            <w:sz w:val="18"/>
            <w:szCs w:val="18"/>
          </w:rPr>
          <w:t>https://waysandmeans.house.gov/sites/democrats.waysandmeans.house.gov/files/documents/SUBFGHJ_xml.pdf</w:t>
        </w:r>
      </w:hyperlink>
      <w:r>
        <w:t xml:space="preserve"> </w:t>
      </w:r>
    </w:p>
    <w:p w14:paraId="6EAB17BA" w14:textId="45830326" w:rsidR="00EA4D4F" w:rsidRPr="00070CF2" w:rsidRDefault="00EA4D4F" w:rsidP="00E37EE6">
      <w:pPr>
        <w:spacing w:after="120"/>
        <w:rPr>
          <w:sz w:val="20"/>
          <w:szCs w:val="20"/>
        </w:rPr>
      </w:pPr>
      <w:r w:rsidRPr="00EA4D4F">
        <w:t xml:space="preserve"> </w:t>
      </w:r>
      <w:r>
        <w:t>"</w:t>
      </w:r>
      <w:r w:rsidRPr="00E37EE6">
        <w:rPr>
          <w:sz w:val="20"/>
          <w:szCs w:val="20"/>
        </w:rPr>
        <w:t>House Ways and Means Committee Chair Richard Neal released a bill to extend the American Rescue Plan’s increase in the Child Tax Credit amount and its provision as a monthly payment through 2025</w:t>
      </w:r>
      <w:r w:rsidRPr="00070CF2">
        <w:rPr>
          <w:sz w:val="20"/>
          <w:szCs w:val="20"/>
        </w:rPr>
        <w:t>, while making the full Child Tax Credit permanently available to children in families with the lowest incomes — which is the main driver of the policy’s anti-poverty impact. The expansion in the Child Tax Credit would result in a landmark reduction in poverty, reducing the number of children with incomes below the poverty line by more than 40 percent. The expansion would have particularly large impacts on Black and Latino children and children in rural communities — about half of children in these groups received only a partial credit or no credit at all because their incomes were too low prior to the Rescue Plan expansion. The Child Tax Credit expansion would help narrow gaping racial disparities in child poverty rates."</w:t>
      </w:r>
    </w:p>
  </w:footnote>
  <w:footnote w:id="7">
    <w:p w14:paraId="407D76F3" w14:textId="263586B8" w:rsidR="00A97564" w:rsidRDefault="00A97564" w:rsidP="00A97564">
      <w:pPr>
        <w:pStyle w:val="FootnoteText"/>
      </w:pPr>
      <w:r>
        <w:rPr>
          <w:rStyle w:val="FootnoteReference"/>
        </w:rPr>
        <w:footnoteRef/>
      </w:r>
      <w:r>
        <w:t xml:space="preserve"> From 1 July 2020, the paid work requirement does not set a minimum number of hours</w:t>
      </w:r>
      <w:r w:rsidR="007718F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259"/>
    <w:multiLevelType w:val="multilevel"/>
    <w:tmpl w:val="4272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544DC"/>
    <w:multiLevelType w:val="hybridMultilevel"/>
    <w:tmpl w:val="CF48B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B00E97"/>
    <w:multiLevelType w:val="hybridMultilevel"/>
    <w:tmpl w:val="10D06CA4"/>
    <w:lvl w:ilvl="0" w:tplc="761C8E8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3D477F"/>
    <w:multiLevelType w:val="hybridMultilevel"/>
    <w:tmpl w:val="536CD5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BD6873"/>
    <w:multiLevelType w:val="hybridMultilevel"/>
    <w:tmpl w:val="294CBD2E"/>
    <w:lvl w:ilvl="0" w:tplc="9EB04804">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5" w15:restartNumberingAfterBreak="0">
    <w:nsid w:val="29136A2E"/>
    <w:multiLevelType w:val="hybridMultilevel"/>
    <w:tmpl w:val="50044164"/>
    <w:lvl w:ilvl="0" w:tplc="2D2201B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8B224A"/>
    <w:multiLevelType w:val="hybridMultilevel"/>
    <w:tmpl w:val="589263DC"/>
    <w:lvl w:ilvl="0" w:tplc="DA9A03D4">
      <w:numFmt w:val="bullet"/>
      <w:lvlText w:val="-"/>
      <w:lvlJc w:val="left"/>
      <w:pPr>
        <w:ind w:left="405" w:hanging="360"/>
      </w:pPr>
      <w:rPr>
        <w:rFonts w:ascii="Calibri" w:eastAsiaTheme="minorHAnsi"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7" w15:restartNumberingAfterBreak="0">
    <w:nsid w:val="458D7DC8"/>
    <w:multiLevelType w:val="hybridMultilevel"/>
    <w:tmpl w:val="FDBEE8D2"/>
    <w:lvl w:ilvl="0" w:tplc="E2D6B34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1E6EBE"/>
    <w:multiLevelType w:val="hybridMultilevel"/>
    <w:tmpl w:val="98D470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7CA197C"/>
    <w:multiLevelType w:val="hybridMultilevel"/>
    <w:tmpl w:val="A4C80A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CCC534D"/>
    <w:multiLevelType w:val="hybridMultilevel"/>
    <w:tmpl w:val="C8B8B72E"/>
    <w:lvl w:ilvl="0" w:tplc="4C2A4DBE">
      <w:start w:val="5"/>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2F1C95"/>
    <w:multiLevelType w:val="hybridMultilevel"/>
    <w:tmpl w:val="8BC21D4E"/>
    <w:lvl w:ilvl="0" w:tplc="92264392">
      <w:start w:val="4"/>
      <w:numFmt w:val="bullet"/>
      <w:lvlText w:val=""/>
      <w:lvlJc w:val="left"/>
      <w:pPr>
        <w:ind w:left="405" w:hanging="360"/>
      </w:pPr>
      <w:rPr>
        <w:rFonts w:ascii="Symbol" w:eastAsiaTheme="minorHAnsi" w:hAnsi="Symbol" w:cstheme="minorBid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2" w15:restartNumberingAfterBreak="0">
    <w:nsid w:val="6D75667D"/>
    <w:multiLevelType w:val="hybridMultilevel"/>
    <w:tmpl w:val="F2AC76AE"/>
    <w:lvl w:ilvl="0" w:tplc="AC023B5E">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785365"/>
    <w:multiLevelType w:val="hybridMultilevel"/>
    <w:tmpl w:val="3B163F16"/>
    <w:lvl w:ilvl="0" w:tplc="51023024">
      <w:start w:val="5"/>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3"/>
  </w:num>
  <w:num w:numId="7">
    <w:abstractNumId w:val="10"/>
  </w:num>
  <w:num w:numId="8">
    <w:abstractNumId w:val="7"/>
  </w:num>
  <w:num w:numId="9">
    <w:abstractNumId w:val="9"/>
  </w:num>
  <w:num w:numId="10">
    <w:abstractNumId w:val="0"/>
  </w:num>
  <w:num w:numId="11">
    <w:abstractNumId w:val="11"/>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98"/>
    <w:rsid w:val="000007F3"/>
    <w:rsid w:val="00002228"/>
    <w:rsid w:val="00003BB5"/>
    <w:rsid w:val="00005377"/>
    <w:rsid w:val="00005AAC"/>
    <w:rsid w:val="00007D2B"/>
    <w:rsid w:val="0001406F"/>
    <w:rsid w:val="00014503"/>
    <w:rsid w:val="00016428"/>
    <w:rsid w:val="00016D67"/>
    <w:rsid w:val="00020A3A"/>
    <w:rsid w:val="00023216"/>
    <w:rsid w:val="000239F6"/>
    <w:rsid w:val="000335AF"/>
    <w:rsid w:val="00033F3E"/>
    <w:rsid w:val="000371D4"/>
    <w:rsid w:val="00041A40"/>
    <w:rsid w:val="0004425D"/>
    <w:rsid w:val="0004495C"/>
    <w:rsid w:val="0004712A"/>
    <w:rsid w:val="00052E50"/>
    <w:rsid w:val="00054517"/>
    <w:rsid w:val="000608FF"/>
    <w:rsid w:val="00064B4B"/>
    <w:rsid w:val="00070CF2"/>
    <w:rsid w:val="00075030"/>
    <w:rsid w:val="00077091"/>
    <w:rsid w:val="00080FEA"/>
    <w:rsid w:val="000817CB"/>
    <w:rsid w:val="00084B93"/>
    <w:rsid w:val="00090E9E"/>
    <w:rsid w:val="000911C6"/>
    <w:rsid w:val="00093445"/>
    <w:rsid w:val="00094DE4"/>
    <w:rsid w:val="00097410"/>
    <w:rsid w:val="000A14EE"/>
    <w:rsid w:val="000A719F"/>
    <w:rsid w:val="000B03D4"/>
    <w:rsid w:val="000B1EE4"/>
    <w:rsid w:val="000B48BC"/>
    <w:rsid w:val="000B6830"/>
    <w:rsid w:val="000B6EDE"/>
    <w:rsid w:val="000C1D21"/>
    <w:rsid w:val="000C39A5"/>
    <w:rsid w:val="000C3DE5"/>
    <w:rsid w:val="000C7BCC"/>
    <w:rsid w:val="000D7218"/>
    <w:rsid w:val="000E08B6"/>
    <w:rsid w:val="000E1964"/>
    <w:rsid w:val="000E540B"/>
    <w:rsid w:val="000F18F9"/>
    <w:rsid w:val="0010358B"/>
    <w:rsid w:val="0010371B"/>
    <w:rsid w:val="00111A8D"/>
    <w:rsid w:val="00116F55"/>
    <w:rsid w:val="0011785A"/>
    <w:rsid w:val="00121679"/>
    <w:rsid w:val="0012374B"/>
    <w:rsid w:val="00126DC6"/>
    <w:rsid w:val="00130069"/>
    <w:rsid w:val="001364E6"/>
    <w:rsid w:val="00136606"/>
    <w:rsid w:val="001374E5"/>
    <w:rsid w:val="001411C5"/>
    <w:rsid w:val="001419B3"/>
    <w:rsid w:val="00144DA1"/>
    <w:rsid w:val="00146A0A"/>
    <w:rsid w:val="001551CB"/>
    <w:rsid w:val="00155EAB"/>
    <w:rsid w:val="00160AA7"/>
    <w:rsid w:val="00161A65"/>
    <w:rsid w:val="00161CB0"/>
    <w:rsid w:val="00162A9E"/>
    <w:rsid w:val="00171959"/>
    <w:rsid w:val="0017391E"/>
    <w:rsid w:val="00175290"/>
    <w:rsid w:val="0017663A"/>
    <w:rsid w:val="001804D3"/>
    <w:rsid w:val="00193846"/>
    <w:rsid w:val="00196236"/>
    <w:rsid w:val="00197848"/>
    <w:rsid w:val="00197A6E"/>
    <w:rsid w:val="001A046A"/>
    <w:rsid w:val="001A11DD"/>
    <w:rsid w:val="001A5E84"/>
    <w:rsid w:val="001A671B"/>
    <w:rsid w:val="001A6BD1"/>
    <w:rsid w:val="001A7875"/>
    <w:rsid w:val="001B540A"/>
    <w:rsid w:val="001B5AC2"/>
    <w:rsid w:val="001C0132"/>
    <w:rsid w:val="001C0353"/>
    <w:rsid w:val="001C2773"/>
    <w:rsid w:val="001D2209"/>
    <w:rsid w:val="001D2EBC"/>
    <w:rsid w:val="001D3241"/>
    <w:rsid w:val="001E1927"/>
    <w:rsid w:val="001E34F4"/>
    <w:rsid w:val="001F77BC"/>
    <w:rsid w:val="001F7C78"/>
    <w:rsid w:val="00201B4D"/>
    <w:rsid w:val="00201FEF"/>
    <w:rsid w:val="002056FF"/>
    <w:rsid w:val="0020669A"/>
    <w:rsid w:val="00211B05"/>
    <w:rsid w:val="00211F8A"/>
    <w:rsid w:val="00213E68"/>
    <w:rsid w:val="00214A5F"/>
    <w:rsid w:val="0022454F"/>
    <w:rsid w:val="002255C7"/>
    <w:rsid w:val="0022586D"/>
    <w:rsid w:val="00226BF0"/>
    <w:rsid w:val="00226DB9"/>
    <w:rsid w:val="002334EF"/>
    <w:rsid w:val="002362AD"/>
    <w:rsid w:val="00240C77"/>
    <w:rsid w:val="002416D2"/>
    <w:rsid w:val="002423E3"/>
    <w:rsid w:val="002438B5"/>
    <w:rsid w:val="00246C5D"/>
    <w:rsid w:val="0025265D"/>
    <w:rsid w:val="0025453F"/>
    <w:rsid w:val="00260808"/>
    <w:rsid w:val="00261EA5"/>
    <w:rsid w:val="00262D89"/>
    <w:rsid w:val="00264946"/>
    <w:rsid w:val="00270D1F"/>
    <w:rsid w:val="002714B9"/>
    <w:rsid w:val="00272EF8"/>
    <w:rsid w:val="00273E7B"/>
    <w:rsid w:val="00281EB3"/>
    <w:rsid w:val="00283F4C"/>
    <w:rsid w:val="002903A4"/>
    <w:rsid w:val="00290802"/>
    <w:rsid w:val="002926C5"/>
    <w:rsid w:val="00293C85"/>
    <w:rsid w:val="002960C6"/>
    <w:rsid w:val="002A0C81"/>
    <w:rsid w:val="002A0F9F"/>
    <w:rsid w:val="002A363C"/>
    <w:rsid w:val="002A41EC"/>
    <w:rsid w:val="002B0C80"/>
    <w:rsid w:val="002C361D"/>
    <w:rsid w:val="002C38D7"/>
    <w:rsid w:val="002C4234"/>
    <w:rsid w:val="002C782A"/>
    <w:rsid w:val="002C7869"/>
    <w:rsid w:val="002D301C"/>
    <w:rsid w:val="002D4302"/>
    <w:rsid w:val="002D5CC1"/>
    <w:rsid w:val="002D6154"/>
    <w:rsid w:val="002D74A4"/>
    <w:rsid w:val="002E044E"/>
    <w:rsid w:val="002E0A43"/>
    <w:rsid w:val="002E0D8A"/>
    <w:rsid w:val="002E4522"/>
    <w:rsid w:val="002E732E"/>
    <w:rsid w:val="002F084C"/>
    <w:rsid w:val="002F28F6"/>
    <w:rsid w:val="002F7719"/>
    <w:rsid w:val="002F7AE9"/>
    <w:rsid w:val="00300142"/>
    <w:rsid w:val="00305CC4"/>
    <w:rsid w:val="003061F8"/>
    <w:rsid w:val="003067C9"/>
    <w:rsid w:val="003075FA"/>
    <w:rsid w:val="00310F38"/>
    <w:rsid w:val="003125BE"/>
    <w:rsid w:val="00317E3F"/>
    <w:rsid w:val="00321F42"/>
    <w:rsid w:val="00322001"/>
    <w:rsid w:val="00324336"/>
    <w:rsid w:val="00324F09"/>
    <w:rsid w:val="0033230B"/>
    <w:rsid w:val="0034112D"/>
    <w:rsid w:val="00341B99"/>
    <w:rsid w:val="003423C6"/>
    <w:rsid w:val="00343B38"/>
    <w:rsid w:val="00344059"/>
    <w:rsid w:val="00350A11"/>
    <w:rsid w:val="00350B8A"/>
    <w:rsid w:val="0035194F"/>
    <w:rsid w:val="00353482"/>
    <w:rsid w:val="00354AD0"/>
    <w:rsid w:val="00355DA5"/>
    <w:rsid w:val="00356BEF"/>
    <w:rsid w:val="003625D4"/>
    <w:rsid w:val="0036301C"/>
    <w:rsid w:val="00363DD2"/>
    <w:rsid w:val="0036415B"/>
    <w:rsid w:val="003646BA"/>
    <w:rsid w:val="0036603C"/>
    <w:rsid w:val="00367D7E"/>
    <w:rsid w:val="00372F4F"/>
    <w:rsid w:val="0037602A"/>
    <w:rsid w:val="003765A5"/>
    <w:rsid w:val="00382A07"/>
    <w:rsid w:val="00395DD4"/>
    <w:rsid w:val="003971CD"/>
    <w:rsid w:val="003A15F6"/>
    <w:rsid w:val="003A1821"/>
    <w:rsid w:val="003A20B8"/>
    <w:rsid w:val="003A3397"/>
    <w:rsid w:val="003A5121"/>
    <w:rsid w:val="003A5858"/>
    <w:rsid w:val="003B1198"/>
    <w:rsid w:val="003B1A2C"/>
    <w:rsid w:val="003B3913"/>
    <w:rsid w:val="003B45F9"/>
    <w:rsid w:val="003B6E0F"/>
    <w:rsid w:val="003C031D"/>
    <w:rsid w:val="003C1037"/>
    <w:rsid w:val="003C1A9C"/>
    <w:rsid w:val="003C59A3"/>
    <w:rsid w:val="003C6874"/>
    <w:rsid w:val="003D2E55"/>
    <w:rsid w:val="003D4040"/>
    <w:rsid w:val="003E6F07"/>
    <w:rsid w:val="003F0418"/>
    <w:rsid w:val="003F1278"/>
    <w:rsid w:val="003F2858"/>
    <w:rsid w:val="003F55D5"/>
    <w:rsid w:val="0040519A"/>
    <w:rsid w:val="00411848"/>
    <w:rsid w:val="00413C16"/>
    <w:rsid w:val="00416B59"/>
    <w:rsid w:val="00417ECC"/>
    <w:rsid w:val="00420ABB"/>
    <w:rsid w:val="00422485"/>
    <w:rsid w:val="004232BE"/>
    <w:rsid w:val="00424436"/>
    <w:rsid w:val="0043183D"/>
    <w:rsid w:val="00431CD0"/>
    <w:rsid w:val="00435841"/>
    <w:rsid w:val="00445FBB"/>
    <w:rsid w:val="0045043B"/>
    <w:rsid w:val="00450E09"/>
    <w:rsid w:val="004540B2"/>
    <w:rsid w:val="00455141"/>
    <w:rsid w:val="00455930"/>
    <w:rsid w:val="00460AC2"/>
    <w:rsid w:val="004659B2"/>
    <w:rsid w:val="00467ACE"/>
    <w:rsid w:val="00470DA7"/>
    <w:rsid w:val="00473977"/>
    <w:rsid w:val="00482852"/>
    <w:rsid w:val="00484D34"/>
    <w:rsid w:val="004851BD"/>
    <w:rsid w:val="00485F5D"/>
    <w:rsid w:val="00486A59"/>
    <w:rsid w:val="004903A6"/>
    <w:rsid w:val="00490EBE"/>
    <w:rsid w:val="0049214D"/>
    <w:rsid w:val="004941AE"/>
    <w:rsid w:val="00495232"/>
    <w:rsid w:val="004979C8"/>
    <w:rsid w:val="004A5884"/>
    <w:rsid w:val="004A7FDD"/>
    <w:rsid w:val="004B0183"/>
    <w:rsid w:val="004B0492"/>
    <w:rsid w:val="004B16B1"/>
    <w:rsid w:val="004B3535"/>
    <w:rsid w:val="004B5D75"/>
    <w:rsid w:val="004B70BB"/>
    <w:rsid w:val="004C2912"/>
    <w:rsid w:val="004C3A43"/>
    <w:rsid w:val="004D2DF0"/>
    <w:rsid w:val="004D7688"/>
    <w:rsid w:val="004E05CA"/>
    <w:rsid w:val="004E55D6"/>
    <w:rsid w:val="004F1065"/>
    <w:rsid w:val="004F324B"/>
    <w:rsid w:val="004F39FD"/>
    <w:rsid w:val="005006AF"/>
    <w:rsid w:val="00500FCB"/>
    <w:rsid w:val="005035A4"/>
    <w:rsid w:val="00505D84"/>
    <w:rsid w:val="00506682"/>
    <w:rsid w:val="00511177"/>
    <w:rsid w:val="00512760"/>
    <w:rsid w:val="00514234"/>
    <w:rsid w:val="00530D4B"/>
    <w:rsid w:val="0053104C"/>
    <w:rsid w:val="00532305"/>
    <w:rsid w:val="00536113"/>
    <w:rsid w:val="00536ACE"/>
    <w:rsid w:val="005402E4"/>
    <w:rsid w:val="00541E7E"/>
    <w:rsid w:val="00542F50"/>
    <w:rsid w:val="00543881"/>
    <w:rsid w:val="005547C3"/>
    <w:rsid w:val="0055705E"/>
    <w:rsid w:val="005655DA"/>
    <w:rsid w:val="00567071"/>
    <w:rsid w:val="005670E1"/>
    <w:rsid w:val="00570E49"/>
    <w:rsid w:val="00572FDC"/>
    <w:rsid w:val="005730BE"/>
    <w:rsid w:val="00576460"/>
    <w:rsid w:val="0057735E"/>
    <w:rsid w:val="00583930"/>
    <w:rsid w:val="00587E3E"/>
    <w:rsid w:val="00590661"/>
    <w:rsid w:val="00591C13"/>
    <w:rsid w:val="0059258A"/>
    <w:rsid w:val="0059260E"/>
    <w:rsid w:val="00593116"/>
    <w:rsid w:val="0059452A"/>
    <w:rsid w:val="00596854"/>
    <w:rsid w:val="005A0839"/>
    <w:rsid w:val="005A2E6A"/>
    <w:rsid w:val="005A305B"/>
    <w:rsid w:val="005A4653"/>
    <w:rsid w:val="005A4AEE"/>
    <w:rsid w:val="005B4374"/>
    <w:rsid w:val="005B63F4"/>
    <w:rsid w:val="005C0370"/>
    <w:rsid w:val="005C1D73"/>
    <w:rsid w:val="005C3657"/>
    <w:rsid w:val="005C63E5"/>
    <w:rsid w:val="005C64E1"/>
    <w:rsid w:val="005D1186"/>
    <w:rsid w:val="005D1CBD"/>
    <w:rsid w:val="005E14DC"/>
    <w:rsid w:val="005F1E31"/>
    <w:rsid w:val="005F3660"/>
    <w:rsid w:val="005F554E"/>
    <w:rsid w:val="005F659B"/>
    <w:rsid w:val="006002C6"/>
    <w:rsid w:val="00600CE7"/>
    <w:rsid w:val="00602A09"/>
    <w:rsid w:val="0060461B"/>
    <w:rsid w:val="00605CC6"/>
    <w:rsid w:val="00606D28"/>
    <w:rsid w:val="00610AF8"/>
    <w:rsid w:val="00612573"/>
    <w:rsid w:val="00614301"/>
    <w:rsid w:val="006157E6"/>
    <w:rsid w:val="00617633"/>
    <w:rsid w:val="0062688D"/>
    <w:rsid w:val="006270FA"/>
    <w:rsid w:val="006277C5"/>
    <w:rsid w:val="006278AE"/>
    <w:rsid w:val="006304DA"/>
    <w:rsid w:val="0063297D"/>
    <w:rsid w:val="00632D55"/>
    <w:rsid w:val="00633266"/>
    <w:rsid w:val="00634160"/>
    <w:rsid w:val="00642496"/>
    <w:rsid w:val="00643C17"/>
    <w:rsid w:val="00644C1E"/>
    <w:rsid w:val="00645FA8"/>
    <w:rsid w:val="006462F3"/>
    <w:rsid w:val="0064730B"/>
    <w:rsid w:val="006550DF"/>
    <w:rsid w:val="00657598"/>
    <w:rsid w:val="00661832"/>
    <w:rsid w:val="006620CE"/>
    <w:rsid w:val="00662800"/>
    <w:rsid w:val="00665127"/>
    <w:rsid w:val="00665D34"/>
    <w:rsid w:val="00671214"/>
    <w:rsid w:val="00675723"/>
    <w:rsid w:val="0068008C"/>
    <w:rsid w:val="006803A7"/>
    <w:rsid w:val="0068268C"/>
    <w:rsid w:val="00683710"/>
    <w:rsid w:val="0068457E"/>
    <w:rsid w:val="00684A62"/>
    <w:rsid w:val="0068529C"/>
    <w:rsid w:val="00693263"/>
    <w:rsid w:val="00695016"/>
    <w:rsid w:val="006959BE"/>
    <w:rsid w:val="00695A4A"/>
    <w:rsid w:val="006976C1"/>
    <w:rsid w:val="00697F3C"/>
    <w:rsid w:val="006A2644"/>
    <w:rsid w:val="006A3AC9"/>
    <w:rsid w:val="006A63B3"/>
    <w:rsid w:val="006A771F"/>
    <w:rsid w:val="006B07DD"/>
    <w:rsid w:val="006B3CF8"/>
    <w:rsid w:val="006B6E73"/>
    <w:rsid w:val="006B7148"/>
    <w:rsid w:val="006C0285"/>
    <w:rsid w:val="006C19C9"/>
    <w:rsid w:val="006C288B"/>
    <w:rsid w:val="006C30CE"/>
    <w:rsid w:val="006D317A"/>
    <w:rsid w:val="006D613F"/>
    <w:rsid w:val="006E0F40"/>
    <w:rsid w:val="006E32B0"/>
    <w:rsid w:val="006E5648"/>
    <w:rsid w:val="006E5E1A"/>
    <w:rsid w:val="006F0624"/>
    <w:rsid w:val="006F0D03"/>
    <w:rsid w:val="006F3B52"/>
    <w:rsid w:val="006F595B"/>
    <w:rsid w:val="006F602F"/>
    <w:rsid w:val="006F6879"/>
    <w:rsid w:val="00702594"/>
    <w:rsid w:val="00702C80"/>
    <w:rsid w:val="00707447"/>
    <w:rsid w:val="00707BB1"/>
    <w:rsid w:val="0071159B"/>
    <w:rsid w:val="00713099"/>
    <w:rsid w:val="007139D9"/>
    <w:rsid w:val="00714B49"/>
    <w:rsid w:val="00714B5D"/>
    <w:rsid w:val="00721198"/>
    <w:rsid w:val="00721351"/>
    <w:rsid w:val="007266AA"/>
    <w:rsid w:val="0073334B"/>
    <w:rsid w:val="00737C46"/>
    <w:rsid w:val="00741D22"/>
    <w:rsid w:val="0074418F"/>
    <w:rsid w:val="00747E0A"/>
    <w:rsid w:val="00750415"/>
    <w:rsid w:val="00751E0B"/>
    <w:rsid w:val="00751F28"/>
    <w:rsid w:val="00752C45"/>
    <w:rsid w:val="00753E23"/>
    <w:rsid w:val="00757AD8"/>
    <w:rsid w:val="00757C03"/>
    <w:rsid w:val="0076191F"/>
    <w:rsid w:val="0076356F"/>
    <w:rsid w:val="00764150"/>
    <w:rsid w:val="00771838"/>
    <w:rsid w:val="007718FE"/>
    <w:rsid w:val="00772056"/>
    <w:rsid w:val="00780579"/>
    <w:rsid w:val="00786056"/>
    <w:rsid w:val="00794AAA"/>
    <w:rsid w:val="0079554D"/>
    <w:rsid w:val="007A0D2A"/>
    <w:rsid w:val="007A35C2"/>
    <w:rsid w:val="007A6A9C"/>
    <w:rsid w:val="007A7EC4"/>
    <w:rsid w:val="007B207F"/>
    <w:rsid w:val="007B208A"/>
    <w:rsid w:val="007B2204"/>
    <w:rsid w:val="007B56D2"/>
    <w:rsid w:val="007C41C4"/>
    <w:rsid w:val="007D03FA"/>
    <w:rsid w:val="007D1D51"/>
    <w:rsid w:val="007D224C"/>
    <w:rsid w:val="007D64AE"/>
    <w:rsid w:val="007D7154"/>
    <w:rsid w:val="007E0525"/>
    <w:rsid w:val="007E0BA3"/>
    <w:rsid w:val="007F2696"/>
    <w:rsid w:val="007F2983"/>
    <w:rsid w:val="00800CD1"/>
    <w:rsid w:val="008019FF"/>
    <w:rsid w:val="0080335F"/>
    <w:rsid w:val="00810561"/>
    <w:rsid w:val="00810FA3"/>
    <w:rsid w:val="008128F8"/>
    <w:rsid w:val="0081305A"/>
    <w:rsid w:val="008158CB"/>
    <w:rsid w:val="008247CE"/>
    <w:rsid w:val="00825BA1"/>
    <w:rsid w:val="00826EB8"/>
    <w:rsid w:val="008273F4"/>
    <w:rsid w:val="00827442"/>
    <w:rsid w:val="00830250"/>
    <w:rsid w:val="00832134"/>
    <w:rsid w:val="008333E1"/>
    <w:rsid w:val="00837125"/>
    <w:rsid w:val="00837EE1"/>
    <w:rsid w:val="0084210E"/>
    <w:rsid w:val="00842E49"/>
    <w:rsid w:val="00843999"/>
    <w:rsid w:val="00852499"/>
    <w:rsid w:val="00852522"/>
    <w:rsid w:val="00853FFA"/>
    <w:rsid w:val="008560D8"/>
    <w:rsid w:val="00866E01"/>
    <w:rsid w:val="00873CA9"/>
    <w:rsid w:val="0087653D"/>
    <w:rsid w:val="008823AF"/>
    <w:rsid w:val="00883411"/>
    <w:rsid w:val="008844D9"/>
    <w:rsid w:val="00892DB5"/>
    <w:rsid w:val="00892FEE"/>
    <w:rsid w:val="008970A3"/>
    <w:rsid w:val="008A18E3"/>
    <w:rsid w:val="008B5742"/>
    <w:rsid w:val="008B5B29"/>
    <w:rsid w:val="008C1883"/>
    <w:rsid w:val="008C2059"/>
    <w:rsid w:val="008C4CF6"/>
    <w:rsid w:val="008C6B43"/>
    <w:rsid w:val="008D0BD4"/>
    <w:rsid w:val="008D4AF1"/>
    <w:rsid w:val="008D5499"/>
    <w:rsid w:val="008E1694"/>
    <w:rsid w:val="008E250A"/>
    <w:rsid w:val="008E323E"/>
    <w:rsid w:val="008E6043"/>
    <w:rsid w:val="008F0F79"/>
    <w:rsid w:val="008F1E82"/>
    <w:rsid w:val="008F2B21"/>
    <w:rsid w:val="008F5F05"/>
    <w:rsid w:val="008F5F32"/>
    <w:rsid w:val="00900E80"/>
    <w:rsid w:val="009030DC"/>
    <w:rsid w:val="009051FA"/>
    <w:rsid w:val="00907C16"/>
    <w:rsid w:val="00912FD3"/>
    <w:rsid w:val="00917077"/>
    <w:rsid w:val="00921BF3"/>
    <w:rsid w:val="00924EE0"/>
    <w:rsid w:val="00931083"/>
    <w:rsid w:val="0093733F"/>
    <w:rsid w:val="00940CD9"/>
    <w:rsid w:val="00942230"/>
    <w:rsid w:val="00942751"/>
    <w:rsid w:val="00942C07"/>
    <w:rsid w:val="00946D51"/>
    <w:rsid w:val="00950098"/>
    <w:rsid w:val="00951CFC"/>
    <w:rsid w:val="009542F9"/>
    <w:rsid w:val="00954A0F"/>
    <w:rsid w:val="00960D76"/>
    <w:rsid w:val="00961749"/>
    <w:rsid w:val="00964DAD"/>
    <w:rsid w:val="0097143D"/>
    <w:rsid w:val="009743C2"/>
    <w:rsid w:val="0097649D"/>
    <w:rsid w:val="0097715F"/>
    <w:rsid w:val="009776E4"/>
    <w:rsid w:val="00984471"/>
    <w:rsid w:val="00984E69"/>
    <w:rsid w:val="00985760"/>
    <w:rsid w:val="00987ACE"/>
    <w:rsid w:val="00987CAB"/>
    <w:rsid w:val="00993283"/>
    <w:rsid w:val="0099783E"/>
    <w:rsid w:val="009A0938"/>
    <w:rsid w:val="009A0B92"/>
    <w:rsid w:val="009A1677"/>
    <w:rsid w:val="009A1F3D"/>
    <w:rsid w:val="009A405B"/>
    <w:rsid w:val="009A62FA"/>
    <w:rsid w:val="009B025F"/>
    <w:rsid w:val="009B0949"/>
    <w:rsid w:val="009B2885"/>
    <w:rsid w:val="009B7633"/>
    <w:rsid w:val="009C1DA8"/>
    <w:rsid w:val="009C2A61"/>
    <w:rsid w:val="009C302E"/>
    <w:rsid w:val="009C4C61"/>
    <w:rsid w:val="009D5671"/>
    <w:rsid w:val="009D6C06"/>
    <w:rsid w:val="009E01D1"/>
    <w:rsid w:val="009E41C4"/>
    <w:rsid w:val="009E67D7"/>
    <w:rsid w:val="009F444F"/>
    <w:rsid w:val="009F489D"/>
    <w:rsid w:val="009F4AB5"/>
    <w:rsid w:val="009F4CA5"/>
    <w:rsid w:val="009F668E"/>
    <w:rsid w:val="009F6CCF"/>
    <w:rsid w:val="00A00579"/>
    <w:rsid w:val="00A01D29"/>
    <w:rsid w:val="00A03D3D"/>
    <w:rsid w:val="00A06C0C"/>
    <w:rsid w:val="00A0754A"/>
    <w:rsid w:val="00A1377C"/>
    <w:rsid w:val="00A15DAE"/>
    <w:rsid w:val="00A21D8F"/>
    <w:rsid w:val="00A238A6"/>
    <w:rsid w:val="00A25846"/>
    <w:rsid w:val="00A2736C"/>
    <w:rsid w:val="00A27F26"/>
    <w:rsid w:val="00A36E44"/>
    <w:rsid w:val="00A37D1D"/>
    <w:rsid w:val="00A42C8D"/>
    <w:rsid w:val="00A45CCE"/>
    <w:rsid w:val="00A5128F"/>
    <w:rsid w:val="00A51D08"/>
    <w:rsid w:val="00A55A55"/>
    <w:rsid w:val="00A56B9B"/>
    <w:rsid w:val="00A572FC"/>
    <w:rsid w:val="00A601D0"/>
    <w:rsid w:val="00A61D04"/>
    <w:rsid w:val="00A64CC3"/>
    <w:rsid w:val="00A65001"/>
    <w:rsid w:val="00A71AC4"/>
    <w:rsid w:val="00A72F84"/>
    <w:rsid w:val="00A770B9"/>
    <w:rsid w:val="00A80AC4"/>
    <w:rsid w:val="00A810BE"/>
    <w:rsid w:val="00A818CC"/>
    <w:rsid w:val="00A83847"/>
    <w:rsid w:val="00A84F04"/>
    <w:rsid w:val="00A85845"/>
    <w:rsid w:val="00A870AC"/>
    <w:rsid w:val="00A96F72"/>
    <w:rsid w:val="00A97564"/>
    <w:rsid w:val="00AA07B4"/>
    <w:rsid w:val="00AB3135"/>
    <w:rsid w:val="00AB4903"/>
    <w:rsid w:val="00AC168A"/>
    <w:rsid w:val="00AC4575"/>
    <w:rsid w:val="00AC581D"/>
    <w:rsid w:val="00AC5EF5"/>
    <w:rsid w:val="00AC7361"/>
    <w:rsid w:val="00AD2D33"/>
    <w:rsid w:val="00AD373B"/>
    <w:rsid w:val="00AD4EEC"/>
    <w:rsid w:val="00AE0E62"/>
    <w:rsid w:val="00AE0EA9"/>
    <w:rsid w:val="00AE1B56"/>
    <w:rsid w:val="00AE2C9F"/>
    <w:rsid w:val="00AE3CF3"/>
    <w:rsid w:val="00AE6D9E"/>
    <w:rsid w:val="00AF1CBF"/>
    <w:rsid w:val="00AF6226"/>
    <w:rsid w:val="00AF65B9"/>
    <w:rsid w:val="00AF7049"/>
    <w:rsid w:val="00B0586B"/>
    <w:rsid w:val="00B10F71"/>
    <w:rsid w:val="00B13CF6"/>
    <w:rsid w:val="00B2058D"/>
    <w:rsid w:val="00B20F7F"/>
    <w:rsid w:val="00B2193B"/>
    <w:rsid w:val="00B22462"/>
    <w:rsid w:val="00B228CE"/>
    <w:rsid w:val="00B22AD4"/>
    <w:rsid w:val="00B26164"/>
    <w:rsid w:val="00B30B23"/>
    <w:rsid w:val="00B30B36"/>
    <w:rsid w:val="00B31543"/>
    <w:rsid w:val="00B334F7"/>
    <w:rsid w:val="00B363A6"/>
    <w:rsid w:val="00B475D9"/>
    <w:rsid w:val="00B475F9"/>
    <w:rsid w:val="00B51223"/>
    <w:rsid w:val="00B51B18"/>
    <w:rsid w:val="00B530C8"/>
    <w:rsid w:val="00B5593B"/>
    <w:rsid w:val="00B57BEB"/>
    <w:rsid w:val="00B61B79"/>
    <w:rsid w:val="00B644DA"/>
    <w:rsid w:val="00B66206"/>
    <w:rsid w:val="00B664FF"/>
    <w:rsid w:val="00B75BAF"/>
    <w:rsid w:val="00B76E92"/>
    <w:rsid w:val="00B824D9"/>
    <w:rsid w:val="00B8425C"/>
    <w:rsid w:val="00B86C9D"/>
    <w:rsid w:val="00B90A18"/>
    <w:rsid w:val="00B9572F"/>
    <w:rsid w:val="00B9578A"/>
    <w:rsid w:val="00BA4D6E"/>
    <w:rsid w:val="00BA62FF"/>
    <w:rsid w:val="00BB7193"/>
    <w:rsid w:val="00BC0DA5"/>
    <w:rsid w:val="00BC137D"/>
    <w:rsid w:val="00BC1CC9"/>
    <w:rsid w:val="00BC2DDD"/>
    <w:rsid w:val="00BD4B31"/>
    <w:rsid w:val="00BD7615"/>
    <w:rsid w:val="00BE2010"/>
    <w:rsid w:val="00BE288D"/>
    <w:rsid w:val="00BE2C94"/>
    <w:rsid w:val="00BE5A9B"/>
    <w:rsid w:val="00BF301F"/>
    <w:rsid w:val="00BF51CA"/>
    <w:rsid w:val="00BF5308"/>
    <w:rsid w:val="00BF5475"/>
    <w:rsid w:val="00C00BCC"/>
    <w:rsid w:val="00C0278D"/>
    <w:rsid w:val="00C03F4E"/>
    <w:rsid w:val="00C05049"/>
    <w:rsid w:val="00C0534F"/>
    <w:rsid w:val="00C17F02"/>
    <w:rsid w:val="00C229B9"/>
    <w:rsid w:val="00C30F1D"/>
    <w:rsid w:val="00C33648"/>
    <w:rsid w:val="00C3492F"/>
    <w:rsid w:val="00C34DCC"/>
    <w:rsid w:val="00C37AE0"/>
    <w:rsid w:val="00C41C0A"/>
    <w:rsid w:val="00C46FB7"/>
    <w:rsid w:val="00C4775E"/>
    <w:rsid w:val="00C47F21"/>
    <w:rsid w:val="00C52BA4"/>
    <w:rsid w:val="00C54B85"/>
    <w:rsid w:val="00C564F6"/>
    <w:rsid w:val="00C56553"/>
    <w:rsid w:val="00C60415"/>
    <w:rsid w:val="00C61183"/>
    <w:rsid w:val="00C6272F"/>
    <w:rsid w:val="00C642D0"/>
    <w:rsid w:val="00C65900"/>
    <w:rsid w:val="00C6787A"/>
    <w:rsid w:val="00C72271"/>
    <w:rsid w:val="00C745F6"/>
    <w:rsid w:val="00C75091"/>
    <w:rsid w:val="00C75E51"/>
    <w:rsid w:val="00C80A90"/>
    <w:rsid w:val="00C816A1"/>
    <w:rsid w:val="00C82981"/>
    <w:rsid w:val="00C82C99"/>
    <w:rsid w:val="00C86FBA"/>
    <w:rsid w:val="00C9078A"/>
    <w:rsid w:val="00C9111B"/>
    <w:rsid w:val="00C9399D"/>
    <w:rsid w:val="00C946D0"/>
    <w:rsid w:val="00C95FDE"/>
    <w:rsid w:val="00C965B9"/>
    <w:rsid w:val="00C969DC"/>
    <w:rsid w:val="00CA4D29"/>
    <w:rsid w:val="00CA607A"/>
    <w:rsid w:val="00CA61FC"/>
    <w:rsid w:val="00CB2839"/>
    <w:rsid w:val="00CB57AC"/>
    <w:rsid w:val="00CC14EB"/>
    <w:rsid w:val="00CC1789"/>
    <w:rsid w:val="00CC3160"/>
    <w:rsid w:val="00CC6334"/>
    <w:rsid w:val="00CD3B05"/>
    <w:rsid w:val="00CD4594"/>
    <w:rsid w:val="00CD59E9"/>
    <w:rsid w:val="00CD5BC6"/>
    <w:rsid w:val="00CD6991"/>
    <w:rsid w:val="00CE0962"/>
    <w:rsid w:val="00CE0C55"/>
    <w:rsid w:val="00CE104D"/>
    <w:rsid w:val="00CE3B03"/>
    <w:rsid w:val="00CE54ED"/>
    <w:rsid w:val="00CE5F1C"/>
    <w:rsid w:val="00CF5ADD"/>
    <w:rsid w:val="00D16F16"/>
    <w:rsid w:val="00D236D1"/>
    <w:rsid w:val="00D24CCB"/>
    <w:rsid w:val="00D2722F"/>
    <w:rsid w:val="00D3493B"/>
    <w:rsid w:val="00D44013"/>
    <w:rsid w:val="00D44944"/>
    <w:rsid w:val="00D45136"/>
    <w:rsid w:val="00D45280"/>
    <w:rsid w:val="00D47C7F"/>
    <w:rsid w:val="00D52020"/>
    <w:rsid w:val="00D6645F"/>
    <w:rsid w:val="00D67548"/>
    <w:rsid w:val="00D705FD"/>
    <w:rsid w:val="00D74E40"/>
    <w:rsid w:val="00D753AE"/>
    <w:rsid w:val="00D875FD"/>
    <w:rsid w:val="00D906D9"/>
    <w:rsid w:val="00D91684"/>
    <w:rsid w:val="00D93179"/>
    <w:rsid w:val="00D9439B"/>
    <w:rsid w:val="00DA4A4D"/>
    <w:rsid w:val="00DB423B"/>
    <w:rsid w:val="00DB5AAE"/>
    <w:rsid w:val="00DB6CAC"/>
    <w:rsid w:val="00DC5960"/>
    <w:rsid w:val="00DD22FE"/>
    <w:rsid w:val="00DD3AD9"/>
    <w:rsid w:val="00DD473F"/>
    <w:rsid w:val="00DD7005"/>
    <w:rsid w:val="00DE095E"/>
    <w:rsid w:val="00DF0388"/>
    <w:rsid w:val="00DF0483"/>
    <w:rsid w:val="00DF54FB"/>
    <w:rsid w:val="00DF620D"/>
    <w:rsid w:val="00DF6A77"/>
    <w:rsid w:val="00DF7317"/>
    <w:rsid w:val="00E02181"/>
    <w:rsid w:val="00E04718"/>
    <w:rsid w:val="00E058B9"/>
    <w:rsid w:val="00E07AA6"/>
    <w:rsid w:val="00E10831"/>
    <w:rsid w:val="00E122B4"/>
    <w:rsid w:val="00E23259"/>
    <w:rsid w:val="00E2542C"/>
    <w:rsid w:val="00E26439"/>
    <w:rsid w:val="00E335DF"/>
    <w:rsid w:val="00E3587C"/>
    <w:rsid w:val="00E37EE6"/>
    <w:rsid w:val="00E40F5E"/>
    <w:rsid w:val="00E41B62"/>
    <w:rsid w:val="00E4271F"/>
    <w:rsid w:val="00E4369E"/>
    <w:rsid w:val="00E45897"/>
    <w:rsid w:val="00E46BA6"/>
    <w:rsid w:val="00E56E08"/>
    <w:rsid w:val="00E6194A"/>
    <w:rsid w:val="00E62F52"/>
    <w:rsid w:val="00E6754F"/>
    <w:rsid w:val="00E67F13"/>
    <w:rsid w:val="00E70DA2"/>
    <w:rsid w:val="00E718D4"/>
    <w:rsid w:val="00E73E69"/>
    <w:rsid w:val="00E8177D"/>
    <w:rsid w:val="00E82AAE"/>
    <w:rsid w:val="00E8474C"/>
    <w:rsid w:val="00E848B6"/>
    <w:rsid w:val="00E92FAC"/>
    <w:rsid w:val="00E931B0"/>
    <w:rsid w:val="00E96569"/>
    <w:rsid w:val="00EA15F6"/>
    <w:rsid w:val="00EA4D4F"/>
    <w:rsid w:val="00EA6A8F"/>
    <w:rsid w:val="00EB000C"/>
    <w:rsid w:val="00EB04D2"/>
    <w:rsid w:val="00EB1902"/>
    <w:rsid w:val="00EB219F"/>
    <w:rsid w:val="00EC6581"/>
    <w:rsid w:val="00EC6D73"/>
    <w:rsid w:val="00ED0C09"/>
    <w:rsid w:val="00ED290D"/>
    <w:rsid w:val="00EE02D0"/>
    <w:rsid w:val="00EE1594"/>
    <w:rsid w:val="00EE166B"/>
    <w:rsid w:val="00EE16F9"/>
    <w:rsid w:val="00EE27EB"/>
    <w:rsid w:val="00EE7E51"/>
    <w:rsid w:val="00EF665B"/>
    <w:rsid w:val="00F00116"/>
    <w:rsid w:val="00F00A8E"/>
    <w:rsid w:val="00F051BC"/>
    <w:rsid w:val="00F07BC2"/>
    <w:rsid w:val="00F10C51"/>
    <w:rsid w:val="00F11BAE"/>
    <w:rsid w:val="00F132C1"/>
    <w:rsid w:val="00F15389"/>
    <w:rsid w:val="00F200D8"/>
    <w:rsid w:val="00F20BC3"/>
    <w:rsid w:val="00F215A9"/>
    <w:rsid w:val="00F232C6"/>
    <w:rsid w:val="00F24447"/>
    <w:rsid w:val="00F25695"/>
    <w:rsid w:val="00F257A8"/>
    <w:rsid w:val="00F31864"/>
    <w:rsid w:val="00F3440F"/>
    <w:rsid w:val="00F360B0"/>
    <w:rsid w:val="00F40710"/>
    <w:rsid w:val="00F42CC8"/>
    <w:rsid w:val="00F460EC"/>
    <w:rsid w:val="00F47991"/>
    <w:rsid w:val="00F50143"/>
    <w:rsid w:val="00F534F5"/>
    <w:rsid w:val="00F62C0A"/>
    <w:rsid w:val="00F64C9F"/>
    <w:rsid w:val="00F65CEC"/>
    <w:rsid w:val="00F67A0D"/>
    <w:rsid w:val="00F708BC"/>
    <w:rsid w:val="00F74D4A"/>
    <w:rsid w:val="00F80588"/>
    <w:rsid w:val="00F8151A"/>
    <w:rsid w:val="00F859B7"/>
    <w:rsid w:val="00F8619E"/>
    <w:rsid w:val="00F877BF"/>
    <w:rsid w:val="00F94DDE"/>
    <w:rsid w:val="00F9546C"/>
    <w:rsid w:val="00F972B5"/>
    <w:rsid w:val="00F97339"/>
    <w:rsid w:val="00FA197D"/>
    <w:rsid w:val="00FA25C4"/>
    <w:rsid w:val="00FA6FB3"/>
    <w:rsid w:val="00FA7247"/>
    <w:rsid w:val="00FB31A5"/>
    <w:rsid w:val="00FB5A1E"/>
    <w:rsid w:val="00FC0BC1"/>
    <w:rsid w:val="00FC13CE"/>
    <w:rsid w:val="00FC2ADE"/>
    <w:rsid w:val="00FC45D7"/>
    <w:rsid w:val="00FC7466"/>
    <w:rsid w:val="00FC7F07"/>
    <w:rsid w:val="00FD5027"/>
    <w:rsid w:val="00FE0D27"/>
    <w:rsid w:val="00FE2D9B"/>
    <w:rsid w:val="00FE3A98"/>
    <w:rsid w:val="00FE5596"/>
    <w:rsid w:val="00FE6AAE"/>
    <w:rsid w:val="00FF1291"/>
    <w:rsid w:val="00FF5812"/>
    <w:rsid w:val="00FF7C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BB84"/>
  <w15:docId w15:val="{9D7692E2-323C-4EDB-B774-B6156F3F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0A"/>
    <w:rPr>
      <w:sz w:val="24"/>
    </w:rPr>
  </w:style>
  <w:style w:type="paragraph" w:styleId="Heading1">
    <w:name w:val="heading 1"/>
    <w:basedOn w:val="Normal"/>
    <w:next w:val="Normal"/>
    <w:link w:val="Heading1Char"/>
    <w:uiPriority w:val="9"/>
    <w:qFormat/>
    <w:rsid w:val="007A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24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5C4"/>
    <w:pPr>
      <w:ind w:left="720"/>
      <w:contextualSpacing/>
    </w:pPr>
  </w:style>
  <w:style w:type="character" w:styleId="CommentReference">
    <w:name w:val="annotation reference"/>
    <w:basedOn w:val="DefaultParagraphFont"/>
    <w:uiPriority w:val="99"/>
    <w:semiHidden/>
    <w:unhideWhenUsed/>
    <w:rsid w:val="00780579"/>
    <w:rPr>
      <w:sz w:val="16"/>
      <w:szCs w:val="16"/>
    </w:rPr>
  </w:style>
  <w:style w:type="paragraph" w:styleId="CommentText">
    <w:name w:val="annotation text"/>
    <w:basedOn w:val="Normal"/>
    <w:link w:val="CommentTextChar"/>
    <w:uiPriority w:val="99"/>
    <w:unhideWhenUsed/>
    <w:rsid w:val="00780579"/>
    <w:pPr>
      <w:spacing w:line="240" w:lineRule="auto"/>
    </w:pPr>
    <w:rPr>
      <w:sz w:val="20"/>
      <w:szCs w:val="20"/>
    </w:rPr>
  </w:style>
  <w:style w:type="character" w:customStyle="1" w:styleId="CommentTextChar">
    <w:name w:val="Comment Text Char"/>
    <w:basedOn w:val="DefaultParagraphFont"/>
    <w:link w:val="CommentText"/>
    <w:uiPriority w:val="99"/>
    <w:rsid w:val="00780579"/>
    <w:rPr>
      <w:sz w:val="20"/>
      <w:szCs w:val="20"/>
    </w:rPr>
  </w:style>
  <w:style w:type="paragraph" w:styleId="CommentSubject">
    <w:name w:val="annotation subject"/>
    <w:basedOn w:val="CommentText"/>
    <w:next w:val="CommentText"/>
    <w:link w:val="CommentSubjectChar"/>
    <w:uiPriority w:val="99"/>
    <w:semiHidden/>
    <w:unhideWhenUsed/>
    <w:rsid w:val="00780579"/>
    <w:rPr>
      <w:b/>
      <w:bCs/>
    </w:rPr>
  </w:style>
  <w:style w:type="character" w:customStyle="1" w:styleId="CommentSubjectChar">
    <w:name w:val="Comment Subject Char"/>
    <w:basedOn w:val="CommentTextChar"/>
    <w:link w:val="CommentSubject"/>
    <w:uiPriority w:val="99"/>
    <w:semiHidden/>
    <w:rsid w:val="00780579"/>
    <w:rPr>
      <w:b/>
      <w:bCs/>
      <w:sz w:val="20"/>
      <w:szCs w:val="20"/>
    </w:rPr>
  </w:style>
  <w:style w:type="paragraph" w:styleId="BalloonText">
    <w:name w:val="Balloon Text"/>
    <w:basedOn w:val="Normal"/>
    <w:link w:val="BalloonTextChar"/>
    <w:uiPriority w:val="99"/>
    <w:semiHidden/>
    <w:unhideWhenUsed/>
    <w:rsid w:val="0078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579"/>
    <w:rPr>
      <w:rFonts w:ascii="Segoe UI" w:hAnsi="Segoe UI" w:cs="Segoe UI"/>
      <w:sz w:val="18"/>
      <w:szCs w:val="18"/>
    </w:rPr>
  </w:style>
  <w:style w:type="character" w:styleId="Hyperlink">
    <w:name w:val="Hyperlink"/>
    <w:basedOn w:val="DefaultParagraphFont"/>
    <w:uiPriority w:val="99"/>
    <w:unhideWhenUsed/>
    <w:rsid w:val="009A62FA"/>
    <w:rPr>
      <w:color w:val="0563C1" w:themeColor="hyperlink"/>
      <w:u w:val="single"/>
    </w:rPr>
  </w:style>
  <w:style w:type="paragraph" w:styleId="FootnoteText">
    <w:name w:val="footnote text"/>
    <w:basedOn w:val="Normal"/>
    <w:link w:val="FootnoteTextChar"/>
    <w:uiPriority w:val="99"/>
    <w:semiHidden/>
    <w:unhideWhenUsed/>
    <w:rsid w:val="003C5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9A3"/>
    <w:rPr>
      <w:sz w:val="20"/>
      <w:szCs w:val="20"/>
    </w:rPr>
  </w:style>
  <w:style w:type="character" w:styleId="FootnoteReference">
    <w:name w:val="footnote reference"/>
    <w:basedOn w:val="DefaultParagraphFont"/>
    <w:uiPriority w:val="99"/>
    <w:semiHidden/>
    <w:unhideWhenUsed/>
    <w:rsid w:val="003C59A3"/>
    <w:rPr>
      <w:vertAlign w:val="superscript"/>
    </w:rPr>
  </w:style>
  <w:style w:type="character" w:customStyle="1" w:styleId="Heading1Char">
    <w:name w:val="Heading 1 Char"/>
    <w:basedOn w:val="DefaultParagraphFont"/>
    <w:link w:val="Heading1"/>
    <w:uiPriority w:val="9"/>
    <w:rsid w:val="007A35C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A2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0B8"/>
  </w:style>
  <w:style w:type="paragraph" w:styleId="Footer">
    <w:name w:val="footer"/>
    <w:basedOn w:val="Normal"/>
    <w:link w:val="FooterChar"/>
    <w:uiPriority w:val="99"/>
    <w:unhideWhenUsed/>
    <w:rsid w:val="003A2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0B8"/>
  </w:style>
  <w:style w:type="character" w:styleId="FollowedHyperlink">
    <w:name w:val="FollowedHyperlink"/>
    <w:basedOn w:val="DefaultParagraphFont"/>
    <w:uiPriority w:val="99"/>
    <w:semiHidden/>
    <w:unhideWhenUsed/>
    <w:rsid w:val="008E6043"/>
    <w:rPr>
      <w:color w:val="954F72" w:themeColor="followedHyperlink"/>
      <w:u w:val="single"/>
    </w:rPr>
  </w:style>
  <w:style w:type="character" w:customStyle="1" w:styleId="UnresolvedMention1">
    <w:name w:val="Unresolved Mention1"/>
    <w:basedOn w:val="DefaultParagraphFont"/>
    <w:uiPriority w:val="99"/>
    <w:semiHidden/>
    <w:unhideWhenUsed/>
    <w:rsid w:val="004979C8"/>
    <w:rPr>
      <w:color w:val="605E5C"/>
      <w:shd w:val="clear" w:color="auto" w:fill="E1DFDD"/>
    </w:rPr>
  </w:style>
  <w:style w:type="paragraph" w:customStyle="1" w:styleId="paragraph-style-2">
    <w:name w:val="paragraph-style-2"/>
    <w:basedOn w:val="Normal"/>
    <w:rsid w:val="007A7EC4"/>
    <w:pPr>
      <w:spacing w:before="100" w:beforeAutospacing="1" w:after="100" w:afterAutospacing="1" w:line="240" w:lineRule="auto"/>
    </w:pPr>
    <w:rPr>
      <w:rFonts w:ascii="Times New Roman" w:eastAsia="Times New Roman" w:hAnsi="Times New Roman" w:cs="Times New Roman"/>
      <w:szCs w:val="24"/>
      <w:lang w:eastAsia="en-NZ"/>
    </w:rPr>
  </w:style>
  <w:style w:type="paragraph" w:customStyle="1" w:styleId="bullets">
    <w:name w:val="bullets"/>
    <w:basedOn w:val="Normal"/>
    <w:rsid w:val="007A7EC4"/>
    <w:pPr>
      <w:spacing w:before="100" w:beforeAutospacing="1" w:after="100" w:afterAutospacing="1" w:line="240" w:lineRule="auto"/>
    </w:pPr>
    <w:rPr>
      <w:rFonts w:ascii="Times New Roman" w:eastAsia="Times New Roman" w:hAnsi="Times New Roman" w:cs="Times New Roman"/>
      <w:szCs w:val="24"/>
      <w:lang w:eastAsia="en-NZ"/>
    </w:rPr>
  </w:style>
  <w:style w:type="character" w:styleId="UnresolvedMention">
    <w:name w:val="Unresolved Mention"/>
    <w:basedOn w:val="DefaultParagraphFont"/>
    <w:uiPriority w:val="99"/>
    <w:semiHidden/>
    <w:unhideWhenUsed/>
    <w:rsid w:val="00917077"/>
    <w:rPr>
      <w:color w:val="605E5C"/>
      <w:shd w:val="clear" w:color="auto" w:fill="E1DFDD"/>
    </w:rPr>
  </w:style>
  <w:style w:type="paragraph" w:styleId="Revision">
    <w:name w:val="Revision"/>
    <w:hidden/>
    <w:uiPriority w:val="99"/>
    <w:semiHidden/>
    <w:rsid w:val="00917077"/>
    <w:pPr>
      <w:spacing w:after="0" w:line="240" w:lineRule="auto"/>
    </w:pPr>
  </w:style>
  <w:style w:type="table" w:styleId="TableGridLight">
    <w:name w:val="Grid Table Light"/>
    <w:basedOn w:val="TableNormal"/>
    <w:uiPriority w:val="40"/>
    <w:rsid w:val="00DB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0053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37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424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538">
      <w:bodyDiv w:val="1"/>
      <w:marLeft w:val="0"/>
      <w:marRight w:val="0"/>
      <w:marTop w:val="0"/>
      <w:marBottom w:val="0"/>
      <w:divBdr>
        <w:top w:val="none" w:sz="0" w:space="0" w:color="auto"/>
        <w:left w:val="none" w:sz="0" w:space="0" w:color="auto"/>
        <w:bottom w:val="none" w:sz="0" w:space="0" w:color="auto"/>
        <w:right w:val="none" w:sz="0" w:space="0" w:color="auto"/>
      </w:divBdr>
    </w:div>
    <w:div w:id="33701087">
      <w:bodyDiv w:val="1"/>
      <w:marLeft w:val="0"/>
      <w:marRight w:val="0"/>
      <w:marTop w:val="0"/>
      <w:marBottom w:val="0"/>
      <w:divBdr>
        <w:top w:val="none" w:sz="0" w:space="0" w:color="auto"/>
        <w:left w:val="none" w:sz="0" w:space="0" w:color="auto"/>
        <w:bottom w:val="none" w:sz="0" w:space="0" w:color="auto"/>
        <w:right w:val="none" w:sz="0" w:space="0" w:color="auto"/>
      </w:divBdr>
    </w:div>
    <w:div w:id="73359102">
      <w:bodyDiv w:val="1"/>
      <w:marLeft w:val="0"/>
      <w:marRight w:val="0"/>
      <w:marTop w:val="0"/>
      <w:marBottom w:val="0"/>
      <w:divBdr>
        <w:top w:val="none" w:sz="0" w:space="0" w:color="auto"/>
        <w:left w:val="none" w:sz="0" w:space="0" w:color="auto"/>
        <w:bottom w:val="none" w:sz="0" w:space="0" w:color="auto"/>
        <w:right w:val="none" w:sz="0" w:space="0" w:color="auto"/>
      </w:divBdr>
    </w:div>
    <w:div w:id="173229482">
      <w:bodyDiv w:val="1"/>
      <w:marLeft w:val="0"/>
      <w:marRight w:val="0"/>
      <w:marTop w:val="0"/>
      <w:marBottom w:val="0"/>
      <w:divBdr>
        <w:top w:val="none" w:sz="0" w:space="0" w:color="auto"/>
        <w:left w:val="none" w:sz="0" w:space="0" w:color="auto"/>
        <w:bottom w:val="none" w:sz="0" w:space="0" w:color="auto"/>
        <w:right w:val="none" w:sz="0" w:space="0" w:color="auto"/>
      </w:divBdr>
    </w:div>
    <w:div w:id="307714022">
      <w:bodyDiv w:val="1"/>
      <w:marLeft w:val="0"/>
      <w:marRight w:val="0"/>
      <w:marTop w:val="0"/>
      <w:marBottom w:val="0"/>
      <w:divBdr>
        <w:top w:val="none" w:sz="0" w:space="0" w:color="auto"/>
        <w:left w:val="none" w:sz="0" w:space="0" w:color="auto"/>
        <w:bottom w:val="none" w:sz="0" w:space="0" w:color="auto"/>
        <w:right w:val="none" w:sz="0" w:space="0" w:color="auto"/>
      </w:divBdr>
    </w:div>
    <w:div w:id="486630443">
      <w:bodyDiv w:val="1"/>
      <w:marLeft w:val="0"/>
      <w:marRight w:val="0"/>
      <w:marTop w:val="0"/>
      <w:marBottom w:val="0"/>
      <w:divBdr>
        <w:top w:val="none" w:sz="0" w:space="0" w:color="auto"/>
        <w:left w:val="none" w:sz="0" w:space="0" w:color="auto"/>
        <w:bottom w:val="none" w:sz="0" w:space="0" w:color="auto"/>
        <w:right w:val="none" w:sz="0" w:space="0" w:color="auto"/>
      </w:divBdr>
    </w:div>
    <w:div w:id="567233014">
      <w:bodyDiv w:val="1"/>
      <w:marLeft w:val="0"/>
      <w:marRight w:val="0"/>
      <w:marTop w:val="0"/>
      <w:marBottom w:val="0"/>
      <w:divBdr>
        <w:top w:val="none" w:sz="0" w:space="0" w:color="auto"/>
        <w:left w:val="none" w:sz="0" w:space="0" w:color="auto"/>
        <w:bottom w:val="none" w:sz="0" w:space="0" w:color="auto"/>
        <w:right w:val="none" w:sz="0" w:space="0" w:color="auto"/>
      </w:divBdr>
    </w:div>
    <w:div w:id="616645610">
      <w:bodyDiv w:val="1"/>
      <w:marLeft w:val="0"/>
      <w:marRight w:val="0"/>
      <w:marTop w:val="0"/>
      <w:marBottom w:val="0"/>
      <w:divBdr>
        <w:top w:val="none" w:sz="0" w:space="0" w:color="auto"/>
        <w:left w:val="none" w:sz="0" w:space="0" w:color="auto"/>
        <w:bottom w:val="none" w:sz="0" w:space="0" w:color="auto"/>
        <w:right w:val="none" w:sz="0" w:space="0" w:color="auto"/>
      </w:divBdr>
    </w:div>
    <w:div w:id="665211079">
      <w:bodyDiv w:val="1"/>
      <w:marLeft w:val="0"/>
      <w:marRight w:val="0"/>
      <w:marTop w:val="0"/>
      <w:marBottom w:val="0"/>
      <w:divBdr>
        <w:top w:val="none" w:sz="0" w:space="0" w:color="auto"/>
        <w:left w:val="none" w:sz="0" w:space="0" w:color="auto"/>
        <w:bottom w:val="none" w:sz="0" w:space="0" w:color="auto"/>
        <w:right w:val="none" w:sz="0" w:space="0" w:color="auto"/>
      </w:divBdr>
    </w:div>
    <w:div w:id="687874937">
      <w:bodyDiv w:val="1"/>
      <w:marLeft w:val="0"/>
      <w:marRight w:val="0"/>
      <w:marTop w:val="0"/>
      <w:marBottom w:val="0"/>
      <w:divBdr>
        <w:top w:val="none" w:sz="0" w:space="0" w:color="auto"/>
        <w:left w:val="none" w:sz="0" w:space="0" w:color="auto"/>
        <w:bottom w:val="none" w:sz="0" w:space="0" w:color="auto"/>
        <w:right w:val="none" w:sz="0" w:space="0" w:color="auto"/>
      </w:divBdr>
    </w:div>
    <w:div w:id="705717500">
      <w:bodyDiv w:val="1"/>
      <w:marLeft w:val="0"/>
      <w:marRight w:val="0"/>
      <w:marTop w:val="0"/>
      <w:marBottom w:val="0"/>
      <w:divBdr>
        <w:top w:val="none" w:sz="0" w:space="0" w:color="auto"/>
        <w:left w:val="none" w:sz="0" w:space="0" w:color="auto"/>
        <w:bottom w:val="none" w:sz="0" w:space="0" w:color="auto"/>
        <w:right w:val="none" w:sz="0" w:space="0" w:color="auto"/>
      </w:divBdr>
    </w:div>
    <w:div w:id="806824852">
      <w:bodyDiv w:val="1"/>
      <w:marLeft w:val="0"/>
      <w:marRight w:val="0"/>
      <w:marTop w:val="0"/>
      <w:marBottom w:val="0"/>
      <w:divBdr>
        <w:top w:val="none" w:sz="0" w:space="0" w:color="auto"/>
        <w:left w:val="none" w:sz="0" w:space="0" w:color="auto"/>
        <w:bottom w:val="none" w:sz="0" w:space="0" w:color="auto"/>
        <w:right w:val="none" w:sz="0" w:space="0" w:color="auto"/>
      </w:divBdr>
    </w:div>
    <w:div w:id="840316982">
      <w:bodyDiv w:val="1"/>
      <w:marLeft w:val="0"/>
      <w:marRight w:val="0"/>
      <w:marTop w:val="0"/>
      <w:marBottom w:val="0"/>
      <w:divBdr>
        <w:top w:val="none" w:sz="0" w:space="0" w:color="auto"/>
        <w:left w:val="none" w:sz="0" w:space="0" w:color="auto"/>
        <w:bottom w:val="none" w:sz="0" w:space="0" w:color="auto"/>
        <w:right w:val="none" w:sz="0" w:space="0" w:color="auto"/>
      </w:divBdr>
    </w:div>
    <w:div w:id="1021276194">
      <w:bodyDiv w:val="1"/>
      <w:marLeft w:val="0"/>
      <w:marRight w:val="0"/>
      <w:marTop w:val="0"/>
      <w:marBottom w:val="0"/>
      <w:divBdr>
        <w:top w:val="none" w:sz="0" w:space="0" w:color="auto"/>
        <w:left w:val="none" w:sz="0" w:space="0" w:color="auto"/>
        <w:bottom w:val="none" w:sz="0" w:space="0" w:color="auto"/>
        <w:right w:val="none" w:sz="0" w:space="0" w:color="auto"/>
      </w:divBdr>
    </w:div>
    <w:div w:id="1042679315">
      <w:bodyDiv w:val="1"/>
      <w:marLeft w:val="0"/>
      <w:marRight w:val="0"/>
      <w:marTop w:val="0"/>
      <w:marBottom w:val="0"/>
      <w:divBdr>
        <w:top w:val="none" w:sz="0" w:space="0" w:color="auto"/>
        <w:left w:val="none" w:sz="0" w:space="0" w:color="auto"/>
        <w:bottom w:val="none" w:sz="0" w:space="0" w:color="auto"/>
        <w:right w:val="none" w:sz="0" w:space="0" w:color="auto"/>
      </w:divBdr>
    </w:div>
    <w:div w:id="1048072736">
      <w:bodyDiv w:val="1"/>
      <w:marLeft w:val="0"/>
      <w:marRight w:val="0"/>
      <w:marTop w:val="0"/>
      <w:marBottom w:val="0"/>
      <w:divBdr>
        <w:top w:val="none" w:sz="0" w:space="0" w:color="auto"/>
        <w:left w:val="none" w:sz="0" w:space="0" w:color="auto"/>
        <w:bottom w:val="none" w:sz="0" w:space="0" w:color="auto"/>
        <w:right w:val="none" w:sz="0" w:space="0" w:color="auto"/>
      </w:divBdr>
    </w:div>
    <w:div w:id="1095055192">
      <w:bodyDiv w:val="1"/>
      <w:marLeft w:val="0"/>
      <w:marRight w:val="0"/>
      <w:marTop w:val="0"/>
      <w:marBottom w:val="0"/>
      <w:divBdr>
        <w:top w:val="none" w:sz="0" w:space="0" w:color="auto"/>
        <w:left w:val="none" w:sz="0" w:space="0" w:color="auto"/>
        <w:bottom w:val="none" w:sz="0" w:space="0" w:color="auto"/>
        <w:right w:val="none" w:sz="0" w:space="0" w:color="auto"/>
      </w:divBdr>
    </w:div>
    <w:div w:id="1233852619">
      <w:bodyDiv w:val="1"/>
      <w:marLeft w:val="0"/>
      <w:marRight w:val="0"/>
      <w:marTop w:val="0"/>
      <w:marBottom w:val="0"/>
      <w:divBdr>
        <w:top w:val="none" w:sz="0" w:space="0" w:color="auto"/>
        <w:left w:val="none" w:sz="0" w:space="0" w:color="auto"/>
        <w:bottom w:val="none" w:sz="0" w:space="0" w:color="auto"/>
        <w:right w:val="none" w:sz="0" w:space="0" w:color="auto"/>
      </w:divBdr>
    </w:div>
    <w:div w:id="1268931851">
      <w:bodyDiv w:val="1"/>
      <w:marLeft w:val="0"/>
      <w:marRight w:val="0"/>
      <w:marTop w:val="0"/>
      <w:marBottom w:val="0"/>
      <w:divBdr>
        <w:top w:val="none" w:sz="0" w:space="0" w:color="auto"/>
        <w:left w:val="none" w:sz="0" w:space="0" w:color="auto"/>
        <w:bottom w:val="none" w:sz="0" w:space="0" w:color="auto"/>
        <w:right w:val="none" w:sz="0" w:space="0" w:color="auto"/>
      </w:divBdr>
    </w:div>
    <w:div w:id="1285310765">
      <w:bodyDiv w:val="1"/>
      <w:marLeft w:val="0"/>
      <w:marRight w:val="0"/>
      <w:marTop w:val="0"/>
      <w:marBottom w:val="0"/>
      <w:divBdr>
        <w:top w:val="none" w:sz="0" w:space="0" w:color="auto"/>
        <w:left w:val="none" w:sz="0" w:space="0" w:color="auto"/>
        <w:bottom w:val="none" w:sz="0" w:space="0" w:color="auto"/>
        <w:right w:val="none" w:sz="0" w:space="0" w:color="auto"/>
      </w:divBdr>
    </w:div>
    <w:div w:id="1324548585">
      <w:bodyDiv w:val="1"/>
      <w:marLeft w:val="0"/>
      <w:marRight w:val="0"/>
      <w:marTop w:val="0"/>
      <w:marBottom w:val="0"/>
      <w:divBdr>
        <w:top w:val="none" w:sz="0" w:space="0" w:color="auto"/>
        <w:left w:val="none" w:sz="0" w:space="0" w:color="auto"/>
        <w:bottom w:val="none" w:sz="0" w:space="0" w:color="auto"/>
        <w:right w:val="none" w:sz="0" w:space="0" w:color="auto"/>
      </w:divBdr>
    </w:div>
    <w:div w:id="1408772619">
      <w:bodyDiv w:val="1"/>
      <w:marLeft w:val="0"/>
      <w:marRight w:val="0"/>
      <w:marTop w:val="0"/>
      <w:marBottom w:val="0"/>
      <w:divBdr>
        <w:top w:val="none" w:sz="0" w:space="0" w:color="auto"/>
        <w:left w:val="none" w:sz="0" w:space="0" w:color="auto"/>
        <w:bottom w:val="none" w:sz="0" w:space="0" w:color="auto"/>
        <w:right w:val="none" w:sz="0" w:space="0" w:color="auto"/>
      </w:divBdr>
    </w:div>
    <w:div w:id="1450128012">
      <w:bodyDiv w:val="1"/>
      <w:marLeft w:val="0"/>
      <w:marRight w:val="0"/>
      <w:marTop w:val="0"/>
      <w:marBottom w:val="0"/>
      <w:divBdr>
        <w:top w:val="none" w:sz="0" w:space="0" w:color="auto"/>
        <w:left w:val="none" w:sz="0" w:space="0" w:color="auto"/>
        <w:bottom w:val="none" w:sz="0" w:space="0" w:color="auto"/>
        <w:right w:val="none" w:sz="0" w:space="0" w:color="auto"/>
      </w:divBdr>
    </w:div>
    <w:div w:id="1548642430">
      <w:bodyDiv w:val="1"/>
      <w:marLeft w:val="0"/>
      <w:marRight w:val="0"/>
      <w:marTop w:val="0"/>
      <w:marBottom w:val="0"/>
      <w:divBdr>
        <w:top w:val="none" w:sz="0" w:space="0" w:color="auto"/>
        <w:left w:val="none" w:sz="0" w:space="0" w:color="auto"/>
        <w:bottom w:val="none" w:sz="0" w:space="0" w:color="auto"/>
        <w:right w:val="none" w:sz="0" w:space="0" w:color="auto"/>
      </w:divBdr>
    </w:div>
    <w:div w:id="1571119102">
      <w:bodyDiv w:val="1"/>
      <w:marLeft w:val="0"/>
      <w:marRight w:val="0"/>
      <w:marTop w:val="0"/>
      <w:marBottom w:val="0"/>
      <w:divBdr>
        <w:top w:val="none" w:sz="0" w:space="0" w:color="auto"/>
        <w:left w:val="none" w:sz="0" w:space="0" w:color="auto"/>
        <w:bottom w:val="none" w:sz="0" w:space="0" w:color="auto"/>
        <w:right w:val="none" w:sz="0" w:space="0" w:color="auto"/>
      </w:divBdr>
    </w:div>
    <w:div w:id="1603875696">
      <w:bodyDiv w:val="1"/>
      <w:marLeft w:val="0"/>
      <w:marRight w:val="0"/>
      <w:marTop w:val="0"/>
      <w:marBottom w:val="0"/>
      <w:divBdr>
        <w:top w:val="none" w:sz="0" w:space="0" w:color="auto"/>
        <w:left w:val="none" w:sz="0" w:space="0" w:color="auto"/>
        <w:bottom w:val="none" w:sz="0" w:space="0" w:color="auto"/>
        <w:right w:val="none" w:sz="0" w:space="0" w:color="auto"/>
      </w:divBdr>
    </w:div>
    <w:div w:id="1638221971">
      <w:bodyDiv w:val="1"/>
      <w:marLeft w:val="0"/>
      <w:marRight w:val="0"/>
      <w:marTop w:val="0"/>
      <w:marBottom w:val="0"/>
      <w:divBdr>
        <w:top w:val="none" w:sz="0" w:space="0" w:color="auto"/>
        <w:left w:val="none" w:sz="0" w:space="0" w:color="auto"/>
        <w:bottom w:val="none" w:sz="0" w:space="0" w:color="auto"/>
        <w:right w:val="none" w:sz="0" w:space="0" w:color="auto"/>
      </w:divBdr>
    </w:div>
    <w:div w:id="1687098866">
      <w:bodyDiv w:val="1"/>
      <w:marLeft w:val="0"/>
      <w:marRight w:val="0"/>
      <w:marTop w:val="0"/>
      <w:marBottom w:val="0"/>
      <w:divBdr>
        <w:top w:val="none" w:sz="0" w:space="0" w:color="auto"/>
        <w:left w:val="none" w:sz="0" w:space="0" w:color="auto"/>
        <w:bottom w:val="none" w:sz="0" w:space="0" w:color="auto"/>
        <w:right w:val="none" w:sz="0" w:space="0" w:color="auto"/>
      </w:divBdr>
    </w:div>
    <w:div w:id="1707368141">
      <w:bodyDiv w:val="1"/>
      <w:marLeft w:val="0"/>
      <w:marRight w:val="0"/>
      <w:marTop w:val="0"/>
      <w:marBottom w:val="0"/>
      <w:divBdr>
        <w:top w:val="none" w:sz="0" w:space="0" w:color="auto"/>
        <w:left w:val="none" w:sz="0" w:space="0" w:color="auto"/>
        <w:bottom w:val="none" w:sz="0" w:space="0" w:color="auto"/>
        <w:right w:val="none" w:sz="0" w:space="0" w:color="auto"/>
      </w:divBdr>
    </w:div>
    <w:div w:id="1747801393">
      <w:bodyDiv w:val="1"/>
      <w:marLeft w:val="0"/>
      <w:marRight w:val="0"/>
      <w:marTop w:val="0"/>
      <w:marBottom w:val="0"/>
      <w:divBdr>
        <w:top w:val="none" w:sz="0" w:space="0" w:color="auto"/>
        <w:left w:val="none" w:sz="0" w:space="0" w:color="auto"/>
        <w:bottom w:val="none" w:sz="0" w:space="0" w:color="auto"/>
        <w:right w:val="none" w:sz="0" w:space="0" w:color="auto"/>
      </w:divBdr>
    </w:div>
    <w:div w:id="1754623799">
      <w:bodyDiv w:val="1"/>
      <w:marLeft w:val="0"/>
      <w:marRight w:val="0"/>
      <w:marTop w:val="0"/>
      <w:marBottom w:val="0"/>
      <w:divBdr>
        <w:top w:val="none" w:sz="0" w:space="0" w:color="auto"/>
        <w:left w:val="none" w:sz="0" w:space="0" w:color="auto"/>
        <w:bottom w:val="none" w:sz="0" w:space="0" w:color="auto"/>
        <w:right w:val="none" w:sz="0" w:space="0" w:color="auto"/>
      </w:divBdr>
    </w:div>
    <w:div w:id="1779713281">
      <w:bodyDiv w:val="1"/>
      <w:marLeft w:val="0"/>
      <w:marRight w:val="0"/>
      <w:marTop w:val="0"/>
      <w:marBottom w:val="0"/>
      <w:divBdr>
        <w:top w:val="none" w:sz="0" w:space="0" w:color="auto"/>
        <w:left w:val="none" w:sz="0" w:space="0" w:color="auto"/>
        <w:bottom w:val="none" w:sz="0" w:space="0" w:color="auto"/>
        <w:right w:val="none" w:sz="0" w:space="0" w:color="auto"/>
      </w:divBdr>
    </w:div>
    <w:div w:id="1797720771">
      <w:bodyDiv w:val="1"/>
      <w:marLeft w:val="0"/>
      <w:marRight w:val="0"/>
      <w:marTop w:val="0"/>
      <w:marBottom w:val="0"/>
      <w:divBdr>
        <w:top w:val="none" w:sz="0" w:space="0" w:color="auto"/>
        <w:left w:val="none" w:sz="0" w:space="0" w:color="auto"/>
        <w:bottom w:val="none" w:sz="0" w:space="0" w:color="auto"/>
        <w:right w:val="none" w:sz="0" w:space="0" w:color="auto"/>
      </w:divBdr>
    </w:div>
    <w:div w:id="1858611948">
      <w:bodyDiv w:val="1"/>
      <w:marLeft w:val="0"/>
      <w:marRight w:val="0"/>
      <w:marTop w:val="0"/>
      <w:marBottom w:val="0"/>
      <w:divBdr>
        <w:top w:val="none" w:sz="0" w:space="0" w:color="auto"/>
        <w:left w:val="none" w:sz="0" w:space="0" w:color="auto"/>
        <w:bottom w:val="none" w:sz="0" w:space="0" w:color="auto"/>
        <w:right w:val="none" w:sz="0" w:space="0" w:color="auto"/>
      </w:divBdr>
    </w:div>
    <w:div w:id="1952977897">
      <w:bodyDiv w:val="1"/>
      <w:marLeft w:val="0"/>
      <w:marRight w:val="0"/>
      <w:marTop w:val="0"/>
      <w:marBottom w:val="0"/>
      <w:divBdr>
        <w:top w:val="none" w:sz="0" w:space="0" w:color="auto"/>
        <w:left w:val="none" w:sz="0" w:space="0" w:color="auto"/>
        <w:bottom w:val="none" w:sz="0" w:space="0" w:color="auto"/>
        <w:right w:val="none" w:sz="0" w:space="0" w:color="auto"/>
      </w:divBdr>
    </w:div>
    <w:div w:id="1990745628">
      <w:bodyDiv w:val="1"/>
      <w:marLeft w:val="0"/>
      <w:marRight w:val="0"/>
      <w:marTop w:val="0"/>
      <w:marBottom w:val="0"/>
      <w:divBdr>
        <w:top w:val="none" w:sz="0" w:space="0" w:color="auto"/>
        <w:left w:val="none" w:sz="0" w:space="0" w:color="auto"/>
        <w:bottom w:val="none" w:sz="0" w:space="0" w:color="auto"/>
        <w:right w:val="none" w:sz="0" w:space="0" w:color="auto"/>
      </w:divBdr>
    </w:div>
    <w:div w:id="1993749112">
      <w:bodyDiv w:val="1"/>
      <w:marLeft w:val="0"/>
      <w:marRight w:val="0"/>
      <w:marTop w:val="0"/>
      <w:marBottom w:val="0"/>
      <w:divBdr>
        <w:top w:val="none" w:sz="0" w:space="0" w:color="auto"/>
        <w:left w:val="none" w:sz="0" w:space="0" w:color="auto"/>
        <w:bottom w:val="none" w:sz="0" w:space="0" w:color="auto"/>
        <w:right w:val="none" w:sz="0" w:space="0" w:color="auto"/>
      </w:divBdr>
    </w:div>
    <w:div w:id="2014801144">
      <w:bodyDiv w:val="1"/>
      <w:marLeft w:val="0"/>
      <w:marRight w:val="0"/>
      <w:marTop w:val="0"/>
      <w:marBottom w:val="0"/>
      <w:divBdr>
        <w:top w:val="none" w:sz="0" w:space="0" w:color="auto"/>
        <w:left w:val="none" w:sz="0" w:space="0" w:color="auto"/>
        <w:bottom w:val="none" w:sz="0" w:space="0" w:color="auto"/>
        <w:right w:val="none" w:sz="0" w:space="0" w:color="auto"/>
      </w:divBdr>
    </w:div>
    <w:div w:id="2091806520">
      <w:bodyDiv w:val="1"/>
      <w:marLeft w:val="0"/>
      <w:marRight w:val="0"/>
      <w:marTop w:val="0"/>
      <w:marBottom w:val="0"/>
      <w:divBdr>
        <w:top w:val="none" w:sz="0" w:space="0" w:color="auto"/>
        <w:left w:val="none" w:sz="0" w:space="0" w:color="auto"/>
        <w:bottom w:val="none" w:sz="0" w:space="0" w:color="auto"/>
        <w:right w:val="none" w:sz="0" w:space="0" w:color="auto"/>
      </w:divBdr>
    </w:div>
    <w:div w:id="2103524431">
      <w:bodyDiv w:val="1"/>
      <w:marLeft w:val="0"/>
      <w:marRight w:val="0"/>
      <w:marTop w:val="0"/>
      <w:marBottom w:val="0"/>
      <w:divBdr>
        <w:top w:val="none" w:sz="0" w:space="0" w:color="auto"/>
        <w:left w:val="none" w:sz="0" w:space="0" w:color="auto"/>
        <w:bottom w:val="none" w:sz="0" w:space="0" w:color="auto"/>
        <w:right w:val="none" w:sz="0" w:space="0" w:color="auto"/>
      </w:divBdr>
    </w:div>
    <w:div w:id="210903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ag.org.nz/assets/WFFSeries1EnsuringAdequateIndexationofWorkingforFamilies5May2021.pdf" TargetMode="External"/><Relationship Id="rId18" Type="http://schemas.openxmlformats.org/officeDocument/2006/relationships/hyperlink" Target="https://www.cpag.org.nz/assets/WFFSeries1EnsuringAdequateIndexationofWorkingforFamilies5May202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itlin@cpag.org.nz" TargetMode="External"/><Relationship Id="rId17" Type="http://schemas.openxmlformats.org/officeDocument/2006/relationships/hyperlink" Target="https://www.cpag.org.nz/assets/WFFSeries1EnsuringAdequateIndexationofWorkingforFamilies5May2021.pdf" TargetMode="External"/><Relationship Id="rId2" Type="http://schemas.openxmlformats.org/officeDocument/2006/relationships/numbering" Target="numbering.xml"/><Relationship Id="rId16" Type="http://schemas.openxmlformats.org/officeDocument/2006/relationships/hyperlink" Target="https://www.workandincome.govt.nz/about-work-and-income/news/2017/families-package.html?utm_source=redirect&amp;utm_medium=18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john@auckland.ac.nz" TargetMode="External"/><Relationship Id="rId5" Type="http://schemas.openxmlformats.org/officeDocument/2006/relationships/webSettings" Target="webSettings.xml"/><Relationship Id="rId15" Type="http://schemas.openxmlformats.org/officeDocument/2006/relationships/hyperlink" Target="https://www.cpag.org.nz/assets/CPAG%20Background%20paper%20-%20Family%20tax%20credits%20comparison%20between%20NZ%20and%20Austrlia.pdf" TargetMode="External"/><Relationship Id="rId10" Type="http://schemas.openxmlformats.org/officeDocument/2006/relationships/hyperlink" Target="http://www.cpag.org.n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ag.org.nz/assets/WFFSeries1EnsuringAdequateIndexationofWorkingforFamilies5May20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ctfassets.net/7khjx3c731kq/lYSqwHAIX4yN7gOIpnueS/c9c1005642c66e69c54b93a05cc3bdc0/Report-Card-16-Worlds-of-Influence-child-wellbeing.pdf" TargetMode="External"/><Relationship Id="rId2" Type="http://schemas.openxmlformats.org/officeDocument/2006/relationships/hyperlink" Target="https://www.cpag.org.nz/assets/CPAG%20Background%20paper%20-%20Family%20tax%20credits%20comparison%20between%20NZ%20and%20Austrlia.pdf" TargetMode="External"/><Relationship Id="rId1" Type="http://schemas.openxmlformats.org/officeDocument/2006/relationships/hyperlink" Target="https://www.cpag.org.nz/assets/FamiliesFactsheet%20(1).pdf" TargetMode="External"/><Relationship Id="rId5" Type="http://schemas.openxmlformats.org/officeDocument/2006/relationships/hyperlink" Target="https://waysandmeans.house.gov/sites/democrats.waysandmeans.house.gov/files/documents/SUBFGHJ_xml.pdf" TargetMode="External"/><Relationship Id="rId4" Type="http://schemas.openxmlformats.org/officeDocument/2006/relationships/hyperlink" Target="https://www.stats.govt.nz/information-releases/child-poverty-statistics-year-ended-jun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B3BF-297D-4394-85FA-3091AC19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Neuwelt-Kearns</dc:creator>
  <cp:keywords/>
  <dc:description/>
  <cp:lastModifiedBy>Janet McAllister</cp:lastModifiedBy>
  <cp:revision>2</cp:revision>
  <cp:lastPrinted>2021-10-10T23:11:00Z</cp:lastPrinted>
  <dcterms:created xsi:type="dcterms:W3CDTF">2021-11-15T20:26:00Z</dcterms:created>
  <dcterms:modified xsi:type="dcterms:W3CDTF">2021-11-15T20:26:00Z</dcterms:modified>
</cp:coreProperties>
</file>