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21C4" w14:textId="77777777" w:rsidR="00FC4DA1" w:rsidRDefault="00FC4DA1" w:rsidP="00FC4DA1">
      <w:pPr>
        <w:jc w:val="right"/>
        <w:rPr>
          <w:sz w:val="22"/>
        </w:rPr>
      </w:pPr>
    </w:p>
    <w:p w14:paraId="071634EC" w14:textId="77777777" w:rsidR="00FC4DA1" w:rsidRDefault="00FC4DA1" w:rsidP="00FC4DA1"/>
    <w:p w14:paraId="79F8F79B" w14:textId="77777777" w:rsidR="00FC4DA1" w:rsidRDefault="00FC4DA1" w:rsidP="00FC4DA1"/>
    <w:p w14:paraId="5F3FE626" w14:textId="77777777" w:rsidR="00FC4DA1" w:rsidRDefault="00FC4DA1" w:rsidP="00FC4DA1"/>
    <w:p w14:paraId="316D2EED" w14:textId="77777777" w:rsidR="00FC4DA1" w:rsidRDefault="00FC4DA1" w:rsidP="00FC4DA1">
      <w:pPr>
        <w:ind w:firstLine="720"/>
      </w:pPr>
    </w:p>
    <w:p w14:paraId="44ADFBE2" w14:textId="77777777" w:rsidR="00FC4DA1" w:rsidRDefault="00FC4DA1" w:rsidP="00FC4DA1"/>
    <w:p w14:paraId="61A4F95F" w14:textId="77777777" w:rsidR="00FC4DA1" w:rsidRDefault="00FC4DA1" w:rsidP="00FC4DA1"/>
    <w:p w14:paraId="10FF9D69" w14:textId="77777777" w:rsidR="00FC4DA1" w:rsidRDefault="00FC4DA1" w:rsidP="00FC4DA1">
      <w:pPr>
        <w:rPr>
          <w:sz w:val="18"/>
          <w:szCs w:val="18"/>
        </w:rPr>
      </w:pPr>
      <w:bookmarkStart w:id="0" w:name="_Hlk76852440"/>
      <w:bookmarkStart w:id="1" w:name="_Hlk76625718"/>
      <w:r>
        <w:rPr>
          <w:rFonts w:ascii="InterstateLight" w:hAnsi="InterstateLight"/>
          <w:color w:val="C00000"/>
          <w:sz w:val="96"/>
          <w:szCs w:val="96"/>
        </w:rPr>
        <w:t xml:space="preserve">Children can’t live </w:t>
      </w:r>
      <w:r>
        <w:rPr>
          <w:rFonts w:ascii="InterstateLight" w:hAnsi="InterstateLight"/>
          <w:color w:val="C00000"/>
          <w:sz w:val="96"/>
          <w:szCs w:val="96"/>
        </w:rPr>
        <w:br/>
        <w:t>on promises:</w:t>
      </w:r>
      <w:bookmarkEnd w:id="0"/>
      <w:r>
        <w:rPr>
          <w:rFonts w:ascii="InterstateLight" w:hAnsi="InterstateLight"/>
          <w:color w:val="C00000"/>
          <w:sz w:val="96"/>
          <w:szCs w:val="96"/>
        </w:rPr>
        <w:t xml:space="preserve"> </w:t>
      </w:r>
      <w:r>
        <w:rPr>
          <w:rFonts w:ascii="InterstateLight" w:hAnsi="InterstateLight"/>
          <w:color w:val="C00000"/>
          <w:sz w:val="76"/>
          <w:szCs w:val="76"/>
        </w:rPr>
        <w:br/>
      </w:r>
      <w:r>
        <w:rPr>
          <w:rFonts w:ascii="InterstateLight" w:hAnsi="InterstateLight"/>
          <w:color w:val="000000" w:themeColor="text1"/>
          <w:sz w:val="56"/>
          <w:szCs w:val="56"/>
        </w:rPr>
        <w:t>A 2021 stocktake of implementation of the Welfare Expert Advisory Group’s 2019 recommendations</w:t>
      </w:r>
    </w:p>
    <w:bookmarkEnd w:id="1"/>
    <w:p w14:paraId="39468E33" w14:textId="77777777" w:rsidR="00FC4DA1" w:rsidRDefault="00FC4DA1" w:rsidP="00FC4DA1">
      <w:pPr>
        <w:rPr>
          <w:rFonts w:ascii="InterstateLight" w:hAnsi="InterstateLight"/>
          <w:szCs w:val="24"/>
        </w:rPr>
      </w:pPr>
    </w:p>
    <w:p w14:paraId="62CA1830" w14:textId="77777777" w:rsidR="00FC4DA1" w:rsidRDefault="00FC4DA1" w:rsidP="00FC4DA1">
      <w:pPr>
        <w:rPr>
          <w:rFonts w:ascii="Calibri" w:hAnsi="Calibri"/>
          <w:sz w:val="22"/>
        </w:rPr>
      </w:pPr>
      <w:bookmarkStart w:id="2" w:name="_Toc75496134"/>
    </w:p>
    <w:p w14:paraId="7E0EC539" w14:textId="77777777" w:rsidR="00FC4DA1" w:rsidRDefault="00FC4DA1" w:rsidP="00FC4DA1">
      <w:pPr>
        <w:pStyle w:val="Heading1"/>
      </w:pPr>
      <w:bookmarkStart w:id="3" w:name="_Toc75794812"/>
    </w:p>
    <w:p w14:paraId="17B1091B" w14:textId="09EFB30F" w:rsidR="00FC4DA1" w:rsidRPr="00F36C12" w:rsidRDefault="00FC4DA1" w:rsidP="00FC4DA1">
      <w:pPr>
        <w:rPr>
          <w:rFonts w:asciiTheme="majorHAnsi" w:eastAsiaTheme="majorEastAsia" w:hAnsiTheme="majorHAnsi" w:cstheme="majorBidi"/>
          <w:b/>
          <w:color w:val="538135" w:themeColor="accent6" w:themeShade="BF"/>
          <w:sz w:val="32"/>
          <w:szCs w:val="32"/>
          <w:lang w:val="mi-NZ"/>
        </w:rPr>
      </w:pPr>
      <w:r>
        <w:br w:type="page"/>
      </w:r>
    </w:p>
    <w:p w14:paraId="7DB70BC6" w14:textId="5E47AECA" w:rsidR="00FC4DA1" w:rsidRPr="00FC4DA1" w:rsidRDefault="00FC4DA1" w:rsidP="00FC4DA1">
      <w:pPr>
        <w:pStyle w:val="Heading1"/>
        <w:rPr>
          <w:b/>
          <w:color w:val="538135" w:themeColor="accent6" w:themeShade="BF"/>
          <w:sz w:val="28"/>
          <w:szCs w:val="28"/>
        </w:rPr>
      </w:pPr>
      <w:bookmarkStart w:id="4" w:name="_Toc89093177"/>
      <w:bookmarkStart w:id="5" w:name="_Toc89094337"/>
      <w:bookmarkStart w:id="6" w:name="_Toc89329991"/>
      <w:bookmarkEnd w:id="2"/>
      <w:bookmarkEnd w:id="3"/>
      <w:r w:rsidRPr="00FC4DA1">
        <w:rPr>
          <w:sz w:val="28"/>
          <w:szCs w:val="28"/>
        </w:rPr>
        <w:lastRenderedPageBreak/>
        <w:t>About Child Poverty Action Group</w:t>
      </w:r>
      <w:bookmarkEnd w:id="4"/>
      <w:bookmarkEnd w:id="5"/>
      <w:bookmarkEnd w:id="6"/>
    </w:p>
    <w:p w14:paraId="724BA942" w14:textId="77777777" w:rsidR="00FC4DA1" w:rsidRPr="00FC4DA1" w:rsidRDefault="00FC4DA1" w:rsidP="00FC4DA1">
      <w:pPr>
        <w:spacing w:after="80"/>
        <w:rPr>
          <w:sz w:val="22"/>
          <w:szCs w:val="20"/>
        </w:rPr>
      </w:pPr>
      <w:r w:rsidRPr="00FC4DA1">
        <w:rPr>
          <w:sz w:val="22"/>
          <w:szCs w:val="20"/>
        </w:rPr>
        <w:t>Child Poverty Action Group (CPAG) is an independent, registered charity founded in 1994 which works to eliminate child poverty in Aotearoa New Zealand through research, education and advocacy. CPAG highlights that the country’s high rate of child poverty is not the result of economic necessity, but is due to policy neglect and a flawed ideological emphasis on economic incentives, exacerbated by racism and discrimination. We envisage an Aotearoa where our society shows respect, generosity and care for all children; and where all children can flourish free from poverty.</w:t>
      </w:r>
    </w:p>
    <w:p w14:paraId="5BA92C68" w14:textId="77777777" w:rsidR="00FC4DA1" w:rsidRPr="00FC4DA1" w:rsidRDefault="00FC4DA1" w:rsidP="00FC4DA1">
      <w:pPr>
        <w:spacing w:after="80"/>
        <w:rPr>
          <w:sz w:val="22"/>
          <w:szCs w:val="20"/>
        </w:rPr>
      </w:pPr>
      <w:r w:rsidRPr="00FC4DA1">
        <w:rPr>
          <w:sz w:val="22"/>
          <w:szCs w:val="20"/>
        </w:rPr>
        <w:t>We focus on eliminating poverty for children because:</w:t>
      </w:r>
    </w:p>
    <w:p w14:paraId="04196D1F" w14:textId="77777777" w:rsidR="00FC4DA1" w:rsidRPr="00FC4DA1" w:rsidRDefault="00FC4DA1" w:rsidP="00FC4DA1">
      <w:pPr>
        <w:pStyle w:val="ListParagraph"/>
        <w:numPr>
          <w:ilvl w:val="0"/>
          <w:numId w:val="42"/>
        </w:numPr>
        <w:rPr>
          <w:sz w:val="22"/>
          <w:szCs w:val="20"/>
        </w:rPr>
      </w:pPr>
      <w:r w:rsidRPr="00FC4DA1">
        <w:rPr>
          <w:sz w:val="22"/>
          <w:szCs w:val="20"/>
        </w:rPr>
        <w:t>Overall effects of poverty are worst for children: Child development is adversely affected by poverty, and poverty can lead to detrimental effects for an entire life.</w:t>
      </w:r>
    </w:p>
    <w:p w14:paraId="5E7C01D8" w14:textId="77777777" w:rsidR="00FC4DA1" w:rsidRPr="00FC4DA1" w:rsidRDefault="00FC4DA1" w:rsidP="00FC4DA1">
      <w:pPr>
        <w:pStyle w:val="ListParagraph"/>
        <w:numPr>
          <w:ilvl w:val="0"/>
          <w:numId w:val="42"/>
        </w:numPr>
        <w:rPr>
          <w:sz w:val="22"/>
          <w:szCs w:val="20"/>
        </w:rPr>
      </w:pPr>
      <w:r w:rsidRPr="00FC4DA1">
        <w:rPr>
          <w:sz w:val="22"/>
          <w:szCs w:val="20"/>
        </w:rPr>
        <w:t>Children are more likely to experience poverty: Children are over-represented among those in deprived households.</w:t>
      </w:r>
    </w:p>
    <w:p w14:paraId="565FB587" w14:textId="77777777" w:rsidR="00FC4DA1" w:rsidRPr="00FC4DA1" w:rsidRDefault="00FC4DA1" w:rsidP="00FC4DA1">
      <w:pPr>
        <w:pStyle w:val="ListParagraph"/>
        <w:numPr>
          <w:ilvl w:val="0"/>
          <w:numId w:val="42"/>
        </w:numPr>
        <w:rPr>
          <w:sz w:val="22"/>
          <w:szCs w:val="20"/>
        </w:rPr>
      </w:pPr>
      <w:r w:rsidRPr="00FC4DA1">
        <w:rPr>
          <w:sz w:val="22"/>
          <w:szCs w:val="20"/>
        </w:rPr>
        <w:t>Children don’t get a say: Decisions affecting children are made without their input; only adults can vote for parliamentary representation</w:t>
      </w:r>
    </w:p>
    <w:p w14:paraId="30C3D1C3" w14:textId="77777777" w:rsidR="00FC4DA1" w:rsidRPr="00FC4DA1" w:rsidRDefault="00FC4DA1" w:rsidP="00FC4DA1">
      <w:pPr>
        <w:pStyle w:val="Heading1"/>
        <w:rPr>
          <w:sz w:val="28"/>
          <w:szCs w:val="28"/>
        </w:rPr>
      </w:pPr>
      <w:bookmarkStart w:id="7" w:name="_Toc89093178"/>
      <w:bookmarkStart w:id="8" w:name="_Toc89094338"/>
      <w:bookmarkStart w:id="9" w:name="_Toc89329992"/>
      <w:r w:rsidRPr="00FC4DA1">
        <w:rPr>
          <w:sz w:val="28"/>
          <w:szCs w:val="28"/>
        </w:rPr>
        <w:t>Acknowledgements</w:t>
      </w:r>
      <w:bookmarkEnd w:id="7"/>
      <w:bookmarkEnd w:id="8"/>
      <w:bookmarkEnd w:id="9"/>
    </w:p>
    <w:p w14:paraId="6352F7E2" w14:textId="77777777" w:rsidR="00FC4DA1" w:rsidRPr="00FC4DA1" w:rsidRDefault="00FC4DA1" w:rsidP="00FC4DA1">
      <w:pPr>
        <w:rPr>
          <w:sz w:val="22"/>
          <w:szCs w:val="20"/>
        </w:rPr>
      </w:pPr>
      <w:r w:rsidRPr="00FC4DA1">
        <w:rPr>
          <w:sz w:val="22"/>
          <w:szCs w:val="20"/>
        </w:rPr>
        <w:t xml:space="preserve">Ngā mihi maioha, the authors would like to acknowledge the input of many experts both internal and external to the Child Poverty Action Group (CPAG). We particularly acknowledge the expertise of those with lived experience of the system who contributed anonymously to this project. </w:t>
      </w:r>
    </w:p>
    <w:p w14:paraId="00FC9556" w14:textId="51167E6B" w:rsidR="00FC4DA1" w:rsidRPr="00FC4DA1" w:rsidRDefault="00FC4DA1" w:rsidP="00FC4DA1">
      <w:pPr>
        <w:rPr>
          <w:sz w:val="22"/>
          <w:szCs w:val="20"/>
        </w:rPr>
      </w:pPr>
      <w:r w:rsidRPr="00FC4DA1">
        <w:rPr>
          <w:sz w:val="22"/>
          <w:szCs w:val="20"/>
        </w:rPr>
        <w:t xml:space="preserve">We would like to thank the following experts and organisations for their input in commenting </w:t>
      </w:r>
      <w:r w:rsidR="002A30E9">
        <w:rPr>
          <w:sz w:val="22"/>
          <w:szCs w:val="20"/>
        </w:rPr>
        <w:t>i</w:t>
      </w:r>
      <w:r w:rsidRPr="00FC4DA1">
        <w:rPr>
          <w:sz w:val="22"/>
          <w:szCs w:val="20"/>
        </w:rPr>
        <w:t>n and/or</w:t>
      </w:r>
      <w:r w:rsidR="002A30E9">
        <w:rPr>
          <w:sz w:val="22"/>
          <w:szCs w:val="20"/>
        </w:rPr>
        <w:t xml:space="preserve"> on</w:t>
      </w:r>
      <w:r w:rsidRPr="00FC4DA1">
        <w:rPr>
          <w:sz w:val="22"/>
          <w:szCs w:val="20"/>
        </w:rPr>
        <w:t xml:space="preserve"> this report: Dr Tanya Allport and Dr Amohia Boulton  of Whakauae Research; Matua Fred Andrews, Agnes Magele and Brooke Fiafia Pao Stanley of Auckland Action Against Poverty; Kay </w:t>
      </w:r>
      <w:r w:rsidRPr="00FC4DA1">
        <w:rPr>
          <w:sz w:val="22"/>
        </w:rPr>
        <w:t xml:space="preserve">Brereton, </w:t>
      </w:r>
      <w:r w:rsidRPr="00FC4DA1">
        <w:rPr>
          <w:rFonts w:cs="Museo Sans 300"/>
          <w:color w:val="000000"/>
          <w:sz w:val="22"/>
        </w:rPr>
        <w:t xml:space="preserve">an experienced advocate for people within the welfare system, </w:t>
      </w:r>
      <w:r w:rsidRPr="00FC4DA1">
        <w:rPr>
          <w:sz w:val="22"/>
        </w:rPr>
        <w:t>who served on the Welfare Expert Advisory Group (WEAG);</w:t>
      </w:r>
      <w:r w:rsidR="001363C5">
        <w:rPr>
          <w:sz w:val="22"/>
        </w:rPr>
        <w:t xml:space="preserve"> Gerry Cotterell of CPAG;</w:t>
      </w:r>
      <w:r w:rsidRPr="00FC4DA1">
        <w:rPr>
          <w:sz w:val="22"/>
        </w:rPr>
        <w:t xml:space="preserve"> Vic Crockford and Chris Glaudel of Community Housing Aotearoa</w:t>
      </w:r>
      <w:r w:rsidRPr="00FC4DA1">
        <w:rPr>
          <w:sz w:val="22"/>
          <w:szCs w:val="20"/>
        </w:rPr>
        <w:t xml:space="preserve">; Liz Davies of SociaLink Tauranga Moana; Dr Kelsey Deane of the University of Auckland; Jen Deben of Te Matapihi; Phoebe Eden-Mann of CCS Disability Action; </w:t>
      </w:r>
      <w:r w:rsidRPr="00FC4DA1">
        <w:rPr>
          <w:sz w:val="22"/>
        </w:rPr>
        <w:t xml:space="preserve">Dr Huhana Hickey, </w:t>
      </w:r>
      <w:r w:rsidRPr="00FC4DA1">
        <w:rPr>
          <w:rFonts w:cs="Museo Sans 300"/>
          <w:color w:val="000000"/>
          <w:sz w:val="22"/>
        </w:rPr>
        <w:t>a scholar of disabilities research and legal theory who s</w:t>
      </w:r>
      <w:r w:rsidR="00C52F59">
        <w:rPr>
          <w:rFonts w:cs="Museo Sans 300"/>
          <w:color w:val="000000"/>
          <w:sz w:val="22"/>
        </w:rPr>
        <w:t>e</w:t>
      </w:r>
      <w:r w:rsidRPr="00FC4DA1">
        <w:rPr>
          <w:rFonts w:cs="Museo Sans 300"/>
          <w:color w:val="000000"/>
          <w:sz w:val="22"/>
        </w:rPr>
        <w:t xml:space="preserve">rved on </w:t>
      </w:r>
      <w:r w:rsidRPr="00FC4DA1">
        <w:rPr>
          <w:sz w:val="22"/>
        </w:rPr>
        <w:t xml:space="preserve">WEAG; Honorary Associate Professor Louise Humpage of the University of Auckland; </w:t>
      </w:r>
      <w:r w:rsidRPr="00FC4DA1">
        <w:rPr>
          <w:sz w:val="22"/>
          <w:szCs w:val="20"/>
        </w:rPr>
        <w:t xml:space="preserve">Jake Lilley of FinCap; Janet McAllister of CPAG; Trevor McGlinchey of Te Rūnanga o Ngāi Tahu who served on WEAG; Robert Reid of First Union who served on WEAG; Helen Robinson of Auckland City Mission / Te Tāpui Atawhai; Associate Professor Susan St John of CPAG; Associate Professor Collin Tukuitonga of </w:t>
      </w:r>
      <w:r w:rsidRPr="00FC4DA1">
        <w:rPr>
          <w:rFonts w:eastAsiaTheme="minorEastAsia"/>
          <w:sz w:val="22"/>
          <w:szCs w:val="20"/>
        </w:rPr>
        <w:t>Waipapa Taumata Rau/ University of Auckland</w:t>
      </w:r>
      <w:r w:rsidRPr="00FC4DA1">
        <w:rPr>
          <w:sz w:val="22"/>
          <w:szCs w:val="20"/>
        </w:rPr>
        <w:t>; Charles Waldegrave of Family Centre Social Policy Research Unit and was a member</w:t>
      </w:r>
      <w:r w:rsidR="00C52F59">
        <w:rPr>
          <w:sz w:val="22"/>
          <w:szCs w:val="20"/>
        </w:rPr>
        <w:t xml:space="preserve"> of</w:t>
      </w:r>
      <w:r w:rsidRPr="00FC4DA1">
        <w:rPr>
          <w:sz w:val="22"/>
          <w:szCs w:val="20"/>
        </w:rPr>
        <w:t xml:space="preserve"> WEAG; and Jane Zintl of AraTaiohi.</w:t>
      </w:r>
    </w:p>
    <w:p w14:paraId="74F9BDDC" w14:textId="77777777" w:rsidR="00FC4DA1" w:rsidRPr="00FC4DA1" w:rsidRDefault="00FC4DA1" w:rsidP="00FC4DA1">
      <w:pPr>
        <w:rPr>
          <w:sz w:val="22"/>
          <w:szCs w:val="20"/>
        </w:rPr>
      </w:pPr>
      <w:r w:rsidRPr="00FC4DA1">
        <w:rPr>
          <w:sz w:val="22"/>
          <w:szCs w:val="20"/>
        </w:rPr>
        <w:t xml:space="preserve">The input of some of the original members of WEAG has been sought for the Appendices for this report. Co-author Professor Emeritus Innes Asher was a member of WEAG. However, this report is a CPAG publication. All final assessments and errors remain the responsibility of the authors. </w:t>
      </w:r>
    </w:p>
    <w:p w14:paraId="4F2FD7E7" w14:textId="6B47AA6F" w:rsidR="00FC4DA1" w:rsidRDefault="00FC4DA1" w:rsidP="00FC4DA1">
      <w:pPr>
        <w:rPr>
          <w:i/>
          <w:sz w:val="28"/>
          <w:szCs w:val="28"/>
        </w:rPr>
      </w:pPr>
      <w:r w:rsidRPr="00FC4DA1">
        <w:rPr>
          <w:sz w:val="22"/>
          <w:szCs w:val="20"/>
        </w:rPr>
        <w:t xml:space="preserve">CC BY-NC December 2021 </w:t>
      </w:r>
      <w:r w:rsidRPr="00FC4DA1">
        <w:rPr>
          <w:sz w:val="22"/>
          <w:szCs w:val="20"/>
        </w:rPr>
        <w:br/>
        <w:t>Child Poverty Action Group</w:t>
      </w:r>
      <w:r w:rsidRPr="00FC4DA1">
        <w:rPr>
          <w:sz w:val="22"/>
          <w:szCs w:val="20"/>
        </w:rPr>
        <w:br/>
        <w:t xml:space="preserve">PO Box 5611 Wellesley St Auckland 1141 New Zealand </w:t>
      </w:r>
      <w:hyperlink r:id="rId11" w:history="1">
        <w:r w:rsidRPr="00FC4DA1">
          <w:rPr>
            <w:rStyle w:val="Hyperlink"/>
            <w:sz w:val="22"/>
            <w:szCs w:val="20"/>
          </w:rPr>
          <w:t>www.cpag.org.nz</w:t>
        </w:r>
      </w:hyperlink>
      <w:r w:rsidRPr="00FC4DA1">
        <w:rPr>
          <w:sz w:val="22"/>
          <w:szCs w:val="20"/>
        </w:rPr>
        <w:t xml:space="preserve"> </w:t>
      </w:r>
      <w:r w:rsidRPr="00FC4DA1">
        <w:rPr>
          <w:sz w:val="18"/>
          <w:szCs w:val="18"/>
        </w:rPr>
        <w:br/>
      </w:r>
      <w:r w:rsidRPr="00FC4DA1">
        <w:rPr>
          <w:sz w:val="18"/>
          <w:szCs w:val="18"/>
        </w:rPr>
        <w:br/>
        <w:t>Disclaimer: This publication is intended to provide accurate and adequate information on the matters contained herein and every effort has been made to ensure its accuracy. However, it has been written, edited and published and made available to all persons and entities strictly on the basis that its author, editors and publishers are fully excluded from any liability or responsibility by all or any of them in any way to any person or entity for anything done or omitted to be done by any person or entity in reliance, whether totally or partially, on the contents of this publication for any purpose whatsoever</w:t>
      </w:r>
    </w:p>
    <w:sdt>
      <w:sdtPr>
        <w:rPr>
          <w:rFonts w:asciiTheme="minorHAnsi" w:eastAsiaTheme="minorHAnsi" w:hAnsiTheme="minorHAnsi" w:cstheme="minorBidi"/>
          <w:color w:val="auto"/>
          <w:sz w:val="24"/>
          <w:szCs w:val="22"/>
          <w:lang w:val="en-NZ"/>
        </w:rPr>
        <w:id w:val="-1278017523"/>
        <w:docPartObj>
          <w:docPartGallery w:val="Table of Contents"/>
          <w:docPartUnique/>
        </w:docPartObj>
      </w:sdtPr>
      <w:sdtEndPr>
        <w:rPr>
          <w:b/>
          <w:bCs/>
          <w:noProof/>
        </w:rPr>
      </w:sdtEndPr>
      <w:sdtContent>
        <w:p w14:paraId="5EFEDF6E" w14:textId="77777777" w:rsidR="00FC4DA1" w:rsidRDefault="00476C07" w:rsidP="007963BB">
          <w:pPr>
            <w:pStyle w:val="TOCHeading"/>
            <w:spacing w:line="240" w:lineRule="auto"/>
            <w:rPr>
              <w:noProof/>
            </w:rPr>
          </w:pPr>
          <w:r>
            <w:t>Contents</w:t>
          </w:r>
          <w:r>
            <w:fldChar w:fldCharType="begin"/>
          </w:r>
          <w:r>
            <w:instrText xml:space="preserve"> TOC \o "1-3" \h \z \u </w:instrText>
          </w:r>
          <w:r>
            <w:fldChar w:fldCharType="separate"/>
          </w:r>
        </w:p>
        <w:p w14:paraId="32838E7F" w14:textId="691BD26B" w:rsidR="00FC4DA1" w:rsidRDefault="004F331E">
          <w:pPr>
            <w:pStyle w:val="TOC1"/>
            <w:tabs>
              <w:tab w:val="right" w:leader="dot" w:pos="9016"/>
            </w:tabs>
            <w:rPr>
              <w:rFonts w:eastAsiaTheme="minorEastAsia"/>
              <w:noProof/>
              <w:sz w:val="22"/>
              <w:lang w:val="en-US"/>
            </w:rPr>
          </w:pPr>
          <w:hyperlink w:anchor="_Toc89329993" w:history="1">
            <w:r w:rsidR="00FC4DA1" w:rsidRPr="000E2127">
              <w:rPr>
                <w:rStyle w:val="Hyperlink"/>
                <w:noProof/>
              </w:rPr>
              <w:t>Executive Summary</w:t>
            </w:r>
            <w:r w:rsidR="00FC4DA1">
              <w:rPr>
                <w:noProof/>
                <w:webHidden/>
              </w:rPr>
              <w:tab/>
            </w:r>
            <w:r w:rsidR="00FC4DA1">
              <w:rPr>
                <w:noProof/>
                <w:webHidden/>
              </w:rPr>
              <w:fldChar w:fldCharType="begin"/>
            </w:r>
            <w:r w:rsidR="00FC4DA1">
              <w:rPr>
                <w:noProof/>
                <w:webHidden/>
              </w:rPr>
              <w:instrText xml:space="preserve"> PAGEREF _Toc89329993 \h </w:instrText>
            </w:r>
            <w:r w:rsidR="00FC4DA1">
              <w:rPr>
                <w:noProof/>
                <w:webHidden/>
              </w:rPr>
            </w:r>
            <w:r w:rsidR="00FC4DA1">
              <w:rPr>
                <w:noProof/>
                <w:webHidden/>
              </w:rPr>
              <w:fldChar w:fldCharType="separate"/>
            </w:r>
            <w:r w:rsidR="00223305">
              <w:rPr>
                <w:noProof/>
                <w:webHidden/>
              </w:rPr>
              <w:t>4</w:t>
            </w:r>
            <w:r w:rsidR="00FC4DA1">
              <w:rPr>
                <w:noProof/>
                <w:webHidden/>
              </w:rPr>
              <w:fldChar w:fldCharType="end"/>
            </w:r>
          </w:hyperlink>
        </w:p>
        <w:p w14:paraId="7BFE6564" w14:textId="5C411F9E" w:rsidR="00FC4DA1" w:rsidRDefault="004F331E">
          <w:pPr>
            <w:pStyle w:val="TOC1"/>
            <w:tabs>
              <w:tab w:val="right" w:leader="dot" w:pos="9016"/>
            </w:tabs>
            <w:rPr>
              <w:rFonts w:eastAsiaTheme="minorEastAsia"/>
              <w:noProof/>
              <w:sz w:val="22"/>
              <w:lang w:val="en-US"/>
            </w:rPr>
          </w:pPr>
          <w:hyperlink w:anchor="_Toc89329994" w:history="1">
            <w:r w:rsidR="00FC4DA1" w:rsidRPr="000E2127">
              <w:rPr>
                <w:rStyle w:val="Hyperlink"/>
                <w:noProof/>
              </w:rPr>
              <w:t>CPAG’S recommendations for implementation of welfare reform</w:t>
            </w:r>
            <w:r w:rsidR="00FC4DA1">
              <w:rPr>
                <w:noProof/>
                <w:webHidden/>
              </w:rPr>
              <w:tab/>
            </w:r>
            <w:r w:rsidR="00FC4DA1">
              <w:rPr>
                <w:noProof/>
                <w:webHidden/>
              </w:rPr>
              <w:fldChar w:fldCharType="begin"/>
            </w:r>
            <w:r w:rsidR="00FC4DA1">
              <w:rPr>
                <w:noProof/>
                <w:webHidden/>
              </w:rPr>
              <w:instrText xml:space="preserve"> PAGEREF _Toc89329994 \h </w:instrText>
            </w:r>
            <w:r w:rsidR="00FC4DA1">
              <w:rPr>
                <w:noProof/>
                <w:webHidden/>
              </w:rPr>
            </w:r>
            <w:r w:rsidR="00FC4DA1">
              <w:rPr>
                <w:noProof/>
                <w:webHidden/>
              </w:rPr>
              <w:fldChar w:fldCharType="separate"/>
            </w:r>
            <w:r w:rsidR="00223305">
              <w:rPr>
                <w:noProof/>
                <w:webHidden/>
              </w:rPr>
              <w:t>6</w:t>
            </w:r>
            <w:r w:rsidR="00FC4DA1">
              <w:rPr>
                <w:noProof/>
                <w:webHidden/>
              </w:rPr>
              <w:fldChar w:fldCharType="end"/>
            </w:r>
          </w:hyperlink>
        </w:p>
        <w:p w14:paraId="6984A390" w14:textId="0B9F4757" w:rsidR="00FC4DA1" w:rsidRDefault="004F331E">
          <w:pPr>
            <w:pStyle w:val="TOC1"/>
            <w:tabs>
              <w:tab w:val="right" w:leader="dot" w:pos="9016"/>
            </w:tabs>
            <w:rPr>
              <w:rFonts w:eastAsiaTheme="minorEastAsia"/>
              <w:noProof/>
              <w:sz w:val="22"/>
              <w:lang w:val="en-US"/>
            </w:rPr>
          </w:pPr>
          <w:hyperlink w:anchor="_Toc89329995" w:history="1">
            <w:r w:rsidR="00FC4DA1" w:rsidRPr="000E2127">
              <w:rPr>
                <w:rStyle w:val="Hyperlink"/>
                <w:noProof/>
              </w:rPr>
              <w:t>1.</w:t>
            </w:r>
            <w:r w:rsidR="00FC4DA1">
              <w:rPr>
                <w:rFonts w:eastAsiaTheme="minorEastAsia"/>
                <w:noProof/>
                <w:sz w:val="22"/>
                <w:lang w:val="en-US"/>
              </w:rPr>
              <w:tab/>
            </w:r>
            <w:r w:rsidR="00FC4DA1" w:rsidRPr="000E2127">
              <w:rPr>
                <w:rStyle w:val="Hyperlink"/>
                <w:noProof/>
              </w:rPr>
              <w:t>Background</w:t>
            </w:r>
            <w:r w:rsidR="00FC4DA1">
              <w:rPr>
                <w:noProof/>
                <w:webHidden/>
              </w:rPr>
              <w:tab/>
            </w:r>
            <w:r w:rsidR="00FC4DA1">
              <w:rPr>
                <w:noProof/>
                <w:webHidden/>
              </w:rPr>
              <w:fldChar w:fldCharType="begin"/>
            </w:r>
            <w:r w:rsidR="00FC4DA1">
              <w:rPr>
                <w:noProof/>
                <w:webHidden/>
              </w:rPr>
              <w:instrText xml:space="preserve"> PAGEREF _Toc89329995 \h </w:instrText>
            </w:r>
            <w:r w:rsidR="00FC4DA1">
              <w:rPr>
                <w:noProof/>
                <w:webHidden/>
              </w:rPr>
            </w:r>
            <w:r w:rsidR="00FC4DA1">
              <w:rPr>
                <w:noProof/>
                <w:webHidden/>
              </w:rPr>
              <w:fldChar w:fldCharType="separate"/>
            </w:r>
            <w:r w:rsidR="00223305">
              <w:rPr>
                <w:noProof/>
                <w:webHidden/>
              </w:rPr>
              <w:t>7</w:t>
            </w:r>
            <w:r w:rsidR="00FC4DA1">
              <w:rPr>
                <w:noProof/>
                <w:webHidden/>
              </w:rPr>
              <w:fldChar w:fldCharType="end"/>
            </w:r>
          </w:hyperlink>
        </w:p>
        <w:p w14:paraId="2083BD6E" w14:textId="743F52D3" w:rsidR="00FC4DA1" w:rsidRDefault="004F331E">
          <w:pPr>
            <w:pStyle w:val="TOC2"/>
            <w:tabs>
              <w:tab w:val="right" w:leader="dot" w:pos="9016"/>
            </w:tabs>
            <w:rPr>
              <w:rFonts w:eastAsiaTheme="minorEastAsia"/>
              <w:noProof/>
              <w:sz w:val="22"/>
              <w:lang w:val="en-US"/>
            </w:rPr>
          </w:pPr>
          <w:hyperlink w:anchor="_Toc89329996" w:history="1">
            <w:r w:rsidR="00FC4DA1" w:rsidRPr="000E2127">
              <w:rPr>
                <w:rStyle w:val="Hyperlink"/>
                <w:noProof/>
              </w:rPr>
              <w:t>Context</w:t>
            </w:r>
            <w:r w:rsidR="00FC4DA1">
              <w:rPr>
                <w:noProof/>
                <w:webHidden/>
              </w:rPr>
              <w:tab/>
            </w:r>
            <w:r w:rsidR="00FC4DA1">
              <w:rPr>
                <w:noProof/>
                <w:webHidden/>
              </w:rPr>
              <w:fldChar w:fldCharType="begin"/>
            </w:r>
            <w:r w:rsidR="00FC4DA1">
              <w:rPr>
                <w:noProof/>
                <w:webHidden/>
              </w:rPr>
              <w:instrText xml:space="preserve"> PAGEREF _Toc89329996 \h </w:instrText>
            </w:r>
            <w:r w:rsidR="00FC4DA1">
              <w:rPr>
                <w:noProof/>
                <w:webHidden/>
              </w:rPr>
            </w:r>
            <w:r w:rsidR="00FC4DA1">
              <w:rPr>
                <w:noProof/>
                <w:webHidden/>
              </w:rPr>
              <w:fldChar w:fldCharType="separate"/>
            </w:r>
            <w:r w:rsidR="00223305">
              <w:rPr>
                <w:noProof/>
                <w:webHidden/>
              </w:rPr>
              <w:t>7</w:t>
            </w:r>
            <w:r w:rsidR="00FC4DA1">
              <w:rPr>
                <w:noProof/>
                <w:webHidden/>
              </w:rPr>
              <w:fldChar w:fldCharType="end"/>
            </w:r>
          </w:hyperlink>
        </w:p>
        <w:p w14:paraId="7906F0EF" w14:textId="4E4EDD56" w:rsidR="00FC4DA1" w:rsidRDefault="004F331E">
          <w:pPr>
            <w:pStyle w:val="TOC2"/>
            <w:tabs>
              <w:tab w:val="right" w:leader="dot" w:pos="9016"/>
            </w:tabs>
            <w:rPr>
              <w:rFonts w:eastAsiaTheme="minorEastAsia"/>
              <w:noProof/>
              <w:sz w:val="22"/>
              <w:lang w:val="en-US"/>
            </w:rPr>
          </w:pPr>
          <w:hyperlink w:anchor="_Toc89329997" w:history="1">
            <w:r w:rsidR="00FC4DA1" w:rsidRPr="000E2127">
              <w:rPr>
                <w:rStyle w:val="Hyperlink"/>
                <w:noProof/>
              </w:rPr>
              <w:t>Children, Covid-19 and welfare reform</w:t>
            </w:r>
            <w:r w:rsidR="00FC4DA1">
              <w:rPr>
                <w:noProof/>
                <w:webHidden/>
              </w:rPr>
              <w:tab/>
            </w:r>
            <w:r w:rsidR="00FC4DA1">
              <w:rPr>
                <w:noProof/>
                <w:webHidden/>
              </w:rPr>
              <w:fldChar w:fldCharType="begin"/>
            </w:r>
            <w:r w:rsidR="00FC4DA1">
              <w:rPr>
                <w:noProof/>
                <w:webHidden/>
              </w:rPr>
              <w:instrText xml:space="preserve"> PAGEREF _Toc89329997 \h </w:instrText>
            </w:r>
            <w:r w:rsidR="00FC4DA1">
              <w:rPr>
                <w:noProof/>
                <w:webHidden/>
              </w:rPr>
            </w:r>
            <w:r w:rsidR="00FC4DA1">
              <w:rPr>
                <w:noProof/>
                <w:webHidden/>
              </w:rPr>
              <w:fldChar w:fldCharType="separate"/>
            </w:r>
            <w:r w:rsidR="00223305">
              <w:rPr>
                <w:noProof/>
                <w:webHidden/>
              </w:rPr>
              <w:t>8</w:t>
            </w:r>
            <w:r w:rsidR="00FC4DA1">
              <w:rPr>
                <w:noProof/>
                <w:webHidden/>
              </w:rPr>
              <w:fldChar w:fldCharType="end"/>
            </w:r>
          </w:hyperlink>
        </w:p>
        <w:p w14:paraId="1A560813" w14:textId="60D09FAA" w:rsidR="00FC4DA1" w:rsidRDefault="004F331E">
          <w:pPr>
            <w:pStyle w:val="TOC3"/>
            <w:tabs>
              <w:tab w:val="right" w:leader="dot" w:pos="9016"/>
            </w:tabs>
            <w:rPr>
              <w:rFonts w:eastAsiaTheme="minorEastAsia"/>
              <w:noProof/>
              <w:sz w:val="22"/>
              <w:lang w:val="en-US"/>
            </w:rPr>
          </w:pPr>
          <w:hyperlink w:anchor="_Toc89329998" w:history="1">
            <w:r w:rsidR="00FC4DA1" w:rsidRPr="000E2127">
              <w:rPr>
                <w:rStyle w:val="Hyperlink"/>
                <w:noProof/>
              </w:rPr>
              <w:t>More children now affected by welfare</w:t>
            </w:r>
            <w:r w:rsidR="00FC4DA1">
              <w:rPr>
                <w:noProof/>
                <w:webHidden/>
              </w:rPr>
              <w:tab/>
            </w:r>
            <w:r w:rsidR="00FC4DA1">
              <w:rPr>
                <w:noProof/>
                <w:webHidden/>
              </w:rPr>
              <w:fldChar w:fldCharType="begin"/>
            </w:r>
            <w:r w:rsidR="00FC4DA1">
              <w:rPr>
                <w:noProof/>
                <w:webHidden/>
              </w:rPr>
              <w:instrText xml:space="preserve"> PAGEREF _Toc89329998 \h </w:instrText>
            </w:r>
            <w:r w:rsidR="00FC4DA1">
              <w:rPr>
                <w:noProof/>
                <w:webHidden/>
              </w:rPr>
            </w:r>
            <w:r w:rsidR="00FC4DA1">
              <w:rPr>
                <w:noProof/>
                <w:webHidden/>
              </w:rPr>
              <w:fldChar w:fldCharType="separate"/>
            </w:r>
            <w:r w:rsidR="00223305">
              <w:rPr>
                <w:noProof/>
                <w:webHidden/>
              </w:rPr>
              <w:t>9</w:t>
            </w:r>
            <w:r w:rsidR="00FC4DA1">
              <w:rPr>
                <w:noProof/>
                <w:webHidden/>
              </w:rPr>
              <w:fldChar w:fldCharType="end"/>
            </w:r>
          </w:hyperlink>
        </w:p>
        <w:p w14:paraId="71806F21" w14:textId="56C1ED04" w:rsidR="00FC4DA1" w:rsidRDefault="004F331E">
          <w:pPr>
            <w:pStyle w:val="TOC3"/>
            <w:tabs>
              <w:tab w:val="right" w:leader="dot" w:pos="9016"/>
            </w:tabs>
            <w:rPr>
              <w:rFonts w:eastAsiaTheme="minorEastAsia"/>
              <w:noProof/>
              <w:sz w:val="22"/>
              <w:lang w:val="en-US"/>
            </w:rPr>
          </w:pPr>
          <w:hyperlink w:anchor="_Toc89329999" w:history="1">
            <w:r w:rsidR="00FC4DA1" w:rsidRPr="000E2127">
              <w:rPr>
                <w:rStyle w:val="Hyperlink"/>
                <w:noProof/>
              </w:rPr>
              <w:t>Initial Covid-19 welfare responses were mostly useful, but temporary</w:t>
            </w:r>
            <w:r w:rsidR="00FC4DA1">
              <w:rPr>
                <w:noProof/>
                <w:webHidden/>
              </w:rPr>
              <w:tab/>
            </w:r>
            <w:r w:rsidR="00FC4DA1">
              <w:rPr>
                <w:noProof/>
                <w:webHidden/>
              </w:rPr>
              <w:fldChar w:fldCharType="begin"/>
            </w:r>
            <w:r w:rsidR="00FC4DA1">
              <w:rPr>
                <w:noProof/>
                <w:webHidden/>
              </w:rPr>
              <w:instrText xml:space="preserve"> PAGEREF _Toc89329999 \h </w:instrText>
            </w:r>
            <w:r w:rsidR="00FC4DA1">
              <w:rPr>
                <w:noProof/>
                <w:webHidden/>
              </w:rPr>
            </w:r>
            <w:r w:rsidR="00FC4DA1">
              <w:rPr>
                <w:noProof/>
                <w:webHidden/>
              </w:rPr>
              <w:fldChar w:fldCharType="separate"/>
            </w:r>
            <w:r w:rsidR="00223305">
              <w:rPr>
                <w:noProof/>
                <w:webHidden/>
              </w:rPr>
              <w:t>9</w:t>
            </w:r>
            <w:r w:rsidR="00FC4DA1">
              <w:rPr>
                <w:noProof/>
                <w:webHidden/>
              </w:rPr>
              <w:fldChar w:fldCharType="end"/>
            </w:r>
          </w:hyperlink>
        </w:p>
        <w:p w14:paraId="673447F6" w14:textId="0AD31039" w:rsidR="00FC4DA1" w:rsidRDefault="004F331E">
          <w:pPr>
            <w:pStyle w:val="TOC2"/>
            <w:tabs>
              <w:tab w:val="right" w:leader="dot" w:pos="9016"/>
            </w:tabs>
            <w:rPr>
              <w:rFonts w:eastAsiaTheme="minorEastAsia"/>
              <w:noProof/>
              <w:sz w:val="22"/>
              <w:lang w:val="en-US"/>
            </w:rPr>
          </w:pPr>
          <w:hyperlink w:anchor="_Toc89330000" w:history="1">
            <w:r w:rsidR="00FC4DA1" w:rsidRPr="000E2127">
              <w:rPr>
                <w:rStyle w:val="Hyperlink"/>
                <w:noProof/>
              </w:rPr>
              <w:t>Key report methods and structure</w:t>
            </w:r>
            <w:r w:rsidR="00FC4DA1">
              <w:rPr>
                <w:noProof/>
                <w:webHidden/>
              </w:rPr>
              <w:tab/>
            </w:r>
            <w:r w:rsidR="00FC4DA1">
              <w:rPr>
                <w:noProof/>
                <w:webHidden/>
              </w:rPr>
              <w:fldChar w:fldCharType="begin"/>
            </w:r>
            <w:r w:rsidR="00FC4DA1">
              <w:rPr>
                <w:noProof/>
                <w:webHidden/>
              </w:rPr>
              <w:instrText xml:space="preserve"> PAGEREF _Toc89330000 \h </w:instrText>
            </w:r>
            <w:r w:rsidR="00FC4DA1">
              <w:rPr>
                <w:noProof/>
                <w:webHidden/>
              </w:rPr>
            </w:r>
            <w:r w:rsidR="00FC4DA1">
              <w:rPr>
                <w:noProof/>
                <w:webHidden/>
              </w:rPr>
              <w:fldChar w:fldCharType="separate"/>
            </w:r>
            <w:r w:rsidR="00223305">
              <w:rPr>
                <w:noProof/>
                <w:webHidden/>
              </w:rPr>
              <w:t>10</w:t>
            </w:r>
            <w:r w:rsidR="00FC4DA1">
              <w:rPr>
                <w:noProof/>
                <w:webHidden/>
              </w:rPr>
              <w:fldChar w:fldCharType="end"/>
            </w:r>
          </w:hyperlink>
        </w:p>
        <w:p w14:paraId="5BB995B0" w14:textId="5DC8B8C0" w:rsidR="00FC4DA1" w:rsidRDefault="004F331E">
          <w:pPr>
            <w:pStyle w:val="TOC1"/>
            <w:tabs>
              <w:tab w:val="right" w:leader="dot" w:pos="9016"/>
            </w:tabs>
            <w:rPr>
              <w:rFonts w:eastAsiaTheme="minorEastAsia"/>
              <w:noProof/>
              <w:sz w:val="22"/>
              <w:lang w:val="en-US"/>
            </w:rPr>
          </w:pPr>
          <w:hyperlink w:anchor="_Toc89330001" w:history="1">
            <w:r w:rsidR="00FC4DA1" w:rsidRPr="000E2127">
              <w:rPr>
                <w:rStyle w:val="Hyperlink"/>
                <w:noProof/>
              </w:rPr>
              <w:t>2.</w:t>
            </w:r>
            <w:r w:rsidR="00FC4DA1">
              <w:rPr>
                <w:rFonts w:eastAsiaTheme="minorEastAsia"/>
                <w:noProof/>
                <w:sz w:val="22"/>
                <w:lang w:val="en-US"/>
              </w:rPr>
              <w:tab/>
            </w:r>
            <w:r w:rsidR="00FC4DA1" w:rsidRPr="000E2127">
              <w:rPr>
                <w:rStyle w:val="Hyperlink"/>
                <w:noProof/>
              </w:rPr>
              <w:t>The principles and purpose of the Social Security Act</w:t>
            </w:r>
            <w:r w:rsidR="00FC4DA1">
              <w:rPr>
                <w:noProof/>
                <w:webHidden/>
              </w:rPr>
              <w:tab/>
            </w:r>
            <w:r w:rsidR="00FC4DA1">
              <w:rPr>
                <w:noProof/>
                <w:webHidden/>
              </w:rPr>
              <w:fldChar w:fldCharType="begin"/>
            </w:r>
            <w:r w:rsidR="00FC4DA1">
              <w:rPr>
                <w:noProof/>
                <w:webHidden/>
              </w:rPr>
              <w:instrText xml:space="preserve"> PAGEREF _Toc89330001 \h </w:instrText>
            </w:r>
            <w:r w:rsidR="00FC4DA1">
              <w:rPr>
                <w:noProof/>
                <w:webHidden/>
              </w:rPr>
            </w:r>
            <w:r w:rsidR="00FC4DA1">
              <w:rPr>
                <w:noProof/>
                <w:webHidden/>
              </w:rPr>
              <w:fldChar w:fldCharType="separate"/>
            </w:r>
            <w:r w:rsidR="00223305">
              <w:rPr>
                <w:noProof/>
                <w:webHidden/>
              </w:rPr>
              <w:t>10</w:t>
            </w:r>
            <w:r w:rsidR="00FC4DA1">
              <w:rPr>
                <w:noProof/>
                <w:webHidden/>
              </w:rPr>
              <w:fldChar w:fldCharType="end"/>
            </w:r>
          </w:hyperlink>
        </w:p>
        <w:p w14:paraId="79B05B4C" w14:textId="43943346" w:rsidR="00FC4DA1" w:rsidRDefault="004F331E">
          <w:pPr>
            <w:pStyle w:val="TOC1"/>
            <w:tabs>
              <w:tab w:val="right" w:leader="dot" w:pos="9016"/>
            </w:tabs>
            <w:rPr>
              <w:rFonts w:eastAsiaTheme="minorEastAsia"/>
              <w:noProof/>
              <w:sz w:val="22"/>
              <w:lang w:val="en-US"/>
            </w:rPr>
          </w:pPr>
          <w:hyperlink w:anchor="_Toc89330002" w:history="1">
            <w:r w:rsidR="00FC4DA1" w:rsidRPr="000E2127">
              <w:rPr>
                <w:rStyle w:val="Hyperlink"/>
                <w:rFonts w:cstheme="minorHAnsi"/>
                <w:noProof/>
              </w:rPr>
              <w:t>3.</w:t>
            </w:r>
            <w:r w:rsidR="00FC4DA1">
              <w:rPr>
                <w:rFonts w:eastAsiaTheme="minorEastAsia"/>
                <w:noProof/>
                <w:sz w:val="22"/>
                <w:lang w:val="en-US"/>
              </w:rPr>
              <w:tab/>
            </w:r>
            <w:r w:rsidR="00FC4DA1" w:rsidRPr="000E2127">
              <w:rPr>
                <w:rStyle w:val="Hyperlink"/>
                <w:noProof/>
              </w:rPr>
              <w:t>Income Support - planned benefit increases necessary but not sufficient</w:t>
            </w:r>
            <w:r w:rsidR="00FC4DA1">
              <w:rPr>
                <w:noProof/>
                <w:webHidden/>
              </w:rPr>
              <w:tab/>
            </w:r>
            <w:r w:rsidR="00FC4DA1">
              <w:rPr>
                <w:noProof/>
                <w:webHidden/>
              </w:rPr>
              <w:fldChar w:fldCharType="begin"/>
            </w:r>
            <w:r w:rsidR="00FC4DA1">
              <w:rPr>
                <w:noProof/>
                <w:webHidden/>
              </w:rPr>
              <w:instrText xml:space="preserve"> PAGEREF _Toc89330002 \h </w:instrText>
            </w:r>
            <w:r w:rsidR="00FC4DA1">
              <w:rPr>
                <w:noProof/>
                <w:webHidden/>
              </w:rPr>
            </w:r>
            <w:r w:rsidR="00FC4DA1">
              <w:rPr>
                <w:noProof/>
                <w:webHidden/>
              </w:rPr>
              <w:fldChar w:fldCharType="separate"/>
            </w:r>
            <w:r w:rsidR="00223305">
              <w:rPr>
                <w:noProof/>
                <w:webHidden/>
              </w:rPr>
              <w:t>13</w:t>
            </w:r>
            <w:r w:rsidR="00FC4DA1">
              <w:rPr>
                <w:noProof/>
                <w:webHidden/>
              </w:rPr>
              <w:fldChar w:fldCharType="end"/>
            </w:r>
          </w:hyperlink>
        </w:p>
        <w:p w14:paraId="7DAB750E" w14:textId="708D0294" w:rsidR="00FC4DA1" w:rsidRDefault="004F331E">
          <w:pPr>
            <w:pStyle w:val="TOC2"/>
            <w:tabs>
              <w:tab w:val="right" w:leader="dot" w:pos="9016"/>
            </w:tabs>
            <w:rPr>
              <w:rFonts w:eastAsiaTheme="minorEastAsia"/>
              <w:noProof/>
              <w:sz w:val="22"/>
              <w:lang w:val="en-US"/>
            </w:rPr>
          </w:pPr>
          <w:hyperlink w:anchor="_Toc89330003" w:history="1">
            <w:r w:rsidR="00FC4DA1" w:rsidRPr="000E2127">
              <w:rPr>
                <w:rStyle w:val="Hyperlink"/>
                <w:noProof/>
              </w:rPr>
              <w:t>Benefit increases</w:t>
            </w:r>
            <w:r w:rsidR="00FC4DA1">
              <w:rPr>
                <w:noProof/>
                <w:webHidden/>
              </w:rPr>
              <w:tab/>
            </w:r>
            <w:r w:rsidR="00FC4DA1">
              <w:rPr>
                <w:noProof/>
                <w:webHidden/>
              </w:rPr>
              <w:fldChar w:fldCharType="begin"/>
            </w:r>
            <w:r w:rsidR="00FC4DA1">
              <w:rPr>
                <w:noProof/>
                <w:webHidden/>
              </w:rPr>
              <w:instrText xml:space="preserve"> PAGEREF _Toc89330003 \h </w:instrText>
            </w:r>
            <w:r w:rsidR="00FC4DA1">
              <w:rPr>
                <w:noProof/>
                <w:webHidden/>
              </w:rPr>
            </w:r>
            <w:r w:rsidR="00FC4DA1">
              <w:rPr>
                <w:noProof/>
                <w:webHidden/>
              </w:rPr>
              <w:fldChar w:fldCharType="separate"/>
            </w:r>
            <w:r w:rsidR="00223305">
              <w:rPr>
                <w:noProof/>
                <w:webHidden/>
              </w:rPr>
              <w:t>13</w:t>
            </w:r>
            <w:r w:rsidR="00FC4DA1">
              <w:rPr>
                <w:noProof/>
                <w:webHidden/>
              </w:rPr>
              <w:fldChar w:fldCharType="end"/>
            </w:r>
          </w:hyperlink>
        </w:p>
        <w:p w14:paraId="35B6A36E" w14:textId="2636EE16" w:rsidR="00FC4DA1" w:rsidRDefault="004F331E">
          <w:pPr>
            <w:pStyle w:val="TOC2"/>
            <w:tabs>
              <w:tab w:val="right" w:leader="dot" w:pos="9016"/>
            </w:tabs>
            <w:rPr>
              <w:rFonts w:eastAsiaTheme="minorEastAsia"/>
              <w:noProof/>
              <w:sz w:val="22"/>
              <w:lang w:val="en-US"/>
            </w:rPr>
          </w:pPr>
          <w:hyperlink w:anchor="_Toc89330004" w:history="1">
            <w:r w:rsidR="00FC4DA1" w:rsidRPr="000E2127">
              <w:rPr>
                <w:rStyle w:val="Hyperlink"/>
                <w:noProof/>
              </w:rPr>
              <w:t>Working for Families tax credits</w:t>
            </w:r>
            <w:r w:rsidR="00FC4DA1">
              <w:rPr>
                <w:noProof/>
                <w:webHidden/>
              </w:rPr>
              <w:tab/>
            </w:r>
            <w:r w:rsidR="00FC4DA1">
              <w:rPr>
                <w:noProof/>
                <w:webHidden/>
              </w:rPr>
              <w:fldChar w:fldCharType="begin"/>
            </w:r>
            <w:r w:rsidR="00FC4DA1">
              <w:rPr>
                <w:noProof/>
                <w:webHidden/>
              </w:rPr>
              <w:instrText xml:space="preserve"> PAGEREF _Toc89330004 \h </w:instrText>
            </w:r>
            <w:r w:rsidR="00FC4DA1">
              <w:rPr>
                <w:noProof/>
                <w:webHidden/>
              </w:rPr>
            </w:r>
            <w:r w:rsidR="00FC4DA1">
              <w:rPr>
                <w:noProof/>
                <w:webHidden/>
              </w:rPr>
              <w:fldChar w:fldCharType="separate"/>
            </w:r>
            <w:r w:rsidR="00223305">
              <w:rPr>
                <w:noProof/>
                <w:webHidden/>
              </w:rPr>
              <w:t>14</w:t>
            </w:r>
            <w:r w:rsidR="00FC4DA1">
              <w:rPr>
                <w:noProof/>
                <w:webHidden/>
              </w:rPr>
              <w:fldChar w:fldCharType="end"/>
            </w:r>
          </w:hyperlink>
        </w:p>
        <w:p w14:paraId="3AA88ADA" w14:textId="71B341D9" w:rsidR="00FC4DA1" w:rsidRDefault="004F331E">
          <w:pPr>
            <w:pStyle w:val="TOC2"/>
            <w:tabs>
              <w:tab w:val="right" w:leader="dot" w:pos="9016"/>
            </w:tabs>
            <w:rPr>
              <w:rFonts w:eastAsiaTheme="minorEastAsia"/>
              <w:noProof/>
              <w:sz w:val="22"/>
              <w:lang w:val="en-US"/>
            </w:rPr>
          </w:pPr>
          <w:hyperlink w:anchor="_Toc89330005" w:history="1">
            <w:r w:rsidR="00FC4DA1" w:rsidRPr="000E2127">
              <w:rPr>
                <w:rStyle w:val="Hyperlink"/>
                <w:noProof/>
              </w:rPr>
              <w:t>Impact of income support settings on different household types</w:t>
            </w:r>
            <w:r w:rsidR="00FC4DA1">
              <w:rPr>
                <w:noProof/>
                <w:webHidden/>
              </w:rPr>
              <w:tab/>
            </w:r>
            <w:r w:rsidR="00FC4DA1">
              <w:rPr>
                <w:noProof/>
                <w:webHidden/>
              </w:rPr>
              <w:fldChar w:fldCharType="begin"/>
            </w:r>
            <w:r w:rsidR="00FC4DA1">
              <w:rPr>
                <w:noProof/>
                <w:webHidden/>
              </w:rPr>
              <w:instrText xml:space="preserve"> PAGEREF _Toc89330005 \h </w:instrText>
            </w:r>
            <w:r w:rsidR="00FC4DA1">
              <w:rPr>
                <w:noProof/>
                <w:webHidden/>
              </w:rPr>
            </w:r>
            <w:r w:rsidR="00FC4DA1">
              <w:rPr>
                <w:noProof/>
                <w:webHidden/>
              </w:rPr>
              <w:fldChar w:fldCharType="separate"/>
            </w:r>
            <w:r w:rsidR="00223305">
              <w:rPr>
                <w:noProof/>
                <w:webHidden/>
              </w:rPr>
              <w:t>15</w:t>
            </w:r>
            <w:r w:rsidR="00FC4DA1">
              <w:rPr>
                <w:noProof/>
                <w:webHidden/>
              </w:rPr>
              <w:fldChar w:fldCharType="end"/>
            </w:r>
          </w:hyperlink>
        </w:p>
        <w:p w14:paraId="6EE3A981" w14:textId="56335A7C" w:rsidR="00FC4DA1" w:rsidRDefault="004F331E">
          <w:pPr>
            <w:pStyle w:val="TOC3"/>
            <w:tabs>
              <w:tab w:val="right" w:leader="dot" w:pos="9016"/>
            </w:tabs>
            <w:rPr>
              <w:rFonts w:eastAsiaTheme="minorEastAsia"/>
              <w:noProof/>
              <w:sz w:val="22"/>
              <w:lang w:val="en-US"/>
            </w:rPr>
          </w:pPr>
          <w:hyperlink w:anchor="_Toc89330006" w:history="1">
            <w:r w:rsidR="00FC4DA1" w:rsidRPr="000E2127">
              <w:rPr>
                <w:rStyle w:val="Hyperlink"/>
                <w:noProof/>
              </w:rPr>
              <w:t>Main benefit rates for people without children</w:t>
            </w:r>
            <w:r w:rsidR="00FC4DA1">
              <w:rPr>
                <w:noProof/>
                <w:webHidden/>
              </w:rPr>
              <w:tab/>
            </w:r>
            <w:r w:rsidR="00FC4DA1">
              <w:rPr>
                <w:noProof/>
                <w:webHidden/>
              </w:rPr>
              <w:fldChar w:fldCharType="begin"/>
            </w:r>
            <w:r w:rsidR="00FC4DA1">
              <w:rPr>
                <w:noProof/>
                <w:webHidden/>
              </w:rPr>
              <w:instrText xml:space="preserve"> PAGEREF _Toc89330006 \h </w:instrText>
            </w:r>
            <w:r w:rsidR="00FC4DA1">
              <w:rPr>
                <w:noProof/>
                <w:webHidden/>
              </w:rPr>
            </w:r>
            <w:r w:rsidR="00FC4DA1">
              <w:rPr>
                <w:noProof/>
                <w:webHidden/>
              </w:rPr>
              <w:fldChar w:fldCharType="separate"/>
            </w:r>
            <w:r w:rsidR="00223305">
              <w:rPr>
                <w:noProof/>
                <w:webHidden/>
              </w:rPr>
              <w:t>15</w:t>
            </w:r>
            <w:r w:rsidR="00FC4DA1">
              <w:rPr>
                <w:noProof/>
                <w:webHidden/>
              </w:rPr>
              <w:fldChar w:fldCharType="end"/>
            </w:r>
          </w:hyperlink>
        </w:p>
        <w:p w14:paraId="2EEAB1AD" w14:textId="5DB45602" w:rsidR="00FC4DA1" w:rsidRDefault="004F331E">
          <w:pPr>
            <w:pStyle w:val="TOC3"/>
            <w:tabs>
              <w:tab w:val="right" w:leader="dot" w:pos="9016"/>
            </w:tabs>
            <w:rPr>
              <w:rFonts w:eastAsiaTheme="minorEastAsia"/>
              <w:noProof/>
              <w:sz w:val="22"/>
              <w:lang w:val="en-US"/>
            </w:rPr>
          </w:pPr>
          <w:hyperlink w:anchor="_Toc89330007" w:history="1">
            <w:r w:rsidR="00FC4DA1" w:rsidRPr="000E2127">
              <w:rPr>
                <w:rStyle w:val="Hyperlink"/>
                <w:noProof/>
              </w:rPr>
              <w:t>Income support for people with children</w:t>
            </w:r>
            <w:r w:rsidR="00FC4DA1">
              <w:rPr>
                <w:noProof/>
                <w:webHidden/>
              </w:rPr>
              <w:tab/>
            </w:r>
            <w:r w:rsidR="00FC4DA1">
              <w:rPr>
                <w:noProof/>
                <w:webHidden/>
              </w:rPr>
              <w:fldChar w:fldCharType="begin"/>
            </w:r>
            <w:r w:rsidR="00FC4DA1">
              <w:rPr>
                <w:noProof/>
                <w:webHidden/>
              </w:rPr>
              <w:instrText xml:space="preserve"> PAGEREF _Toc89330007 \h </w:instrText>
            </w:r>
            <w:r w:rsidR="00FC4DA1">
              <w:rPr>
                <w:noProof/>
                <w:webHidden/>
              </w:rPr>
            </w:r>
            <w:r w:rsidR="00FC4DA1">
              <w:rPr>
                <w:noProof/>
                <w:webHidden/>
              </w:rPr>
              <w:fldChar w:fldCharType="separate"/>
            </w:r>
            <w:r w:rsidR="00223305">
              <w:rPr>
                <w:noProof/>
                <w:webHidden/>
              </w:rPr>
              <w:t>16</w:t>
            </w:r>
            <w:r w:rsidR="00FC4DA1">
              <w:rPr>
                <w:noProof/>
                <w:webHidden/>
              </w:rPr>
              <w:fldChar w:fldCharType="end"/>
            </w:r>
          </w:hyperlink>
        </w:p>
        <w:p w14:paraId="7CAEFE67" w14:textId="41F3883D" w:rsidR="00FC4DA1" w:rsidRDefault="004F331E">
          <w:pPr>
            <w:pStyle w:val="TOC3"/>
            <w:tabs>
              <w:tab w:val="right" w:leader="dot" w:pos="9016"/>
            </w:tabs>
            <w:rPr>
              <w:rFonts w:eastAsiaTheme="minorEastAsia"/>
              <w:noProof/>
              <w:sz w:val="22"/>
              <w:lang w:val="en-US"/>
            </w:rPr>
          </w:pPr>
          <w:hyperlink w:anchor="_Toc89330008" w:history="1">
            <w:r w:rsidR="00FC4DA1" w:rsidRPr="000E2127">
              <w:rPr>
                <w:rStyle w:val="Hyperlink"/>
                <w:noProof/>
              </w:rPr>
              <w:t>Income support for couples</w:t>
            </w:r>
            <w:r w:rsidR="00FC4DA1">
              <w:rPr>
                <w:noProof/>
                <w:webHidden/>
              </w:rPr>
              <w:tab/>
            </w:r>
            <w:r w:rsidR="00FC4DA1">
              <w:rPr>
                <w:noProof/>
                <w:webHidden/>
              </w:rPr>
              <w:fldChar w:fldCharType="begin"/>
            </w:r>
            <w:r w:rsidR="00FC4DA1">
              <w:rPr>
                <w:noProof/>
                <w:webHidden/>
              </w:rPr>
              <w:instrText xml:space="preserve"> PAGEREF _Toc89330008 \h </w:instrText>
            </w:r>
            <w:r w:rsidR="00FC4DA1">
              <w:rPr>
                <w:noProof/>
                <w:webHidden/>
              </w:rPr>
            </w:r>
            <w:r w:rsidR="00FC4DA1">
              <w:rPr>
                <w:noProof/>
                <w:webHidden/>
              </w:rPr>
              <w:fldChar w:fldCharType="separate"/>
            </w:r>
            <w:r w:rsidR="00223305">
              <w:rPr>
                <w:noProof/>
                <w:webHidden/>
              </w:rPr>
              <w:t>17</w:t>
            </w:r>
            <w:r w:rsidR="00FC4DA1">
              <w:rPr>
                <w:noProof/>
                <w:webHidden/>
              </w:rPr>
              <w:fldChar w:fldCharType="end"/>
            </w:r>
          </w:hyperlink>
        </w:p>
        <w:p w14:paraId="6062BD56" w14:textId="3EB85E10" w:rsidR="00FC4DA1" w:rsidRDefault="004F331E">
          <w:pPr>
            <w:pStyle w:val="TOC3"/>
            <w:tabs>
              <w:tab w:val="right" w:leader="dot" w:pos="9016"/>
            </w:tabs>
            <w:rPr>
              <w:rFonts w:eastAsiaTheme="minorEastAsia"/>
              <w:noProof/>
              <w:sz w:val="22"/>
              <w:lang w:val="en-US"/>
            </w:rPr>
          </w:pPr>
          <w:hyperlink w:anchor="_Toc89330009" w:history="1">
            <w:r w:rsidR="00FC4DA1" w:rsidRPr="000E2127">
              <w:rPr>
                <w:rStyle w:val="Hyperlink"/>
                <w:noProof/>
              </w:rPr>
              <w:t>Income support for families receiving paid-work incomes</w:t>
            </w:r>
            <w:r w:rsidR="00FC4DA1">
              <w:rPr>
                <w:noProof/>
                <w:webHidden/>
              </w:rPr>
              <w:tab/>
            </w:r>
            <w:r w:rsidR="00FC4DA1">
              <w:rPr>
                <w:noProof/>
                <w:webHidden/>
              </w:rPr>
              <w:fldChar w:fldCharType="begin"/>
            </w:r>
            <w:r w:rsidR="00FC4DA1">
              <w:rPr>
                <w:noProof/>
                <w:webHidden/>
              </w:rPr>
              <w:instrText xml:space="preserve"> PAGEREF _Toc89330009 \h </w:instrText>
            </w:r>
            <w:r w:rsidR="00FC4DA1">
              <w:rPr>
                <w:noProof/>
                <w:webHidden/>
              </w:rPr>
            </w:r>
            <w:r w:rsidR="00FC4DA1">
              <w:rPr>
                <w:noProof/>
                <w:webHidden/>
              </w:rPr>
              <w:fldChar w:fldCharType="separate"/>
            </w:r>
            <w:r w:rsidR="00223305">
              <w:rPr>
                <w:noProof/>
                <w:webHidden/>
              </w:rPr>
              <w:t>17</w:t>
            </w:r>
            <w:r w:rsidR="00FC4DA1">
              <w:rPr>
                <w:noProof/>
                <w:webHidden/>
              </w:rPr>
              <w:fldChar w:fldCharType="end"/>
            </w:r>
          </w:hyperlink>
        </w:p>
        <w:p w14:paraId="47067943" w14:textId="328799F4" w:rsidR="00FC4DA1" w:rsidRDefault="004F331E">
          <w:pPr>
            <w:pStyle w:val="TOC2"/>
            <w:tabs>
              <w:tab w:val="right" w:leader="dot" w:pos="9016"/>
            </w:tabs>
            <w:rPr>
              <w:rFonts w:eastAsiaTheme="minorEastAsia"/>
              <w:noProof/>
              <w:sz w:val="22"/>
              <w:lang w:val="en-US"/>
            </w:rPr>
          </w:pPr>
          <w:hyperlink w:anchor="_Toc89330010" w:history="1">
            <w:r w:rsidR="00FC4DA1" w:rsidRPr="000E2127">
              <w:rPr>
                <w:rStyle w:val="Hyperlink"/>
                <w:noProof/>
              </w:rPr>
              <w:t>Slow roll-out of income increases</w:t>
            </w:r>
            <w:r w:rsidR="00FC4DA1">
              <w:rPr>
                <w:noProof/>
                <w:webHidden/>
              </w:rPr>
              <w:tab/>
            </w:r>
            <w:r w:rsidR="00FC4DA1">
              <w:rPr>
                <w:noProof/>
                <w:webHidden/>
              </w:rPr>
              <w:fldChar w:fldCharType="begin"/>
            </w:r>
            <w:r w:rsidR="00FC4DA1">
              <w:rPr>
                <w:noProof/>
                <w:webHidden/>
              </w:rPr>
              <w:instrText xml:space="preserve"> PAGEREF _Toc89330010 \h </w:instrText>
            </w:r>
            <w:r w:rsidR="00FC4DA1">
              <w:rPr>
                <w:noProof/>
                <w:webHidden/>
              </w:rPr>
            </w:r>
            <w:r w:rsidR="00FC4DA1">
              <w:rPr>
                <w:noProof/>
                <w:webHidden/>
              </w:rPr>
              <w:fldChar w:fldCharType="separate"/>
            </w:r>
            <w:r w:rsidR="00223305">
              <w:rPr>
                <w:noProof/>
                <w:webHidden/>
              </w:rPr>
              <w:t>18</w:t>
            </w:r>
            <w:r w:rsidR="00FC4DA1">
              <w:rPr>
                <w:noProof/>
                <w:webHidden/>
              </w:rPr>
              <w:fldChar w:fldCharType="end"/>
            </w:r>
          </w:hyperlink>
        </w:p>
        <w:p w14:paraId="5E66E431" w14:textId="3CA8F7FE" w:rsidR="00FC4DA1" w:rsidRDefault="004F331E">
          <w:pPr>
            <w:pStyle w:val="TOC2"/>
            <w:tabs>
              <w:tab w:val="right" w:leader="dot" w:pos="9016"/>
            </w:tabs>
            <w:rPr>
              <w:rFonts w:eastAsiaTheme="minorEastAsia"/>
              <w:noProof/>
              <w:sz w:val="22"/>
              <w:lang w:val="en-US"/>
            </w:rPr>
          </w:pPr>
          <w:hyperlink w:anchor="_Toc89330011" w:history="1">
            <w:r w:rsidR="00FC4DA1" w:rsidRPr="000E2127">
              <w:rPr>
                <w:rStyle w:val="Hyperlink"/>
                <w:noProof/>
              </w:rPr>
              <w:t>Incomes are still not liveable</w:t>
            </w:r>
            <w:r w:rsidR="00FC4DA1">
              <w:rPr>
                <w:noProof/>
                <w:webHidden/>
              </w:rPr>
              <w:tab/>
            </w:r>
            <w:r w:rsidR="00FC4DA1">
              <w:rPr>
                <w:noProof/>
                <w:webHidden/>
              </w:rPr>
              <w:fldChar w:fldCharType="begin"/>
            </w:r>
            <w:r w:rsidR="00FC4DA1">
              <w:rPr>
                <w:noProof/>
                <w:webHidden/>
              </w:rPr>
              <w:instrText xml:space="preserve"> PAGEREF _Toc89330011 \h </w:instrText>
            </w:r>
            <w:r w:rsidR="00FC4DA1">
              <w:rPr>
                <w:noProof/>
                <w:webHidden/>
              </w:rPr>
            </w:r>
            <w:r w:rsidR="00FC4DA1">
              <w:rPr>
                <w:noProof/>
                <w:webHidden/>
              </w:rPr>
              <w:fldChar w:fldCharType="separate"/>
            </w:r>
            <w:r w:rsidR="00223305">
              <w:rPr>
                <w:noProof/>
                <w:webHidden/>
              </w:rPr>
              <w:t>19</w:t>
            </w:r>
            <w:r w:rsidR="00FC4DA1">
              <w:rPr>
                <w:noProof/>
                <w:webHidden/>
              </w:rPr>
              <w:fldChar w:fldCharType="end"/>
            </w:r>
          </w:hyperlink>
        </w:p>
        <w:p w14:paraId="2C4D1860" w14:textId="31A4CE7A" w:rsidR="00FC4DA1" w:rsidRDefault="004F331E">
          <w:pPr>
            <w:pStyle w:val="TOC1"/>
            <w:tabs>
              <w:tab w:val="right" w:leader="dot" w:pos="9016"/>
            </w:tabs>
            <w:rPr>
              <w:rFonts w:eastAsiaTheme="minorEastAsia"/>
              <w:noProof/>
              <w:sz w:val="22"/>
              <w:lang w:val="en-US"/>
            </w:rPr>
          </w:pPr>
          <w:hyperlink w:anchor="_Toc89330012" w:history="1">
            <w:r w:rsidR="00FC4DA1" w:rsidRPr="000E2127">
              <w:rPr>
                <w:rStyle w:val="Hyperlink"/>
                <w:noProof/>
              </w:rPr>
              <w:t>3.</w:t>
            </w:r>
            <w:r w:rsidR="00FC4DA1">
              <w:rPr>
                <w:rFonts w:eastAsiaTheme="minorEastAsia"/>
                <w:noProof/>
                <w:sz w:val="22"/>
                <w:lang w:val="en-US"/>
              </w:rPr>
              <w:tab/>
            </w:r>
            <w:r w:rsidR="00FC4DA1" w:rsidRPr="000E2127">
              <w:rPr>
                <w:rStyle w:val="Hyperlink"/>
                <w:noProof/>
              </w:rPr>
              <w:t>Housing affordability, supply and immediate needs</w:t>
            </w:r>
            <w:r w:rsidR="00FC4DA1">
              <w:rPr>
                <w:noProof/>
                <w:webHidden/>
              </w:rPr>
              <w:tab/>
            </w:r>
            <w:r w:rsidR="00FC4DA1">
              <w:rPr>
                <w:noProof/>
                <w:webHidden/>
              </w:rPr>
              <w:fldChar w:fldCharType="begin"/>
            </w:r>
            <w:r w:rsidR="00FC4DA1">
              <w:rPr>
                <w:noProof/>
                <w:webHidden/>
              </w:rPr>
              <w:instrText xml:space="preserve"> PAGEREF _Toc89330012 \h </w:instrText>
            </w:r>
            <w:r w:rsidR="00FC4DA1">
              <w:rPr>
                <w:noProof/>
                <w:webHidden/>
              </w:rPr>
            </w:r>
            <w:r w:rsidR="00FC4DA1">
              <w:rPr>
                <w:noProof/>
                <w:webHidden/>
              </w:rPr>
              <w:fldChar w:fldCharType="separate"/>
            </w:r>
            <w:r w:rsidR="00223305">
              <w:rPr>
                <w:noProof/>
                <w:webHidden/>
              </w:rPr>
              <w:t>20</w:t>
            </w:r>
            <w:r w:rsidR="00FC4DA1">
              <w:rPr>
                <w:noProof/>
                <w:webHidden/>
              </w:rPr>
              <w:fldChar w:fldCharType="end"/>
            </w:r>
          </w:hyperlink>
        </w:p>
        <w:p w14:paraId="24ACD5EC" w14:textId="6CE16EF4" w:rsidR="00FC4DA1" w:rsidRDefault="004F331E">
          <w:pPr>
            <w:pStyle w:val="TOC2"/>
            <w:tabs>
              <w:tab w:val="right" w:leader="dot" w:pos="9016"/>
            </w:tabs>
            <w:rPr>
              <w:rFonts w:eastAsiaTheme="minorEastAsia"/>
              <w:noProof/>
              <w:sz w:val="22"/>
              <w:lang w:val="en-US"/>
            </w:rPr>
          </w:pPr>
          <w:hyperlink w:anchor="_Toc89330013" w:history="1">
            <w:r w:rsidR="00FC4DA1" w:rsidRPr="000E2127">
              <w:rPr>
                <w:rStyle w:val="Hyperlink"/>
                <w:noProof/>
              </w:rPr>
              <w:t>Rent unaffordability and growing demand for social housing</w:t>
            </w:r>
            <w:r w:rsidR="00FC4DA1">
              <w:rPr>
                <w:noProof/>
                <w:webHidden/>
              </w:rPr>
              <w:tab/>
            </w:r>
            <w:r w:rsidR="00FC4DA1">
              <w:rPr>
                <w:noProof/>
                <w:webHidden/>
              </w:rPr>
              <w:fldChar w:fldCharType="begin"/>
            </w:r>
            <w:r w:rsidR="00FC4DA1">
              <w:rPr>
                <w:noProof/>
                <w:webHidden/>
              </w:rPr>
              <w:instrText xml:space="preserve"> PAGEREF _Toc89330013 \h </w:instrText>
            </w:r>
            <w:r w:rsidR="00FC4DA1">
              <w:rPr>
                <w:noProof/>
                <w:webHidden/>
              </w:rPr>
            </w:r>
            <w:r w:rsidR="00FC4DA1">
              <w:rPr>
                <w:noProof/>
                <w:webHidden/>
              </w:rPr>
              <w:fldChar w:fldCharType="separate"/>
            </w:r>
            <w:r w:rsidR="00223305">
              <w:rPr>
                <w:noProof/>
                <w:webHidden/>
              </w:rPr>
              <w:t>20</w:t>
            </w:r>
            <w:r w:rsidR="00FC4DA1">
              <w:rPr>
                <w:noProof/>
                <w:webHidden/>
              </w:rPr>
              <w:fldChar w:fldCharType="end"/>
            </w:r>
          </w:hyperlink>
        </w:p>
        <w:p w14:paraId="1597774F" w14:textId="50CD2BF1" w:rsidR="00FC4DA1" w:rsidRDefault="004F331E">
          <w:pPr>
            <w:pStyle w:val="TOC2"/>
            <w:tabs>
              <w:tab w:val="right" w:leader="dot" w:pos="9016"/>
            </w:tabs>
            <w:rPr>
              <w:rFonts w:eastAsiaTheme="minorEastAsia"/>
              <w:noProof/>
              <w:sz w:val="22"/>
              <w:lang w:val="en-US"/>
            </w:rPr>
          </w:pPr>
          <w:hyperlink w:anchor="_Toc89330014" w:history="1">
            <w:r w:rsidR="00FC4DA1" w:rsidRPr="000E2127">
              <w:rPr>
                <w:rStyle w:val="Hyperlink"/>
                <w:noProof/>
              </w:rPr>
              <w:t>Increasing supply of social housing – on an ‘industrial scale’?</w:t>
            </w:r>
            <w:r w:rsidR="00FC4DA1">
              <w:rPr>
                <w:noProof/>
                <w:webHidden/>
              </w:rPr>
              <w:tab/>
            </w:r>
            <w:r w:rsidR="00FC4DA1">
              <w:rPr>
                <w:noProof/>
                <w:webHidden/>
              </w:rPr>
              <w:fldChar w:fldCharType="begin"/>
            </w:r>
            <w:r w:rsidR="00FC4DA1">
              <w:rPr>
                <w:noProof/>
                <w:webHidden/>
              </w:rPr>
              <w:instrText xml:space="preserve"> PAGEREF _Toc89330014 \h </w:instrText>
            </w:r>
            <w:r w:rsidR="00FC4DA1">
              <w:rPr>
                <w:noProof/>
                <w:webHidden/>
              </w:rPr>
            </w:r>
            <w:r w:rsidR="00FC4DA1">
              <w:rPr>
                <w:noProof/>
                <w:webHidden/>
              </w:rPr>
              <w:fldChar w:fldCharType="separate"/>
            </w:r>
            <w:r w:rsidR="00223305">
              <w:rPr>
                <w:noProof/>
                <w:webHidden/>
              </w:rPr>
              <w:t>22</w:t>
            </w:r>
            <w:r w:rsidR="00FC4DA1">
              <w:rPr>
                <w:noProof/>
                <w:webHidden/>
              </w:rPr>
              <w:fldChar w:fldCharType="end"/>
            </w:r>
          </w:hyperlink>
        </w:p>
        <w:p w14:paraId="6EC8CA7E" w14:textId="40F4DA06" w:rsidR="00FC4DA1" w:rsidRDefault="004F331E">
          <w:pPr>
            <w:pStyle w:val="TOC2"/>
            <w:tabs>
              <w:tab w:val="right" w:leader="dot" w:pos="9016"/>
            </w:tabs>
            <w:rPr>
              <w:rFonts w:eastAsiaTheme="minorEastAsia"/>
              <w:noProof/>
              <w:sz w:val="22"/>
              <w:lang w:val="en-US"/>
            </w:rPr>
          </w:pPr>
          <w:hyperlink w:anchor="_Toc89330015" w:history="1">
            <w:r w:rsidR="00FC4DA1" w:rsidRPr="000E2127">
              <w:rPr>
                <w:rStyle w:val="Hyperlink"/>
                <w:noProof/>
              </w:rPr>
              <w:t>Funding for Māori housing</w:t>
            </w:r>
            <w:r w:rsidR="00FC4DA1">
              <w:rPr>
                <w:noProof/>
                <w:webHidden/>
              </w:rPr>
              <w:tab/>
            </w:r>
            <w:r w:rsidR="00FC4DA1">
              <w:rPr>
                <w:noProof/>
                <w:webHidden/>
              </w:rPr>
              <w:fldChar w:fldCharType="begin"/>
            </w:r>
            <w:r w:rsidR="00FC4DA1">
              <w:rPr>
                <w:noProof/>
                <w:webHidden/>
              </w:rPr>
              <w:instrText xml:space="preserve"> PAGEREF _Toc89330015 \h </w:instrText>
            </w:r>
            <w:r w:rsidR="00FC4DA1">
              <w:rPr>
                <w:noProof/>
                <w:webHidden/>
              </w:rPr>
            </w:r>
            <w:r w:rsidR="00FC4DA1">
              <w:rPr>
                <w:noProof/>
                <w:webHidden/>
              </w:rPr>
              <w:fldChar w:fldCharType="separate"/>
            </w:r>
            <w:r w:rsidR="00223305">
              <w:rPr>
                <w:noProof/>
                <w:webHidden/>
              </w:rPr>
              <w:t>23</w:t>
            </w:r>
            <w:r w:rsidR="00FC4DA1">
              <w:rPr>
                <w:noProof/>
                <w:webHidden/>
              </w:rPr>
              <w:fldChar w:fldCharType="end"/>
            </w:r>
          </w:hyperlink>
        </w:p>
        <w:p w14:paraId="280D37D7" w14:textId="6510D7BC" w:rsidR="00FC4DA1" w:rsidRDefault="004F331E">
          <w:pPr>
            <w:pStyle w:val="TOC1"/>
            <w:tabs>
              <w:tab w:val="right" w:leader="dot" w:pos="9016"/>
            </w:tabs>
            <w:rPr>
              <w:rFonts w:eastAsiaTheme="minorEastAsia"/>
              <w:noProof/>
              <w:sz w:val="22"/>
              <w:lang w:val="en-US"/>
            </w:rPr>
          </w:pPr>
          <w:hyperlink w:anchor="_Toc89330016" w:history="1">
            <w:r w:rsidR="00FC4DA1" w:rsidRPr="000E2127">
              <w:rPr>
                <w:rStyle w:val="Hyperlink"/>
                <w:noProof/>
              </w:rPr>
              <w:t>4.</w:t>
            </w:r>
            <w:r w:rsidR="00FC4DA1">
              <w:rPr>
                <w:rFonts w:eastAsiaTheme="minorEastAsia"/>
                <w:noProof/>
                <w:sz w:val="22"/>
                <w:lang w:val="en-US"/>
              </w:rPr>
              <w:tab/>
            </w:r>
            <w:r w:rsidR="00FC4DA1" w:rsidRPr="000E2127">
              <w:rPr>
                <w:rStyle w:val="Hyperlink"/>
                <w:noProof/>
              </w:rPr>
              <w:t>Other welfare reform priorities</w:t>
            </w:r>
            <w:r w:rsidR="00FC4DA1">
              <w:rPr>
                <w:noProof/>
                <w:webHidden/>
              </w:rPr>
              <w:tab/>
            </w:r>
            <w:r w:rsidR="00FC4DA1">
              <w:rPr>
                <w:noProof/>
                <w:webHidden/>
              </w:rPr>
              <w:fldChar w:fldCharType="begin"/>
            </w:r>
            <w:r w:rsidR="00FC4DA1">
              <w:rPr>
                <w:noProof/>
                <w:webHidden/>
              </w:rPr>
              <w:instrText xml:space="preserve"> PAGEREF _Toc89330016 \h </w:instrText>
            </w:r>
            <w:r w:rsidR="00FC4DA1">
              <w:rPr>
                <w:noProof/>
                <w:webHidden/>
              </w:rPr>
            </w:r>
            <w:r w:rsidR="00FC4DA1">
              <w:rPr>
                <w:noProof/>
                <w:webHidden/>
              </w:rPr>
              <w:fldChar w:fldCharType="separate"/>
            </w:r>
            <w:r w:rsidR="00223305">
              <w:rPr>
                <w:noProof/>
                <w:webHidden/>
              </w:rPr>
              <w:t>24</w:t>
            </w:r>
            <w:r w:rsidR="00FC4DA1">
              <w:rPr>
                <w:noProof/>
                <w:webHidden/>
              </w:rPr>
              <w:fldChar w:fldCharType="end"/>
            </w:r>
          </w:hyperlink>
        </w:p>
        <w:p w14:paraId="1E23F485" w14:textId="46D5F394" w:rsidR="00FC4DA1" w:rsidRDefault="004F331E">
          <w:pPr>
            <w:pStyle w:val="TOC2"/>
            <w:tabs>
              <w:tab w:val="right" w:leader="dot" w:pos="9016"/>
            </w:tabs>
            <w:rPr>
              <w:rFonts w:eastAsiaTheme="minorEastAsia"/>
              <w:noProof/>
              <w:sz w:val="22"/>
              <w:lang w:val="en-US"/>
            </w:rPr>
          </w:pPr>
          <w:hyperlink w:anchor="_Toc89330017" w:history="1">
            <w:r w:rsidR="00FC4DA1" w:rsidRPr="000E2127">
              <w:rPr>
                <w:rStyle w:val="Hyperlink"/>
                <w:noProof/>
              </w:rPr>
              <w:t>Disability</w:t>
            </w:r>
            <w:r w:rsidR="00FC4DA1">
              <w:rPr>
                <w:noProof/>
                <w:webHidden/>
              </w:rPr>
              <w:tab/>
            </w:r>
            <w:r w:rsidR="00FC4DA1">
              <w:rPr>
                <w:noProof/>
                <w:webHidden/>
              </w:rPr>
              <w:fldChar w:fldCharType="begin"/>
            </w:r>
            <w:r w:rsidR="00FC4DA1">
              <w:rPr>
                <w:noProof/>
                <w:webHidden/>
              </w:rPr>
              <w:instrText xml:space="preserve"> PAGEREF _Toc89330017 \h </w:instrText>
            </w:r>
            <w:r w:rsidR="00FC4DA1">
              <w:rPr>
                <w:noProof/>
                <w:webHidden/>
              </w:rPr>
            </w:r>
            <w:r w:rsidR="00FC4DA1">
              <w:rPr>
                <w:noProof/>
                <w:webHidden/>
              </w:rPr>
              <w:fldChar w:fldCharType="separate"/>
            </w:r>
            <w:r w:rsidR="00223305">
              <w:rPr>
                <w:noProof/>
                <w:webHidden/>
              </w:rPr>
              <w:t>25</w:t>
            </w:r>
            <w:r w:rsidR="00FC4DA1">
              <w:rPr>
                <w:noProof/>
                <w:webHidden/>
              </w:rPr>
              <w:fldChar w:fldCharType="end"/>
            </w:r>
          </w:hyperlink>
        </w:p>
        <w:p w14:paraId="64685BBF" w14:textId="091F43ED" w:rsidR="00FC4DA1" w:rsidRDefault="004F331E">
          <w:pPr>
            <w:pStyle w:val="TOC2"/>
            <w:tabs>
              <w:tab w:val="right" w:leader="dot" w:pos="9016"/>
            </w:tabs>
            <w:rPr>
              <w:rFonts w:eastAsiaTheme="minorEastAsia"/>
              <w:noProof/>
              <w:sz w:val="22"/>
              <w:lang w:val="en-US"/>
            </w:rPr>
          </w:pPr>
          <w:hyperlink w:anchor="_Toc89330018" w:history="1">
            <w:r w:rsidR="00FC4DA1" w:rsidRPr="000E2127">
              <w:rPr>
                <w:rStyle w:val="Hyperlink"/>
                <w:noProof/>
              </w:rPr>
              <w:t>Relationship settings</w:t>
            </w:r>
            <w:r w:rsidR="00FC4DA1">
              <w:rPr>
                <w:noProof/>
                <w:webHidden/>
              </w:rPr>
              <w:tab/>
            </w:r>
            <w:r w:rsidR="00FC4DA1">
              <w:rPr>
                <w:noProof/>
                <w:webHidden/>
              </w:rPr>
              <w:fldChar w:fldCharType="begin"/>
            </w:r>
            <w:r w:rsidR="00FC4DA1">
              <w:rPr>
                <w:noProof/>
                <w:webHidden/>
              </w:rPr>
              <w:instrText xml:space="preserve"> PAGEREF _Toc89330018 \h </w:instrText>
            </w:r>
            <w:r w:rsidR="00FC4DA1">
              <w:rPr>
                <w:noProof/>
                <w:webHidden/>
              </w:rPr>
            </w:r>
            <w:r w:rsidR="00FC4DA1">
              <w:rPr>
                <w:noProof/>
                <w:webHidden/>
              </w:rPr>
              <w:fldChar w:fldCharType="separate"/>
            </w:r>
            <w:r w:rsidR="00223305">
              <w:rPr>
                <w:noProof/>
                <w:webHidden/>
              </w:rPr>
              <w:t>26</w:t>
            </w:r>
            <w:r w:rsidR="00FC4DA1">
              <w:rPr>
                <w:noProof/>
                <w:webHidden/>
              </w:rPr>
              <w:fldChar w:fldCharType="end"/>
            </w:r>
          </w:hyperlink>
        </w:p>
        <w:p w14:paraId="12948887" w14:textId="5C862996" w:rsidR="00FC4DA1" w:rsidRDefault="004F331E">
          <w:pPr>
            <w:pStyle w:val="TOC1"/>
            <w:tabs>
              <w:tab w:val="right" w:leader="dot" w:pos="9016"/>
            </w:tabs>
            <w:rPr>
              <w:rFonts w:eastAsiaTheme="minorEastAsia"/>
              <w:noProof/>
              <w:sz w:val="22"/>
              <w:lang w:val="en-US"/>
            </w:rPr>
          </w:pPr>
          <w:hyperlink w:anchor="_Toc89330019" w:history="1">
            <w:r w:rsidR="00FC4DA1" w:rsidRPr="000E2127">
              <w:rPr>
                <w:rStyle w:val="Hyperlink"/>
                <w:noProof/>
              </w:rPr>
              <w:t>5.</w:t>
            </w:r>
            <w:r w:rsidR="00FC4DA1">
              <w:rPr>
                <w:rFonts w:eastAsiaTheme="minorEastAsia"/>
                <w:noProof/>
                <w:sz w:val="22"/>
                <w:lang w:val="en-US"/>
              </w:rPr>
              <w:tab/>
            </w:r>
            <w:r w:rsidR="00FC4DA1" w:rsidRPr="000E2127">
              <w:rPr>
                <w:rStyle w:val="Hyperlink"/>
                <w:noProof/>
              </w:rPr>
              <w:t>Conclusion and looking ahead</w:t>
            </w:r>
            <w:r w:rsidR="00FC4DA1">
              <w:rPr>
                <w:noProof/>
                <w:webHidden/>
              </w:rPr>
              <w:tab/>
            </w:r>
            <w:r w:rsidR="00FC4DA1">
              <w:rPr>
                <w:noProof/>
                <w:webHidden/>
              </w:rPr>
              <w:fldChar w:fldCharType="begin"/>
            </w:r>
            <w:r w:rsidR="00FC4DA1">
              <w:rPr>
                <w:noProof/>
                <w:webHidden/>
              </w:rPr>
              <w:instrText xml:space="preserve"> PAGEREF _Toc89330019 \h </w:instrText>
            </w:r>
            <w:r w:rsidR="00FC4DA1">
              <w:rPr>
                <w:noProof/>
                <w:webHidden/>
              </w:rPr>
            </w:r>
            <w:r w:rsidR="00FC4DA1">
              <w:rPr>
                <w:noProof/>
                <w:webHidden/>
              </w:rPr>
              <w:fldChar w:fldCharType="separate"/>
            </w:r>
            <w:r w:rsidR="00223305">
              <w:rPr>
                <w:noProof/>
                <w:webHidden/>
              </w:rPr>
              <w:t>27</w:t>
            </w:r>
            <w:r w:rsidR="00FC4DA1">
              <w:rPr>
                <w:noProof/>
                <w:webHidden/>
              </w:rPr>
              <w:fldChar w:fldCharType="end"/>
            </w:r>
          </w:hyperlink>
        </w:p>
        <w:p w14:paraId="67466A39" w14:textId="7E10A2E7" w:rsidR="00FC4DA1" w:rsidRDefault="004F331E">
          <w:pPr>
            <w:pStyle w:val="TOC1"/>
            <w:tabs>
              <w:tab w:val="right" w:leader="dot" w:pos="9016"/>
            </w:tabs>
            <w:rPr>
              <w:rFonts w:eastAsiaTheme="minorEastAsia"/>
              <w:noProof/>
              <w:sz w:val="22"/>
              <w:lang w:val="en-US"/>
            </w:rPr>
          </w:pPr>
          <w:hyperlink w:anchor="_Toc89330020" w:history="1">
            <w:r w:rsidR="00FC4DA1" w:rsidRPr="000E2127">
              <w:rPr>
                <w:rStyle w:val="Hyperlink"/>
                <w:noProof/>
              </w:rPr>
              <w:t>References</w:t>
            </w:r>
            <w:r w:rsidR="00FC4DA1">
              <w:rPr>
                <w:noProof/>
                <w:webHidden/>
              </w:rPr>
              <w:tab/>
            </w:r>
            <w:r w:rsidR="00FC4DA1">
              <w:rPr>
                <w:noProof/>
                <w:webHidden/>
              </w:rPr>
              <w:fldChar w:fldCharType="begin"/>
            </w:r>
            <w:r w:rsidR="00FC4DA1">
              <w:rPr>
                <w:noProof/>
                <w:webHidden/>
              </w:rPr>
              <w:instrText xml:space="preserve"> PAGEREF _Toc89330020 \h </w:instrText>
            </w:r>
            <w:r w:rsidR="00FC4DA1">
              <w:rPr>
                <w:noProof/>
                <w:webHidden/>
              </w:rPr>
            </w:r>
            <w:r w:rsidR="00FC4DA1">
              <w:rPr>
                <w:noProof/>
                <w:webHidden/>
              </w:rPr>
              <w:fldChar w:fldCharType="separate"/>
            </w:r>
            <w:r w:rsidR="00223305">
              <w:rPr>
                <w:noProof/>
                <w:webHidden/>
              </w:rPr>
              <w:t>29</w:t>
            </w:r>
            <w:r w:rsidR="00FC4DA1">
              <w:rPr>
                <w:noProof/>
                <w:webHidden/>
              </w:rPr>
              <w:fldChar w:fldCharType="end"/>
            </w:r>
          </w:hyperlink>
        </w:p>
        <w:p w14:paraId="1365FBFB" w14:textId="2A53536D" w:rsidR="00FC4DA1" w:rsidRDefault="004F331E">
          <w:pPr>
            <w:pStyle w:val="TOC1"/>
            <w:tabs>
              <w:tab w:val="right" w:leader="dot" w:pos="9016"/>
            </w:tabs>
            <w:rPr>
              <w:rFonts w:eastAsiaTheme="minorEastAsia"/>
              <w:noProof/>
              <w:sz w:val="22"/>
              <w:lang w:val="en-US"/>
            </w:rPr>
          </w:pPr>
          <w:hyperlink w:anchor="_Toc89330021" w:history="1">
            <w:r w:rsidR="00FC4DA1" w:rsidRPr="000E2127">
              <w:rPr>
                <w:rStyle w:val="Hyperlink"/>
                <w:noProof/>
              </w:rPr>
              <w:t>Appendix A: Full list of WEAG’s Key Recommendations and the Government’s implementation progress as at November 2021</w:t>
            </w:r>
            <w:r w:rsidR="00FC4DA1">
              <w:rPr>
                <w:noProof/>
                <w:webHidden/>
              </w:rPr>
              <w:tab/>
            </w:r>
            <w:r w:rsidR="00FC4DA1">
              <w:rPr>
                <w:noProof/>
                <w:webHidden/>
              </w:rPr>
              <w:fldChar w:fldCharType="begin"/>
            </w:r>
            <w:r w:rsidR="00FC4DA1">
              <w:rPr>
                <w:noProof/>
                <w:webHidden/>
              </w:rPr>
              <w:instrText xml:space="preserve"> PAGEREF _Toc89330021 \h </w:instrText>
            </w:r>
            <w:r w:rsidR="00FC4DA1">
              <w:rPr>
                <w:noProof/>
                <w:webHidden/>
              </w:rPr>
            </w:r>
            <w:r w:rsidR="00FC4DA1">
              <w:rPr>
                <w:noProof/>
                <w:webHidden/>
              </w:rPr>
              <w:fldChar w:fldCharType="separate"/>
            </w:r>
            <w:r w:rsidR="00223305">
              <w:rPr>
                <w:noProof/>
                <w:webHidden/>
              </w:rPr>
              <w:t>37</w:t>
            </w:r>
            <w:r w:rsidR="00FC4DA1">
              <w:rPr>
                <w:noProof/>
                <w:webHidden/>
              </w:rPr>
              <w:fldChar w:fldCharType="end"/>
            </w:r>
          </w:hyperlink>
        </w:p>
        <w:p w14:paraId="4A80758B" w14:textId="73BB9702" w:rsidR="00FC4DA1" w:rsidRDefault="004F331E">
          <w:pPr>
            <w:pStyle w:val="TOC1"/>
            <w:tabs>
              <w:tab w:val="right" w:leader="dot" w:pos="9016"/>
            </w:tabs>
            <w:rPr>
              <w:rFonts w:eastAsiaTheme="minorEastAsia"/>
              <w:noProof/>
              <w:sz w:val="22"/>
              <w:lang w:val="en-US"/>
            </w:rPr>
          </w:pPr>
          <w:hyperlink w:anchor="_Toc89330022" w:history="1">
            <w:r w:rsidR="00FC4DA1" w:rsidRPr="000E2127">
              <w:rPr>
                <w:rStyle w:val="Hyperlink"/>
                <w:noProof/>
              </w:rPr>
              <w:t>Appendix B: Full list of WEAG’s Detailed Recommendations and the Government’s implementation progress as at November 2021</w:t>
            </w:r>
            <w:r w:rsidR="00FC4DA1">
              <w:rPr>
                <w:noProof/>
                <w:webHidden/>
              </w:rPr>
              <w:tab/>
            </w:r>
            <w:r w:rsidR="00FC4DA1">
              <w:rPr>
                <w:noProof/>
                <w:webHidden/>
              </w:rPr>
              <w:fldChar w:fldCharType="begin"/>
            </w:r>
            <w:r w:rsidR="00FC4DA1">
              <w:rPr>
                <w:noProof/>
                <w:webHidden/>
              </w:rPr>
              <w:instrText xml:space="preserve"> PAGEREF _Toc89330022 \h </w:instrText>
            </w:r>
            <w:r w:rsidR="00FC4DA1">
              <w:rPr>
                <w:noProof/>
                <w:webHidden/>
              </w:rPr>
            </w:r>
            <w:r w:rsidR="00FC4DA1">
              <w:rPr>
                <w:noProof/>
                <w:webHidden/>
              </w:rPr>
              <w:fldChar w:fldCharType="separate"/>
            </w:r>
            <w:r w:rsidR="00223305">
              <w:rPr>
                <w:noProof/>
                <w:webHidden/>
              </w:rPr>
              <w:t>66</w:t>
            </w:r>
            <w:r w:rsidR="00FC4DA1">
              <w:rPr>
                <w:noProof/>
                <w:webHidden/>
              </w:rPr>
              <w:fldChar w:fldCharType="end"/>
            </w:r>
          </w:hyperlink>
        </w:p>
        <w:p w14:paraId="3D2A3987" w14:textId="6AE42BBB" w:rsidR="00FC4DA1" w:rsidRDefault="004F331E">
          <w:pPr>
            <w:pStyle w:val="TOC1"/>
            <w:tabs>
              <w:tab w:val="right" w:leader="dot" w:pos="9016"/>
            </w:tabs>
            <w:rPr>
              <w:rFonts w:eastAsiaTheme="minorEastAsia"/>
              <w:noProof/>
              <w:sz w:val="22"/>
              <w:lang w:val="en-US"/>
            </w:rPr>
          </w:pPr>
          <w:hyperlink w:anchor="_Toc89330023" w:history="1">
            <w:r w:rsidR="00FC4DA1" w:rsidRPr="000E2127">
              <w:rPr>
                <w:rStyle w:val="Hyperlink"/>
                <w:noProof/>
              </w:rPr>
              <w:t>Appendix C: Income support: supplementary tables and explanations</w:t>
            </w:r>
            <w:r w:rsidR="00FC4DA1">
              <w:rPr>
                <w:noProof/>
                <w:webHidden/>
              </w:rPr>
              <w:tab/>
            </w:r>
            <w:r w:rsidR="00FC4DA1">
              <w:rPr>
                <w:noProof/>
                <w:webHidden/>
              </w:rPr>
              <w:fldChar w:fldCharType="begin"/>
            </w:r>
            <w:r w:rsidR="00FC4DA1">
              <w:rPr>
                <w:noProof/>
                <w:webHidden/>
              </w:rPr>
              <w:instrText xml:space="preserve"> PAGEREF _Toc89330023 \h </w:instrText>
            </w:r>
            <w:r w:rsidR="00FC4DA1">
              <w:rPr>
                <w:noProof/>
                <w:webHidden/>
              </w:rPr>
            </w:r>
            <w:r w:rsidR="00FC4DA1">
              <w:rPr>
                <w:noProof/>
                <w:webHidden/>
              </w:rPr>
              <w:fldChar w:fldCharType="separate"/>
            </w:r>
            <w:r w:rsidR="00223305">
              <w:rPr>
                <w:noProof/>
                <w:webHidden/>
              </w:rPr>
              <w:t>98</w:t>
            </w:r>
            <w:r w:rsidR="00FC4DA1">
              <w:rPr>
                <w:noProof/>
                <w:webHidden/>
              </w:rPr>
              <w:fldChar w:fldCharType="end"/>
            </w:r>
          </w:hyperlink>
        </w:p>
        <w:p w14:paraId="2E0D982D" w14:textId="77777777" w:rsidR="00184D15" w:rsidRDefault="00476C07" w:rsidP="007963BB">
          <w:pPr>
            <w:spacing w:line="240" w:lineRule="auto"/>
            <w:rPr>
              <w:b/>
              <w:bCs/>
              <w:noProof/>
            </w:rPr>
          </w:pPr>
          <w:r>
            <w:rPr>
              <w:b/>
              <w:bCs/>
              <w:noProof/>
            </w:rPr>
            <w:fldChar w:fldCharType="end"/>
          </w:r>
        </w:p>
      </w:sdtContent>
    </w:sdt>
    <w:bookmarkStart w:id="10" w:name="_Toc89093179" w:displacedByCustomXml="prev"/>
    <w:p w14:paraId="5ED31431" w14:textId="1D71B3DB" w:rsidR="00461A74" w:rsidRPr="00CA2018" w:rsidRDefault="00461A74" w:rsidP="007963BB">
      <w:pPr>
        <w:pStyle w:val="Heading1"/>
        <w:spacing w:line="240" w:lineRule="auto"/>
      </w:pPr>
      <w:bookmarkStart w:id="11" w:name="_Toc89329993"/>
      <w:r w:rsidRPr="00CA2018">
        <w:lastRenderedPageBreak/>
        <w:t>Executive Summary</w:t>
      </w:r>
      <w:bookmarkEnd w:id="11"/>
      <w:bookmarkEnd w:id="10"/>
    </w:p>
    <w:p w14:paraId="68E31713" w14:textId="02E9097D" w:rsidR="00CF1B57" w:rsidRDefault="00CF1B57" w:rsidP="007963BB">
      <w:pPr>
        <w:spacing w:line="240" w:lineRule="auto"/>
        <w:rPr>
          <w:b/>
          <w:bCs/>
        </w:rPr>
      </w:pPr>
      <w:r>
        <w:t xml:space="preserve">In 2018, the Labour-led Coalition Government convened the Welfare Expert Advisory Group (WEAG) to provide advice on a programme of ‘overhaul’ for the welfare system. The Government’s vision for the welfare system was clear: a system that </w:t>
      </w:r>
      <w:r w:rsidR="00D1107C">
        <w:t xml:space="preserve">would </w:t>
      </w:r>
      <w:r>
        <w:t>“</w:t>
      </w:r>
      <w:r>
        <w:rPr>
          <w:i/>
          <w:iCs/>
        </w:rPr>
        <w:t>ensur</w:t>
      </w:r>
      <w:r w:rsidR="00D1107C">
        <w:rPr>
          <w:i/>
          <w:iCs/>
        </w:rPr>
        <w:t>e</w:t>
      </w:r>
      <w:r>
        <w:rPr>
          <w:i/>
          <w:iCs/>
        </w:rPr>
        <w:t xml:space="preserve"> that people have an adequate income and standard of living, are treated with and can live in dignity and are able to participate meaningfully in their communities”</w:t>
      </w:r>
      <w:r>
        <w:t xml:space="preserve"> </w:t>
      </w:r>
      <w:r w:rsidR="00532AD6">
        <w:t>(New Zealand Government, 2018)</w:t>
      </w:r>
      <w:r w:rsidR="00BB49F6">
        <w:t>.</w:t>
      </w:r>
    </w:p>
    <w:p w14:paraId="6AF93381" w14:textId="297A0497" w:rsidR="00CF1B57" w:rsidRDefault="00CF1B57" w:rsidP="007963BB">
      <w:pPr>
        <w:spacing w:line="240" w:lineRule="auto"/>
      </w:pPr>
      <w:r>
        <w:t xml:space="preserve">Following extensive consultation and review, WEAG, in their February 2019 report </w:t>
      </w:r>
      <w:hyperlink r:id="rId12" w:history="1">
        <w:r>
          <w:rPr>
            <w:rStyle w:val="Hyperlink"/>
          </w:rPr>
          <w:t>Whakamana Tāngata</w:t>
        </w:r>
      </w:hyperlink>
      <w:r>
        <w:t xml:space="preserve">, called for fundamental transformation of the approach to welfare in Aotearoa. They stated that </w:t>
      </w:r>
      <w:r>
        <w:rPr>
          <w:i/>
          <w:iCs/>
        </w:rPr>
        <w:t>“we cannot solve the existing problems, let alone create a system that will serve future needs, through further ad hoc amendments or marginal changes”</w:t>
      </w:r>
      <w:r w:rsidR="00532AD6">
        <w:rPr>
          <w:i/>
          <w:iCs/>
        </w:rPr>
        <w:t xml:space="preserve"> </w:t>
      </w:r>
      <w:r w:rsidR="00532AD6">
        <w:t xml:space="preserve">(p.55). </w:t>
      </w:r>
      <w:r w:rsidR="00BB49F6">
        <w:t>A significant proportion</w:t>
      </w:r>
      <w:r w:rsidR="009C0497">
        <w:t xml:space="preserve"> of children </w:t>
      </w:r>
      <w:r w:rsidR="00BB49F6">
        <w:t xml:space="preserve">living </w:t>
      </w:r>
      <w:r w:rsidR="009C0497">
        <w:t>in deep poverty</w:t>
      </w:r>
      <w:r w:rsidR="00BB49F6">
        <w:t xml:space="preserve"> in Aotearoa</w:t>
      </w:r>
      <w:r w:rsidR="009C0497">
        <w:t xml:space="preserve"> are supported by the welfare system, and therefore CPAG welcomed </w:t>
      </w:r>
      <w:r w:rsidR="009C0497" w:rsidRPr="009C0497">
        <w:t>Whakamana Tāngata</w:t>
      </w:r>
      <w:r w:rsidR="009C0497" w:rsidRPr="00532AD6">
        <w:rPr>
          <w:rStyle w:val="Hyperlink"/>
          <w:color w:val="000000" w:themeColor="text1"/>
          <w:u w:val="none"/>
        </w:rPr>
        <w:t xml:space="preserve">, and hoped for the </w:t>
      </w:r>
      <w:r w:rsidR="00F14D7E" w:rsidRPr="00532AD6">
        <w:rPr>
          <w:rStyle w:val="Hyperlink"/>
          <w:color w:val="000000" w:themeColor="text1"/>
          <w:u w:val="none"/>
        </w:rPr>
        <w:t>transformational change</w:t>
      </w:r>
      <w:r w:rsidR="009C0497" w:rsidRPr="00532AD6">
        <w:rPr>
          <w:rStyle w:val="Hyperlink"/>
          <w:color w:val="000000" w:themeColor="text1"/>
          <w:u w:val="none"/>
        </w:rPr>
        <w:t xml:space="preserve"> suggested.</w:t>
      </w:r>
    </w:p>
    <w:p w14:paraId="7539C283" w14:textId="3A48E9B0" w:rsidR="00CF1B57" w:rsidRDefault="00CF1B57" w:rsidP="007963BB">
      <w:pPr>
        <w:spacing w:line="240" w:lineRule="auto"/>
      </w:pPr>
      <w:r>
        <w:t xml:space="preserve">This report serves as an update of progress toward the Government’s vision since our </w:t>
      </w:r>
      <w:hyperlink r:id="rId13" w:history="1">
        <w:r w:rsidRPr="008D5675">
          <w:rPr>
            <w:rStyle w:val="Hyperlink"/>
          </w:rPr>
          <w:t>initial stocktake</w:t>
        </w:r>
      </w:hyperlink>
      <w:r>
        <w:t xml:space="preserve"> of WEAG recommendations in November 2020. </w:t>
      </w:r>
      <w:r w:rsidRPr="00CA2018">
        <w:t xml:space="preserve">There have been some </w:t>
      </w:r>
      <w:r>
        <w:t>positive announcements</w:t>
      </w:r>
      <w:r w:rsidRPr="00CA2018">
        <w:t xml:space="preserve"> in the year to November 2021</w:t>
      </w:r>
      <w:r>
        <w:t xml:space="preserve"> which will</w:t>
      </w:r>
      <w:r w:rsidRPr="00CA2018">
        <w:t xml:space="preserve"> have some, albeit modest, impact on the lives of some children and tamariki living in low-income households. </w:t>
      </w:r>
      <w:r>
        <w:t>These include:</w:t>
      </w:r>
    </w:p>
    <w:p w14:paraId="39A49653" w14:textId="167F21E1" w:rsidR="00CF1B57" w:rsidRDefault="00CF1B57" w:rsidP="007963BB">
      <w:pPr>
        <w:pStyle w:val="ListParagraph"/>
        <w:numPr>
          <w:ilvl w:val="0"/>
          <w:numId w:val="38"/>
        </w:numPr>
        <w:spacing w:after="160"/>
      </w:pPr>
      <w:r>
        <w:t>Two-phase benefit increases (rolled out by April 2022)</w:t>
      </w:r>
      <w:r w:rsidRPr="007308FE">
        <w:rPr>
          <w:rFonts w:cstheme="minorHAnsi"/>
        </w:rPr>
        <w:t xml:space="preserve"> </w:t>
      </w:r>
    </w:p>
    <w:p w14:paraId="7A27AE70" w14:textId="61126EEC" w:rsidR="00CF1B57" w:rsidRPr="00C84B3E" w:rsidRDefault="00CF1B57" w:rsidP="007963BB">
      <w:pPr>
        <w:pStyle w:val="ListParagraph"/>
        <w:numPr>
          <w:ilvl w:val="0"/>
          <w:numId w:val="38"/>
        </w:numPr>
        <w:spacing w:after="160"/>
      </w:pPr>
      <w:r>
        <w:t>Increases to benefit abatement thresholds</w:t>
      </w:r>
      <w:r w:rsidRPr="00E653A1">
        <w:rPr>
          <w:rFonts w:cstheme="minorHAnsi"/>
        </w:rPr>
        <w:t xml:space="preserve"> </w:t>
      </w:r>
    </w:p>
    <w:p w14:paraId="1DF20219" w14:textId="77777777" w:rsidR="003527C9" w:rsidRPr="007308FE" w:rsidRDefault="003527C9" w:rsidP="003527C9">
      <w:pPr>
        <w:pStyle w:val="ListParagraph"/>
        <w:numPr>
          <w:ilvl w:val="0"/>
          <w:numId w:val="38"/>
        </w:numPr>
        <w:spacing w:after="160"/>
      </w:pPr>
      <w:r>
        <w:t>Significant increases in investment in Māori housing</w:t>
      </w:r>
    </w:p>
    <w:p w14:paraId="5F5BF90B" w14:textId="18A37E00" w:rsidR="00CF1B57" w:rsidRDefault="00CF1B57" w:rsidP="007963BB">
      <w:pPr>
        <w:pStyle w:val="ListParagraph"/>
        <w:numPr>
          <w:ilvl w:val="0"/>
          <w:numId w:val="38"/>
        </w:numPr>
        <w:spacing w:after="160"/>
      </w:pPr>
      <w:r>
        <w:t>Reinstatement of the Training Incentive Allowance</w:t>
      </w:r>
      <w:r w:rsidRPr="00C84B3E">
        <w:rPr>
          <w:rFonts w:cstheme="minorHAnsi"/>
        </w:rPr>
        <w:t xml:space="preserve"> </w:t>
      </w:r>
    </w:p>
    <w:p w14:paraId="666E0CA9" w14:textId="5E2D3F42" w:rsidR="00CF1B57" w:rsidRDefault="00CF1B57" w:rsidP="007963BB">
      <w:pPr>
        <w:pStyle w:val="ListParagraph"/>
        <w:numPr>
          <w:ilvl w:val="0"/>
          <w:numId w:val="38"/>
        </w:numPr>
        <w:spacing w:after="160"/>
      </w:pPr>
      <w:r>
        <w:t xml:space="preserve">Removal of the Subsequent Child Policy </w:t>
      </w:r>
    </w:p>
    <w:p w14:paraId="26E89E4A" w14:textId="25AC149B" w:rsidR="00CF1B57" w:rsidRPr="00D67181" w:rsidRDefault="00CF1B57" w:rsidP="007963BB">
      <w:pPr>
        <w:pStyle w:val="ListParagraph"/>
        <w:numPr>
          <w:ilvl w:val="0"/>
          <w:numId w:val="38"/>
        </w:numPr>
        <w:spacing w:after="160"/>
      </w:pPr>
      <w:r>
        <w:t>Announcement of wage indexation of childcare assistance thresholds (rolled out April 2022)</w:t>
      </w:r>
    </w:p>
    <w:p w14:paraId="450D5021" w14:textId="2FCFB07E" w:rsidR="00CF1B57" w:rsidRDefault="00CF1B57" w:rsidP="007963BB">
      <w:pPr>
        <w:pStyle w:val="ListParagraph"/>
        <w:numPr>
          <w:ilvl w:val="0"/>
          <w:numId w:val="38"/>
        </w:numPr>
        <w:spacing w:after="160"/>
      </w:pPr>
      <w:r>
        <w:t>Amended medical certificate process for Jobseeker Support - Health Condition and Disability (rolled out January 2022)</w:t>
      </w:r>
      <w:r w:rsidRPr="00D67181">
        <w:rPr>
          <w:rFonts w:cstheme="minorHAnsi"/>
        </w:rPr>
        <w:t xml:space="preserve"> </w:t>
      </w:r>
    </w:p>
    <w:p w14:paraId="7274D374" w14:textId="77777777" w:rsidR="00D20A70" w:rsidRDefault="00CF1B57" w:rsidP="007963BB">
      <w:pPr>
        <w:spacing w:line="240" w:lineRule="auto"/>
      </w:pPr>
      <w:r>
        <w:t>However, across the board, progress remains patchy and piecemeal. We</w:t>
      </w:r>
      <w:r w:rsidRPr="00F73583">
        <w:t xml:space="preserve"> were concerned by a lack of progress when we wrote our inaugural report in November 2020, and </w:t>
      </w:r>
      <w:r w:rsidR="002F71D1">
        <w:t xml:space="preserve">now as 2021 draws to a close, </w:t>
      </w:r>
      <w:r w:rsidRPr="00F73583">
        <w:t xml:space="preserve">we are even more concerned </w:t>
      </w:r>
      <w:r>
        <w:t>given increased levels of hardship associated with the ongoing Covid-19 pandemic</w:t>
      </w:r>
      <w:r w:rsidRPr="00F73583">
        <w:t xml:space="preserve">. </w:t>
      </w:r>
    </w:p>
    <w:p w14:paraId="00CEB68D" w14:textId="6C5CAB3E" w:rsidR="00D20A70" w:rsidRDefault="00D20A70" w:rsidP="007963BB">
      <w:pPr>
        <w:spacing w:line="240" w:lineRule="auto"/>
      </w:pPr>
      <w:r w:rsidRPr="00D20A70">
        <w:t xml:space="preserve">While </w:t>
      </w:r>
      <w:r w:rsidR="00454CAA">
        <w:t>a handful more detailed recommendations</w:t>
      </w:r>
      <w:r w:rsidRPr="00D20A70">
        <w:t xml:space="preserve"> have now been addressed, our findings remain consistent </w:t>
      </w:r>
      <w:r w:rsidR="00BA0C75">
        <w:t>with</w:t>
      </w:r>
      <w:r w:rsidRPr="00D20A70">
        <w:t xml:space="preserve"> 2020 that none of the WEAG’s 42 key recommendations have been fully implemented</w:t>
      </w:r>
      <w:r w:rsidR="00641F3E">
        <w:t>.</w:t>
      </w:r>
    </w:p>
    <w:p w14:paraId="68173EF7" w14:textId="06E10021" w:rsidR="009346F7" w:rsidRDefault="009C22AF" w:rsidP="007963BB">
      <w:pPr>
        <w:spacing w:line="240" w:lineRule="auto"/>
        <w:rPr>
          <w:noProof/>
        </w:rPr>
      </w:pPr>
      <w:r>
        <w:rPr>
          <w:noProof/>
          <w:lang w:eastAsia="en-NZ"/>
        </w:rPr>
        <w:lastRenderedPageBreak/>
        <mc:AlternateContent>
          <mc:Choice Requires="wps">
            <w:drawing>
              <wp:anchor distT="45720" distB="45720" distL="114300" distR="114300" simplePos="0" relativeHeight="251663360" behindDoc="0" locked="0" layoutInCell="1" allowOverlap="1" wp14:anchorId="2032D344" wp14:editId="1A3E6016">
                <wp:simplePos x="0" y="0"/>
                <wp:positionH relativeFrom="page">
                  <wp:posOffset>6172200</wp:posOffset>
                </wp:positionH>
                <wp:positionV relativeFrom="paragraph">
                  <wp:posOffset>2134870</wp:posOffset>
                </wp:positionV>
                <wp:extent cx="1085850" cy="14573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57325"/>
                        </a:xfrm>
                        <a:prstGeom prst="rect">
                          <a:avLst/>
                        </a:prstGeom>
                        <a:solidFill>
                          <a:srgbClr val="FFFFFF"/>
                        </a:solidFill>
                        <a:ln w="9525">
                          <a:noFill/>
                          <a:miter lim="800000"/>
                          <a:headEnd/>
                          <a:tailEnd/>
                        </a:ln>
                      </wps:spPr>
                      <wps:txbx>
                        <w:txbxContent>
                          <w:p w14:paraId="7701E848" w14:textId="28C0174D" w:rsidR="00E84D61" w:rsidRPr="006D612F" w:rsidRDefault="00E84D61" w:rsidP="005C2D5B">
                            <w:pPr>
                              <w:rPr>
                                <w:i/>
                                <w:iCs/>
                                <w:sz w:val="16"/>
                                <w:szCs w:val="14"/>
                                <w:lang w:val="mi-NZ"/>
                              </w:rPr>
                            </w:pPr>
                            <w:r w:rsidRPr="006D612F">
                              <w:rPr>
                                <w:i/>
                                <w:iCs/>
                                <w:sz w:val="16"/>
                                <w:szCs w:val="14"/>
                                <w:lang w:val="mi-NZ"/>
                              </w:rPr>
                              <w:t>*Note includes correction of one detailed recommendation (#22) previously scored as ‘No evidence’ in our 2020 stocktake. This has been amended to ‘</w:t>
                            </w:r>
                            <w:r>
                              <w:rPr>
                                <w:i/>
                                <w:iCs/>
                                <w:sz w:val="16"/>
                                <w:szCs w:val="14"/>
                                <w:lang w:val="mi-NZ"/>
                              </w:rPr>
                              <w:t>f</w:t>
                            </w:r>
                            <w:r w:rsidRPr="006D612F">
                              <w:rPr>
                                <w:i/>
                                <w:iCs/>
                                <w:sz w:val="16"/>
                                <w:szCs w:val="14"/>
                                <w:lang w:val="mi-NZ"/>
                              </w:rPr>
                              <w:t>ully imple</w:t>
                            </w:r>
                            <w:r>
                              <w:rPr>
                                <w:i/>
                                <w:iCs/>
                                <w:sz w:val="16"/>
                                <w:szCs w:val="14"/>
                                <w:lang w:val="mi-NZ"/>
                              </w:rPr>
                              <w:t>me</w:t>
                            </w:r>
                            <w:r w:rsidRPr="006D612F">
                              <w:rPr>
                                <w:i/>
                                <w:iCs/>
                                <w:sz w:val="16"/>
                                <w:szCs w:val="14"/>
                                <w:lang w:val="mi-NZ"/>
                              </w:rPr>
                              <w:t>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2D344" id="_x0000_t202" coordsize="21600,21600" o:spt="202" path="m,l,21600r21600,l21600,xe">
                <v:stroke joinstyle="miter"/>
                <v:path gradientshapeok="t" o:connecttype="rect"/>
              </v:shapetype>
              <v:shape id="Text Box 2" o:spid="_x0000_s1026" type="#_x0000_t202" style="position:absolute;margin-left:486pt;margin-top:168.1pt;width:85.5pt;height:114.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" stroked="f">
                <v:textbox>
                  <w:txbxContent>
                    <w:p w14:paraId="7701E848" w14:textId="28C0174D" w:rsidR="00E84D61" w:rsidRPr="006D612F" w:rsidRDefault="00E84D61" w:rsidP="005C2D5B">
                      <w:pPr>
                        <w:rPr>
                          <w:i/>
                          <w:iCs/>
                          <w:sz w:val="16"/>
                          <w:szCs w:val="14"/>
                          <w:lang w:val="mi-NZ"/>
                        </w:rPr>
                      </w:pPr>
                      <w:r w:rsidRPr="006D612F">
                        <w:rPr>
                          <w:i/>
                          <w:iCs/>
                          <w:sz w:val="16"/>
                          <w:szCs w:val="14"/>
                          <w:lang w:val="mi-NZ"/>
                        </w:rPr>
                        <w:t>*Note includes correction of one detailed recommendation (#22) previously scored as ‘No evidence’ in our 2020 stocktake. This has been amended to ‘</w:t>
                      </w:r>
                      <w:r>
                        <w:rPr>
                          <w:i/>
                          <w:iCs/>
                          <w:sz w:val="16"/>
                          <w:szCs w:val="14"/>
                          <w:lang w:val="mi-NZ"/>
                        </w:rPr>
                        <w:t>f</w:t>
                      </w:r>
                      <w:r w:rsidRPr="006D612F">
                        <w:rPr>
                          <w:i/>
                          <w:iCs/>
                          <w:sz w:val="16"/>
                          <w:szCs w:val="14"/>
                          <w:lang w:val="mi-NZ"/>
                        </w:rPr>
                        <w:t>ully imple</w:t>
                      </w:r>
                      <w:r>
                        <w:rPr>
                          <w:i/>
                          <w:iCs/>
                          <w:sz w:val="16"/>
                          <w:szCs w:val="14"/>
                          <w:lang w:val="mi-NZ"/>
                        </w:rPr>
                        <w:t>me</w:t>
                      </w:r>
                      <w:r w:rsidRPr="006D612F">
                        <w:rPr>
                          <w:i/>
                          <w:iCs/>
                          <w:sz w:val="16"/>
                          <w:szCs w:val="14"/>
                          <w:lang w:val="mi-NZ"/>
                        </w:rPr>
                        <w:t>nted’</w:t>
                      </w:r>
                    </w:p>
                  </w:txbxContent>
                </v:textbox>
                <w10:wrap type="square" anchorx="page"/>
              </v:shape>
            </w:pict>
          </mc:Fallback>
        </mc:AlternateContent>
      </w:r>
      <w:r>
        <w:rPr>
          <w:noProof/>
          <w:lang w:eastAsia="en-NZ"/>
        </w:rPr>
        <w:drawing>
          <wp:anchor distT="0" distB="0" distL="114300" distR="114300" simplePos="0" relativeHeight="251656192" behindDoc="0" locked="0" layoutInCell="1" allowOverlap="1" wp14:anchorId="2495437C" wp14:editId="527B5929">
            <wp:simplePos x="0" y="0"/>
            <wp:positionH relativeFrom="page">
              <wp:posOffset>4438650</wp:posOffset>
            </wp:positionH>
            <wp:positionV relativeFrom="paragraph">
              <wp:posOffset>1905</wp:posOffset>
            </wp:positionV>
            <wp:extent cx="2828925" cy="3619500"/>
            <wp:effectExtent l="0" t="0" r="9525" b="0"/>
            <wp:wrapSquare wrapText="bothSides"/>
            <wp:docPr id="9" name="Chart 9" descr="&quot;Traffic light&quot; graph (red, orange, yellow, green) showing implementation status of 126 'detailed' WEAG recommendations (separate from 'key' recommendations in previous graph) as at November 2020 vs November 2021, showing some change but not much. In 2021, detailed recommendations showing no evidence of implementation numbered 90, which is 8 less than the previous year's total of 98; detailed recommendations with minimal implementation numbered 16 which is 5 less than the previous year's total of 11; detailed recommendations with partial implementation numbered 9, which is the same as the previous year's total; detailed recommendations with full implementation numbered 11 which is 3 more than the previous year's total of 8.">
              <a:extLst xmlns:a="http://schemas.openxmlformats.org/drawingml/2006/main">
                <a:ext uri="{FF2B5EF4-FFF2-40B4-BE49-F238E27FC236}">
                  <a16:creationId xmlns:a16="http://schemas.microsoft.com/office/drawing/2014/main" id="{8E84EF40-0CF5-4878-820A-8E077989F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5019B7">
        <w:rPr>
          <w:noProof/>
          <w:lang w:eastAsia="en-NZ"/>
        </w:rPr>
        <w:drawing>
          <wp:inline distT="0" distB="0" distL="0" distR="0" wp14:anchorId="719DC647" wp14:editId="496AAF4D">
            <wp:extent cx="3267075" cy="3562350"/>
            <wp:effectExtent l="0" t="0" r="0" b="0"/>
            <wp:docPr id="5" name="Chart 5" descr="&quot;Traffic light&quot; graph (red, orange, yellow) showing implementation status of 42 key WEAG recommendations as at November 2020 vs November 2021, showing some change but not much. In 2021, key recommendations showing no evidence of implementation numbered 20, which is 3 less than the previous year's total of 23; key recommendations with minimal implementation numbered 10 which is 2 less than the previous year's total of 12; key recommendations with partial implementation numbered 12, which is 5 more than the previous year's total of 7. Neither year shows any key recommendation having 'full implementation' status.">
              <a:extLst xmlns:a="http://schemas.openxmlformats.org/drawingml/2006/main">
                <a:ext uri="{FF2B5EF4-FFF2-40B4-BE49-F238E27FC236}">
                  <a16:creationId xmlns:a16="http://schemas.microsoft.com/office/drawing/2014/main" id="{4CAC7E46-0476-45C3-AF4F-B78F39C45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E7F059" w14:textId="428FC454" w:rsidR="00CF1B57" w:rsidRPr="0026208E" w:rsidRDefault="00F8489D" w:rsidP="007963BB">
      <w:pPr>
        <w:spacing w:line="240" w:lineRule="auto"/>
      </w:pPr>
      <w:r w:rsidRPr="00651984">
        <w:t>At this pace, based on the number of steps taken in the last 12 months,</w:t>
      </w:r>
      <w:r>
        <w:t xml:space="preserve"> </w:t>
      </w:r>
      <w:r w:rsidRPr="00651984">
        <w:t xml:space="preserve">it </w:t>
      </w:r>
      <w:r>
        <w:t>could</w:t>
      </w:r>
      <w:r w:rsidRPr="00651984">
        <w:t xml:space="preserve"> </w:t>
      </w:r>
      <w:r>
        <w:t>take</w:t>
      </w:r>
      <w:r w:rsidRPr="00651984">
        <w:t xml:space="preserve"> decades to implement welfare reform as envisioned by WEAG.</w:t>
      </w:r>
      <w:r>
        <w:t xml:space="preserve"> </w:t>
      </w:r>
      <w:r w:rsidR="008809D8">
        <w:t>C</w:t>
      </w:r>
      <w:r w:rsidR="00FD1F6E">
        <w:t>abinet papers</w:t>
      </w:r>
      <w:r w:rsidR="00A7320D">
        <w:t xml:space="preserve"> from September 2021</w:t>
      </w:r>
      <w:r w:rsidR="00FD1F6E">
        <w:t xml:space="preserve"> </w:t>
      </w:r>
      <w:r w:rsidR="008809D8">
        <w:t xml:space="preserve">suggest </w:t>
      </w:r>
      <w:r w:rsidR="006C515B">
        <w:t>that</w:t>
      </w:r>
      <w:r w:rsidR="0000354F">
        <w:t xml:space="preserve"> the Government may no longer be committ</w:t>
      </w:r>
      <w:r w:rsidR="00DA6B08">
        <w:t>ed</w:t>
      </w:r>
      <w:r w:rsidR="0000354F">
        <w:t xml:space="preserve"> to</w:t>
      </w:r>
      <w:r w:rsidR="006C515B">
        <w:t xml:space="preserve"> </w:t>
      </w:r>
      <w:r w:rsidR="0000354F">
        <w:t>delivering on areas of</w:t>
      </w:r>
      <w:r w:rsidR="000719A8">
        <w:t xml:space="preserve"> welfare overhaul </w:t>
      </w:r>
      <w:r>
        <w:t xml:space="preserve">which </w:t>
      </w:r>
      <w:r w:rsidR="00DA6B08">
        <w:t>it</w:t>
      </w:r>
      <w:r>
        <w:t xml:space="preserve"> </w:t>
      </w:r>
      <w:r w:rsidR="000719A8">
        <w:t>initially signalled for delivery by the end of this electoral term (2023)</w:t>
      </w:r>
      <w:r w:rsidR="0026208E">
        <w:t xml:space="preserve">. </w:t>
      </w:r>
      <w:r w:rsidR="00B04FCD">
        <w:t xml:space="preserve">Minister Sepuloni has acknowledged that </w:t>
      </w:r>
      <w:r w:rsidR="00BF73B3">
        <w:rPr>
          <w:lang w:val="mi-NZ"/>
        </w:rPr>
        <w:t>“</w:t>
      </w:r>
      <w:r w:rsidR="00CF1B57" w:rsidRPr="00B04FCD">
        <w:rPr>
          <w:i/>
          <w:iCs/>
        </w:rPr>
        <w:t>some of these initiatives will take longer to progress than initially expected</w:t>
      </w:r>
      <w:r w:rsidR="00CF1B57">
        <w:rPr>
          <w:i/>
          <w:iCs/>
        </w:rPr>
        <w:t xml:space="preserve"> given their scale and complexity</w:t>
      </w:r>
      <w:r w:rsidR="00B04FCD">
        <w:rPr>
          <w:i/>
          <w:iCs/>
        </w:rPr>
        <w:t xml:space="preserve">” </w:t>
      </w:r>
      <w:r w:rsidR="00B04FCD">
        <w:t>(MSD, 2021</w:t>
      </w:r>
      <w:r w:rsidR="00BF73B3">
        <w:t xml:space="preserve">e, p.6). </w:t>
      </w:r>
    </w:p>
    <w:p w14:paraId="3C322CDB" w14:textId="0ADFED15" w:rsidR="0053255A" w:rsidRPr="008E3F90" w:rsidRDefault="00F04E95" w:rsidP="007963BB">
      <w:pPr>
        <w:spacing w:line="240" w:lineRule="auto"/>
      </w:pPr>
      <w:r>
        <w:t>While</w:t>
      </w:r>
      <w:r w:rsidR="008E0763">
        <w:t xml:space="preserve"> a </w:t>
      </w:r>
      <w:r w:rsidR="00026B46">
        <w:t>welcome</w:t>
      </w:r>
      <w:r w:rsidR="008E0763">
        <w:t xml:space="preserve"> step</w:t>
      </w:r>
      <w:r w:rsidR="003D7215">
        <w:t xml:space="preserve"> towards income adequacy</w:t>
      </w:r>
      <w:r w:rsidR="008E0763">
        <w:t xml:space="preserve">, </w:t>
      </w:r>
      <w:r w:rsidR="009B609A">
        <w:t>Budget 2021</w:t>
      </w:r>
      <w:r w:rsidR="00026B46">
        <w:t>’s</w:t>
      </w:r>
      <w:r w:rsidR="009B609A">
        <w:t xml:space="preserve"> benefit increases </w:t>
      </w:r>
      <w:r w:rsidR="009B609A" w:rsidRPr="008E3F90">
        <w:rPr>
          <w:i/>
          <w:iCs/>
        </w:rPr>
        <w:t>will not</w:t>
      </w:r>
      <w:r w:rsidR="009B609A">
        <w:t xml:space="preserve"> meet WEAG recommendations </w:t>
      </w:r>
      <w:r>
        <w:t xml:space="preserve">for </w:t>
      </w:r>
      <w:r w:rsidR="00D52A3A">
        <w:t>many</w:t>
      </w:r>
      <w:r>
        <w:t xml:space="preserve"> benefit recipients</w:t>
      </w:r>
      <w:r w:rsidR="004C23A1">
        <w:t>,</w:t>
      </w:r>
      <w:r w:rsidR="009B609A">
        <w:t xml:space="preserve"> when wage inflation since </w:t>
      </w:r>
      <w:r w:rsidR="001516DE">
        <w:t>the release of WEAG’s report</w:t>
      </w:r>
      <w:r w:rsidR="009B609A">
        <w:t xml:space="preserve"> is </w:t>
      </w:r>
      <w:r w:rsidR="004C23A1">
        <w:t>accounted for</w:t>
      </w:r>
      <w:r w:rsidR="009B609A">
        <w:t xml:space="preserve">. </w:t>
      </w:r>
      <w:r w:rsidR="00D52A3A">
        <w:t xml:space="preserve">Even with the increases, </w:t>
      </w:r>
      <w:r w:rsidR="00D52A3A" w:rsidRPr="003D7215">
        <w:t>c</w:t>
      </w:r>
      <w:r w:rsidR="00AF46CC" w:rsidRPr="003D7215">
        <w:t xml:space="preserve">ouples with children will face a weekly shortfall of $10-14 </w:t>
      </w:r>
      <w:r w:rsidR="00981126" w:rsidRPr="003D7215">
        <w:t xml:space="preserve">when April 2022 increases are rolled out, </w:t>
      </w:r>
      <w:r w:rsidR="00AF46CC" w:rsidRPr="003D7215">
        <w:t xml:space="preserve">compared to wage-adjusted WEAG rates. We note that WEAG (2019, p.111) intended these </w:t>
      </w:r>
      <w:r w:rsidR="00D52A3A" w:rsidRPr="003D7215">
        <w:t xml:space="preserve">benefit </w:t>
      </w:r>
      <w:r w:rsidR="00AF46CC" w:rsidRPr="003D7215">
        <w:t xml:space="preserve">increases as </w:t>
      </w:r>
      <w:r w:rsidR="00D52A3A" w:rsidRPr="003D7215">
        <w:t xml:space="preserve">part of </w:t>
      </w:r>
      <w:r w:rsidR="00AF46CC" w:rsidRPr="003D7215">
        <w:t xml:space="preserve">a </w:t>
      </w:r>
      <w:r w:rsidR="00AF46CC" w:rsidRPr="003D7215">
        <w:rPr>
          <w:i/>
          <w:iCs/>
        </w:rPr>
        <w:t>“minimum, immediate first step”</w:t>
      </w:r>
      <w:r w:rsidR="003D7215">
        <w:t>.</w:t>
      </w:r>
      <w:r w:rsidR="00D52A3A" w:rsidRPr="003D7215">
        <w:rPr>
          <w:i/>
          <w:iCs/>
        </w:rPr>
        <w:t xml:space="preserve"> </w:t>
      </w:r>
    </w:p>
    <w:p w14:paraId="580D9E7C" w14:textId="3599B3E7" w:rsidR="00521B35" w:rsidRDefault="001516DE" w:rsidP="007963BB">
      <w:pPr>
        <w:spacing w:line="240" w:lineRule="auto"/>
      </w:pPr>
      <w:r>
        <w:t xml:space="preserve">Moreover, family incomes still fall far short of WEAG’s recommended </w:t>
      </w:r>
      <w:r w:rsidR="004C23A1">
        <w:t>rates,</w:t>
      </w:r>
      <w:r>
        <w:t xml:space="preserve"> </w:t>
      </w:r>
      <w:r w:rsidR="00D52A3A">
        <w:t xml:space="preserve">because the </w:t>
      </w:r>
      <w:r>
        <w:t>increases to the Family Tax Credit</w:t>
      </w:r>
      <w:r w:rsidR="005B63FC">
        <w:t xml:space="preserve"> </w:t>
      </w:r>
      <w:r>
        <w:t xml:space="preserve">have not been implemented. </w:t>
      </w:r>
      <w:r w:rsidR="008B7136">
        <w:t>While a Working for Families review has been signalled, there are no timelines</w:t>
      </w:r>
      <w:r w:rsidR="0044628C">
        <w:t xml:space="preserve"> on this, </w:t>
      </w:r>
      <w:r w:rsidR="00BB62F1">
        <w:t>leaving families still waiting for adequate incomes.</w:t>
      </w:r>
    </w:p>
    <w:p w14:paraId="49FC6890" w14:textId="37302E26" w:rsidR="00CF1B57" w:rsidRDefault="00521B35" w:rsidP="007963BB">
      <w:pPr>
        <w:spacing w:line="240" w:lineRule="auto"/>
      </w:pPr>
      <w:r w:rsidRPr="003A57A2">
        <w:t>If welfare reform had happened on the timetable envisaged by WEAG, communities would have</w:t>
      </w:r>
      <w:r w:rsidR="009C2F06">
        <w:t xml:space="preserve"> had</w:t>
      </w:r>
      <w:r w:rsidRPr="003A57A2">
        <w:t xml:space="preserve"> the financial resilience to face the challenges of </w:t>
      </w:r>
      <w:r>
        <w:t xml:space="preserve">the </w:t>
      </w:r>
      <w:r w:rsidRPr="003A57A2">
        <w:t xml:space="preserve">Covid-19 </w:t>
      </w:r>
      <w:r>
        <w:t xml:space="preserve">pandemic </w:t>
      </w:r>
      <w:r w:rsidRPr="003A57A2">
        <w:t>with more confidence.</w:t>
      </w:r>
      <w:r>
        <w:t xml:space="preserve"> </w:t>
      </w:r>
      <w:r w:rsidR="00F709AB">
        <w:t xml:space="preserve">CPAG </w:t>
      </w:r>
      <w:r w:rsidR="00CF1B57">
        <w:t xml:space="preserve">modelling suggests </w:t>
      </w:r>
      <w:r w:rsidR="009C2F06">
        <w:t xml:space="preserve">that </w:t>
      </w:r>
      <w:r w:rsidR="00CF1B57">
        <w:t xml:space="preserve">had the Government rolled out core benefit and Family Tax Credit increases in </w:t>
      </w:r>
      <w:r w:rsidR="003527C9">
        <w:t xml:space="preserve">April </w:t>
      </w:r>
      <w:r w:rsidR="00CF1B57">
        <w:t>2019 after it received WEAG’s report</w:t>
      </w:r>
      <w:r w:rsidR="003B6625">
        <w:t>, a Sole Parent Support recipient with three children could be a cumulative $18,700 better off by April 2022</w:t>
      </w:r>
      <w:r w:rsidR="00CF1B57">
        <w:t>. As it is, the Government’s slow pace of reform is increasing Covid-19-related inequity and distress, and jeopardising public health measures.</w:t>
      </w:r>
      <w:r w:rsidR="00CF1B57" w:rsidRPr="003A57A2">
        <w:t xml:space="preserve">  </w:t>
      </w:r>
    </w:p>
    <w:p w14:paraId="0081BC02" w14:textId="0D5BF03B" w:rsidR="00184D15" w:rsidRDefault="004B0723" w:rsidP="007963BB">
      <w:pPr>
        <w:spacing w:line="240" w:lineRule="auto"/>
      </w:pPr>
      <w:r>
        <w:lastRenderedPageBreak/>
        <w:t>We</w:t>
      </w:r>
      <w:r w:rsidR="00CF1B57">
        <w:t xml:space="preserve"> urge the Government to make good on its 2017 commitment to overhaul the welfare system by delivering transformation</w:t>
      </w:r>
      <w:r w:rsidR="003B6625">
        <w:t xml:space="preserve"> by the end of this 2023 term,</w:t>
      </w:r>
      <w:r w:rsidR="00CF1B57">
        <w:t xml:space="preserve"> rather than the ‘marginal changes’ that WEAG warned against</w:t>
      </w:r>
      <w:r w:rsidR="00C670AB">
        <w:t>.</w:t>
      </w:r>
    </w:p>
    <w:p w14:paraId="2736A3BF" w14:textId="7BAAF000" w:rsidR="00C41133" w:rsidRDefault="007635FB" w:rsidP="007963BB">
      <w:pPr>
        <w:pStyle w:val="Heading1"/>
        <w:spacing w:line="240" w:lineRule="auto"/>
      </w:pPr>
      <w:bookmarkStart w:id="12" w:name="_Toc89329994"/>
      <w:r w:rsidRPr="00CA2018">
        <w:t>CPAG’S recommendations for implementation</w:t>
      </w:r>
      <w:r w:rsidR="00713BFF" w:rsidRPr="00CA2018">
        <w:t xml:space="preserve"> of welfare reform</w:t>
      </w:r>
      <w:bookmarkEnd w:id="12"/>
    </w:p>
    <w:p w14:paraId="72F58D59" w14:textId="174AB703" w:rsidR="007635FB" w:rsidRPr="00CA2018" w:rsidRDefault="00D21C39" w:rsidP="007963BB">
      <w:pPr>
        <w:spacing w:line="240" w:lineRule="auto"/>
      </w:pPr>
      <w:r>
        <w:t>Children and tamariki living in the deepest poverty are significantly impacted by the design of the welfare system, as a significant proportion of them are living in benefit-receiving households. In order to prioritise the wellbeing of these children, w</w:t>
      </w:r>
      <w:r w:rsidR="001D7467">
        <w:t xml:space="preserve">e </w:t>
      </w:r>
      <w:r w:rsidR="007635FB" w:rsidRPr="00CA2018">
        <w:t>urge the Government</w:t>
      </w:r>
      <w:r w:rsidR="007A3AFB" w:rsidRPr="00CA2018">
        <w:t>, during their current term,</w:t>
      </w:r>
      <w:r w:rsidR="007635FB" w:rsidRPr="00CA2018">
        <w:t xml:space="preserve"> to </w:t>
      </w:r>
      <w:r w:rsidR="00D25E01">
        <w:t xml:space="preserve">prioritise </w:t>
      </w:r>
      <w:r w:rsidR="007635FB" w:rsidRPr="00CA2018">
        <w:t>implement</w:t>
      </w:r>
      <w:r w:rsidR="00D25E01">
        <w:t>ation of</w:t>
      </w:r>
      <w:r w:rsidR="009E4B31">
        <w:t xml:space="preserve"> </w:t>
      </w:r>
      <w:r w:rsidR="0060009E" w:rsidRPr="00CA2018">
        <w:t>the following WEAG recommendations</w:t>
      </w:r>
      <w:r w:rsidR="007635FB" w:rsidRPr="00CA2018">
        <w:t>:</w:t>
      </w:r>
    </w:p>
    <w:p w14:paraId="35814DD7" w14:textId="04A88B4E" w:rsidR="007635FB" w:rsidRPr="00CA2018" w:rsidRDefault="007635FB" w:rsidP="007963BB">
      <w:pPr>
        <w:pStyle w:val="ListParagraph"/>
        <w:numPr>
          <w:ilvl w:val="0"/>
          <w:numId w:val="17"/>
        </w:numPr>
      </w:pPr>
      <w:r w:rsidRPr="00CA2018">
        <w:t xml:space="preserve">Reform the purposes and principles of the welfare system, including amendment of the Social Security Act. </w:t>
      </w:r>
      <w:r w:rsidR="0060009E" w:rsidRPr="00CA2018">
        <w:t>(</w:t>
      </w:r>
      <w:r w:rsidR="00E43EB2" w:rsidRPr="00CA2018">
        <w:t xml:space="preserve">Key </w:t>
      </w:r>
      <w:r w:rsidR="0060009E" w:rsidRPr="00CA2018">
        <w:t>Recommendation 1)</w:t>
      </w:r>
    </w:p>
    <w:p w14:paraId="0F427C1A" w14:textId="50F4D7F2" w:rsidR="007A3AFB" w:rsidRPr="00CA2018" w:rsidRDefault="00E43EB2" w:rsidP="007963BB">
      <w:pPr>
        <w:pStyle w:val="ListParagraph"/>
        <w:numPr>
          <w:ilvl w:val="0"/>
          <w:numId w:val="17"/>
        </w:numPr>
      </w:pPr>
      <w:r w:rsidRPr="00CA2018">
        <w:t xml:space="preserve">Implement </w:t>
      </w:r>
      <w:r w:rsidR="007A3AFB" w:rsidRPr="00CA2018">
        <w:t xml:space="preserve">Te Tiriti o Waitangi </w:t>
      </w:r>
      <w:r w:rsidR="00A33782" w:rsidRPr="00CA2018">
        <w:t>principles in every part of the welfare system</w:t>
      </w:r>
      <w:r w:rsidR="00EB44BA" w:rsidRPr="00CA2018">
        <w:t xml:space="preserve"> to gain equity for Māori</w:t>
      </w:r>
      <w:r w:rsidR="0060009E" w:rsidRPr="00CA2018">
        <w:t xml:space="preserve"> (</w:t>
      </w:r>
      <w:r w:rsidRPr="00CA2018">
        <w:t xml:space="preserve">see Key </w:t>
      </w:r>
      <w:r w:rsidR="0060009E" w:rsidRPr="00CA2018">
        <w:t>Recommendations 1, 3 and 4)</w:t>
      </w:r>
    </w:p>
    <w:p w14:paraId="451041BB" w14:textId="77777777" w:rsidR="00713BFF" w:rsidRPr="00CA2018" w:rsidRDefault="00713BFF" w:rsidP="007963BB">
      <w:pPr>
        <w:pStyle w:val="ListParagraph"/>
        <w:numPr>
          <w:ilvl w:val="0"/>
          <w:numId w:val="17"/>
        </w:numPr>
      </w:pPr>
      <w:r w:rsidRPr="00CA2018">
        <w:t>Fix</w:t>
      </w:r>
      <w:r w:rsidR="007635FB" w:rsidRPr="00CA2018">
        <w:t xml:space="preserve"> Working for Families </w:t>
      </w:r>
      <w:r w:rsidRPr="00CA2018">
        <w:t>to help children in the deepest poverty:</w:t>
      </w:r>
      <w:r w:rsidR="007635FB" w:rsidRPr="00CA2018">
        <w:t xml:space="preserve"> </w:t>
      </w:r>
    </w:p>
    <w:p w14:paraId="59F0F671" w14:textId="65F8E22A" w:rsidR="00713BFF" w:rsidRPr="00CA2018" w:rsidRDefault="00713BFF" w:rsidP="007963BB">
      <w:pPr>
        <w:spacing w:line="240" w:lineRule="auto"/>
        <w:ind w:left="1440"/>
      </w:pPr>
      <w:r w:rsidRPr="00CA2018">
        <w:t xml:space="preserve">(i) </w:t>
      </w:r>
      <w:r w:rsidR="007635FB" w:rsidRPr="00CA2018">
        <w:t>increase the Family Tax Credit</w:t>
      </w:r>
      <w:r w:rsidR="007A3AFB" w:rsidRPr="00CA2018">
        <w:t xml:space="preserve"> to WEAG’s </w:t>
      </w:r>
      <w:r w:rsidR="00FA78C8" w:rsidRPr="00CA2018">
        <w:t>recommended rates</w:t>
      </w:r>
      <w:r w:rsidR="00E43EB2" w:rsidRPr="00CA2018">
        <w:t xml:space="preserve"> (Key Recommendation 23)</w:t>
      </w:r>
    </w:p>
    <w:p w14:paraId="5F3DF264" w14:textId="04DC380B" w:rsidR="00713BFF" w:rsidRPr="00CA2018" w:rsidRDefault="00713BFF" w:rsidP="007963BB">
      <w:pPr>
        <w:spacing w:line="240" w:lineRule="auto"/>
        <w:ind w:left="1440"/>
      </w:pPr>
      <w:r w:rsidRPr="00CA2018">
        <w:t>(ii) annually index tax credit payments to wages</w:t>
      </w:r>
      <w:r w:rsidR="00E43EB2" w:rsidRPr="00CA2018">
        <w:t xml:space="preserve"> (part of Key Recommendations 21 and 26)</w:t>
      </w:r>
    </w:p>
    <w:p w14:paraId="4C74B41C" w14:textId="0942A03F" w:rsidR="007635FB" w:rsidRPr="00CA2018" w:rsidRDefault="00713BFF" w:rsidP="007963BB">
      <w:pPr>
        <w:spacing w:line="240" w:lineRule="auto"/>
        <w:ind w:left="1440"/>
      </w:pPr>
      <w:r w:rsidRPr="00CA2018">
        <w:t>(iii)</w:t>
      </w:r>
      <w:r w:rsidR="00FA78C8" w:rsidRPr="00CA2018">
        <w:t xml:space="preserve"> e</w:t>
      </w:r>
      <w:r w:rsidRPr="00CA2018">
        <w:t>xtend t</w:t>
      </w:r>
      <w:r w:rsidR="007635FB" w:rsidRPr="00CA2018">
        <w:t xml:space="preserve">he In-Work Tax Credit </w:t>
      </w:r>
      <w:r w:rsidR="009C22AF">
        <w:t xml:space="preserve">to </w:t>
      </w:r>
      <w:r w:rsidR="007635FB" w:rsidRPr="00CA2018">
        <w:t xml:space="preserve">all </w:t>
      </w:r>
      <w:r w:rsidRPr="00CA2018">
        <w:t xml:space="preserve">low-income </w:t>
      </w:r>
      <w:r w:rsidR="007635FB" w:rsidRPr="00CA2018">
        <w:t>children irrespective of their parent’s income source</w:t>
      </w:r>
      <w:r w:rsidR="00E43EB2" w:rsidRPr="00CA2018">
        <w:t xml:space="preserve"> (the effect of Key Recommendation 23)</w:t>
      </w:r>
    </w:p>
    <w:p w14:paraId="5FDD81E5" w14:textId="5BEEE2C7" w:rsidR="00997708" w:rsidRPr="00CA2018" w:rsidRDefault="00997708" w:rsidP="007963BB">
      <w:pPr>
        <w:pStyle w:val="ListParagraph"/>
        <w:numPr>
          <w:ilvl w:val="0"/>
          <w:numId w:val="17"/>
        </w:numPr>
      </w:pPr>
      <w:r w:rsidRPr="00CA2018">
        <w:t xml:space="preserve">Increase benefit levels for </w:t>
      </w:r>
      <w:r w:rsidR="00C41133">
        <w:t xml:space="preserve">all </w:t>
      </w:r>
      <w:r w:rsidR="00AA175C">
        <w:t xml:space="preserve">youth </w:t>
      </w:r>
      <w:r w:rsidR="00C41133">
        <w:t xml:space="preserve">payments </w:t>
      </w:r>
      <w:r w:rsidR="00AA175C">
        <w:t>1</w:t>
      </w:r>
      <w:r w:rsidR="00140751">
        <w:t>6</w:t>
      </w:r>
      <w:r w:rsidR="00AA175C">
        <w:t xml:space="preserve">-24 years </w:t>
      </w:r>
      <w:r w:rsidR="00C41133">
        <w:t>to their adult equivalent</w:t>
      </w:r>
      <w:r w:rsidR="00E43EB2" w:rsidRPr="00CA2018">
        <w:t xml:space="preserve"> (</w:t>
      </w:r>
      <w:r w:rsidR="00CC7B56">
        <w:t xml:space="preserve">part of Key </w:t>
      </w:r>
      <w:r w:rsidR="0081293F">
        <w:t>Recommendation</w:t>
      </w:r>
      <w:r w:rsidR="00CC7B56">
        <w:t xml:space="preserve"> 20 and </w:t>
      </w:r>
      <w:r w:rsidR="0081293F">
        <w:t>D</w:t>
      </w:r>
      <w:r w:rsidR="00E43EB2" w:rsidRPr="00CA2018">
        <w:t xml:space="preserve">etailed </w:t>
      </w:r>
      <w:r w:rsidR="0081293F">
        <w:t>R</w:t>
      </w:r>
      <w:r w:rsidR="00E43EB2" w:rsidRPr="00CA2018">
        <w:t>ecommendation 33)</w:t>
      </w:r>
    </w:p>
    <w:p w14:paraId="342E715C" w14:textId="37E2191E" w:rsidR="007635FB" w:rsidRDefault="00102BE3" w:rsidP="007963BB">
      <w:pPr>
        <w:pStyle w:val="ListParagraph"/>
        <w:numPr>
          <w:ilvl w:val="0"/>
          <w:numId w:val="17"/>
        </w:numPr>
      </w:pPr>
      <w:r>
        <w:t>Improve t</w:t>
      </w:r>
      <w:r w:rsidRPr="00CA2018">
        <w:t xml:space="preserve">he </w:t>
      </w:r>
      <w:r>
        <w:t xml:space="preserve">definition of relationships within the </w:t>
      </w:r>
      <w:r w:rsidRPr="00CA2018">
        <w:t xml:space="preserve">welfare system </w:t>
      </w:r>
      <w:r>
        <w:t>so that it does not</w:t>
      </w:r>
      <w:r w:rsidRPr="00CA2018">
        <w:t xml:space="preserve"> operate as a barrier to </w:t>
      </w:r>
      <w:r>
        <w:t xml:space="preserve">forming </w:t>
      </w:r>
      <w:r w:rsidRPr="00CA2018">
        <w:t xml:space="preserve">positive family </w:t>
      </w:r>
      <w:r>
        <w:t>units</w:t>
      </w:r>
      <w:r w:rsidRPr="00CA2018">
        <w:t xml:space="preserve"> </w:t>
      </w:r>
      <w:r w:rsidR="00E43EB2" w:rsidRPr="00CA2018">
        <w:t>(effect of Key Recommendation 28 and part of Key Recommendation 19)</w:t>
      </w:r>
    </w:p>
    <w:p w14:paraId="072A5CD4" w14:textId="0CECEC2E" w:rsidR="004856A3" w:rsidRPr="00CA2018" w:rsidRDefault="00713BFF" w:rsidP="007963BB">
      <w:pPr>
        <w:pStyle w:val="ListParagraph"/>
        <w:numPr>
          <w:ilvl w:val="0"/>
          <w:numId w:val="17"/>
        </w:numPr>
      </w:pPr>
      <w:r w:rsidRPr="00CA2018">
        <w:t>S</w:t>
      </w:r>
      <w:r w:rsidR="007635FB" w:rsidRPr="00CA2018">
        <w:t>ignificant</w:t>
      </w:r>
      <w:r w:rsidRPr="00CA2018">
        <w:t>ly</w:t>
      </w:r>
      <w:r w:rsidR="007635FB" w:rsidRPr="00CA2018">
        <w:t xml:space="preserve"> improve financial support for disabled people, people with health conditions and their carers</w:t>
      </w:r>
      <w:r w:rsidR="00E43EB2" w:rsidRPr="00CA2018">
        <w:t xml:space="preserve"> (Key Recommendation 40 and part of Key Recommendation 26)</w:t>
      </w:r>
    </w:p>
    <w:p w14:paraId="3D1C9BBC" w14:textId="563FEA60" w:rsidR="00EB44BA" w:rsidRPr="00CA2018" w:rsidRDefault="00C41133" w:rsidP="007963BB">
      <w:pPr>
        <w:pStyle w:val="ListParagraph"/>
        <w:numPr>
          <w:ilvl w:val="0"/>
          <w:numId w:val="17"/>
        </w:numPr>
      </w:pPr>
      <w:r>
        <w:t>R</w:t>
      </w:r>
      <w:r w:rsidR="007E70DD" w:rsidRPr="00CA2018">
        <w:t>apidly escalate</w:t>
      </w:r>
      <w:r w:rsidR="00EB44BA" w:rsidRPr="00CA2018">
        <w:t xml:space="preserve"> </w:t>
      </w:r>
      <w:r>
        <w:t xml:space="preserve">building of social housing on an industrial scale </w:t>
      </w:r>
      <w:r w:rsidR="004856A3" w:rsidRPr="00CA2018">
        <w:t>(Key Recommendation 29 and Key WEAG Recommendation 31)</w:t>
      </w:r>
      <w:r>
        <w:t xml:space="preserve"> </w:t>
      </w:r>
      <w:r w:rsidR="00EB44BA" w:rsidRPr="00CA2018">
        <w:t>by:</w:t>
      </w:r>
    </w:p>
    <w:p w14:paraId="6633E60B" w14:textId="118B18D5" w:rsidR="00EB44BA" w:rsidRPr="00CA2018" w:rsidRDefault="00EB44BA" w:rsidP="007963BB">
      <w:pPr>
        <w:pStyle w:val="ListParagraph"/>
        <w:numPr>
          <w:ilvl w:val="0"/>
          <w:numId w:val="26"/>
        </w:numPr>
        <w:ind w:left="1440"/>
        <w:rPr>
          <w:rFonts w:cstheme="minorHAnsi"/>
        </w:rPr>
      </w:pPr>
      <w:r w:rsidRPr="00CA2018">
        <w:rPr>
          <w:rFonts w:cstheme="minorHAnsi"/>
        </w:rPr>
        <w:t>recruitment and training of school leavers</w:t>
      </w:r>
    </w:p>
    <w:p w14:paraId="6EB11BA9" w14:textId="77777777" w:rsidR="00EB44BA" w:rsidRPr="00CA2018" w:rsidRDefault="00EB44BA" w:rsidP="007963BB">
      <w:pPr>
        <w:pStyle w:val="ListParagraph"/>
        <w:numPr>
          <w:ilvl w:val="0"/>
          <w:numId w:val="26"/>
        </w:numPr>
        <w:ind w:left="1440"/>
        <w:rPr>
          <w:rFonts w:cstheme="minorHAnsi"/>
        </w:rPr>
      </w:pPr>
      <w:r w:rsidRPr="00CA2018">
        <w:rPr>
          <w:rFonts w:cstheme="minorHAnsi"/>
        </w:rPr>
        <w:t>investment in manufactured housing systems</w:t>
      </w:r>
    </w:p>
    <w:p w14:paraId="060FCAF9" w14:textId="4987D770" w:rsidR="00EB44BA" w:rsidRPr="00CA2018" w:rsidRDefault="00EB44BA" w:rsidP="007963BB">
      <w:pPr>
        <w:pStyle w:val="ListParagraph"/>
        <w:numPr>
          <w:ilvl w:val="0"/>
          <w:numId w:val="26"/>
        </w:numPr>
        <w:ind w:left="1440"/>
      </w:pPr>
      <w:r w:rsidRPr="00CA2018">
        <w:rPr>
          <w:rFonts w:cstheme="minorHAnsi"/>
        </w:rPr>
        <w:t>greater state involvement in urban land development and redevelopment.</w:t>
      </w:r>
    </w:p>
    <w:p w14:paraId="20BE92CD" w14:textId="78FDCE57" w:rsidR="00997708" w:rsidRPr="00CA2018" w:rsidRDefault="00997708" w:rsidP="007963BB">
      <w:pPr>
        <w:spacing w:line="240" w:lineRule="auto"/>
        <w:ind w:left="360"/>
      </w:pPr>
    </w:p>
    <w:p w14:paraId="128CBDBC" w14:textId="374F6346" w:rsidR="006F3E51" w:rsidRPr="00CA2018" w:rsidRDefault="007635FB" w:rsidP="007963BB">
      <w:pPr>
        <w:spacing w:line="240" w:lineRule="auto"/>
      </w:pPr>
      <w:r w:rsidRPr="00CA2018">
        <w:br w:type="page"/>
      </w:r>
    </w:p>
    <w:p w14:paraId="72191A31" w14:textId="32FE0263" w:rsidR="006C1E2F" w:rsidRPr="00CA2018" w:rsidRDefault="00AA175C" w:rsidP="007963BB">
      <w:pPr>
        <w:pStyle w:val="Heading1"/>
        <w:numPr>
          <w:ilvl w:val="0"/>
          <w:numId w:val="1"/>
        </w:numPr>
        <w:spacing w:line="240" w:lineRule="auto"/>
      </w:pPr>
      <w:bookmarkStart w:id="13" w:name="_Toc89329995"/>
      <w:r>
        <w:t>Background</w:t>
      </w:r>
      <w:bookmarkEnd w:id="13"/>
    </w:p>
    <w:p w14:paraId="6EA85DD1" w14:textId="77777777" w:rsidR="00ED56B3" w:rsidRPr="00CA2018" w:rsidRDefault="00ED56B3" w:rsidP="007963BB">
      <w:pPr>
        <w:spacing w:line="240" w:lineRule="auto"/>
        <w:ind w:left="720"/>
        <w:rPr>
          <w:i/>
          <w:iCs/>
        </w:rPr>
      </w:pPr>
      <w:r w:rsidRPr="00CA2018">
        <w:rPr>
          <w:i/>
          <w:iCs/>
        </w:rPr>
        <w:t>“</w:t>
      </w:r>
      <w:r w:rsidR="008B5C74" w:rsidRPr="00CA2018">
        <w:rPr>
          <w:i/>
          <w:iCs/>
        </w:rPr>
        <w:t>I want the welfare system to be one where people’s existence is honoured. I want it to be a space that people can trust and know they’ll get the support they need for themselves and their families</w:t>
      </w:r>
      <w:r w:rsidRPr="00CA2018">
        <w:rPr>
          <w:i/>
          <w:iCs/>
        </w:rPr>
        <w:t>.”</w:t>
      </w:r>
    </w:p>
    <w:p w14:paraId="6BF4B575" w14:textId="75D45AB2" w:rsidR="006C1E2F" w:rsidRPr="00CA2018" w:rsidRDefault="006C1E2F" w:rsidP="007963BB">
      <w:pPr>
        <w:spacing w:line="240" w:lineRule="auto"/>
        <w:ind w:left="720"/>
      </w:pPr>
      <w:r w:rsidRPr="00CA2018">
        <w:t xml:space="preserve"> – Brooke Fiafia</w:t>
      </w:r>
      <w:r w:rsidR="00B91B0F" w:rsidRPr="00CA2018">
        <w:t xml:space="preserve"> Pao Stanley</w:t>
      </w:r>
      <w:r w:rsidRPr="00CA2018">
        <w:t>, coordinator of Auckland Action Against Poverty</w:t>
      </w:r>
    </w:p>
    <w:p w14:paraId="52DD4C89" w14:textId="77777777" w:rsidR="00282174" w:rsidRPr="00CA2018" w:rsidRDefault="00AB6CEE" w:rsidP="007963BB">
      <w:pPr>
        <w:spacing w:line="240" w:lineRule="auto"/>
        <w:ind w:left="720"/>
      </w:pPr>
      <w:r w:rsidRPr="00CA2018">
        <w:rPr>
          <w:i/>
          <w:iCs/>
        </w:rPr>
        <w:t>“In a perfect world the social welfare system in New Zealand would listen, would be able to treat people better, with more respect, relying on the principles of tika, pono, and aroha, being straight, being true, and having belief in the people they work with</w:t>
      </w:r>
      <w:r w:rsidR="00282174" w:rsidRPr="00CA2018">
        <w:rPr>
          <w:i/>
          <w:iCs/>
        </w:rPr>
        <w:t>”</w:t>
      </w:r>
      <w:r w:rsidRPr="00CA2018">
        <w:t xml:space="preserve"> </w:t>
      </w:r>
    </w:p>
    <w:p w14:paraId="6109B758" w14:textId="710B8DB0" w:rsidR="006C1E2F" w:rsidRPr="00CA2018" w:rsidRDefault="00AB6CEE" w:rsidP="007963BB">
      <w:pPr>
        <w:spacing w:line="240" w:lineRule="auto"/>
        <w:ind w:left="720"/>
      </w:pPr>
      <w:r w:rsidRPr="00CA2018">
        <w:t xml:space="preserve">– </w:t>
      </w:r>
      <w:r w:rsidR="005566D4" w:rsidRPr="00CA2018">
        <w:t xml:space="preserve">Matua </w:t>
      </w:r>
      <w:hyperlink r:id="rId16" w:history="1">
        <w:r w:rsidRPr="00CA2018">
          <w:rPr>
            <w:rStyle w:val="Hyperlink"/>
          </w:rPr>
          <w:t>Fred Andrews</w:t>
        </w:r>
      </w:hyperlink>
      <w:r w:rsidRPr="00CA2018">
        <w:t xml:space="preserve"> (Ngāti Mahuta, Ngāti Hine, Ngāti Rangimahora), welfare advocate</w:t>
      </w:r>
    </w:p>
    <w:p w14:paraId="126B3241" w14:textId="49D29356" w:rsidR="00A13B1D" w:rsidRPr="00CA2018" w:rsidRDefault="00A13B1D" w:rsidP="007963BB">
      <w:pPr>
        <w:spacing w:line="240" w:lineRule="auto"/>
        <w:ind w:left="720"/>
        <w:rPr>
          <w:i/>
          <w:iCs/>
        </w:rPr>
      </w:pPr>
      <w:r w:rsidRPr="00CA2018">
        <w:rPr>
          <w:i/>
          <w:iCs/>
        </w:rPr>
        <w:t xml:space="preserve">“Imagine a welfare system that met people’s needs </w:t>
      </w:r>
      <w:r w:rsidR="00251712" w:rsidRPr="00CA2018">
        <w:rPr>
          <w:i/>
          <w:iCs/>
        </w:rPr>
        <w:t>and imbued</w:t>
      </w:r>
      <w:r w:rsidRPr="00CA2018">
        <w:rPr>
          <w:i/>
          <w:iCs/>
        </w:rPr>
        <w:t xml:space="preserve"> a context of trust. It would create an environment where people are physically and psy</w:t>
      </w:r>
      <w:r w:rsidR="005566D4" w:rsidRPr="00CA2018">
        <w:rPr>
          <w:i/>
          <w:iCs/>
        </w:rPr>
        <w:t>c</w:t>
      </w:r>
      <w:r w:rsidRPr="00CA2018">
        <w:rPr>
          <w:i/>
          <w:iCs/>
        </w:rPr>
        <w:t>hologically safe. And when people are safe, their capacity to access their own resources is increased. A whole cohort of people, their energy is going towards fighting and surviving, that would change.”</w:t>
      </w:r>
    </w:p>
    <w:p w14:paraId="6027CD6F" w14:textId="677BC616" w:rsidR="00CD766F" w:rsidRPr="00CA2018" w:rsidRDefault="00CD766F" w:rsidP="007963BB">
      <w:pPr>
        <w:spacing w:line="240" w:lineRule="auto"/>
        <w:ind w:left="720"/>
      </w:pPr>
      <w:r w:rsidRPr="00CA2018">
        <w:t>– Helen Robinson, Auckland City Missioner</w:t>
      </w:r>
      <w:r w:rsidR="003577CE" w:rsidRPr="00CA2018">
        <w:t xml:space="preserve"> / Manutaki o Te </w:t>
      </w:r>
      <w:r w:rsidR="00813063" w:rsidRPr="00CA2018">
        <w:t>Tāpui Atawhai</w:t>
      </w:r>
    </w:p>
    <w:p w14:paraId="687DBEB6" w14:textId="0771A5A9" w:rsidR="00593F8A" w:rsidRPr="00CA2018" w:rsidRDefault="00CD515C" w:rsidP="007963BB">
      <w:pPr>
        <w:spacing w:line="240" w:lineRule="auto"/>
      </w:pPr>
      <w:r w:rsidRPr="00CA2018">
        <w:t>These visions for a reformed welfare system, as articulated by those working</w:t>
      </w:r>
      <w:r w:rsidR="005838D2" w:rsidRPr="00CA2018">
        <w:t xml:space="preserve"> </w:t>
      </w:r>
      <w:r w:rsidR="005566D4" w:rsidRPr="00CA2018">
        <w:t>directly with people experiencing poverty</w:t>
      </w:r>
      <w:r w:rsidR="005838D2" w:rsidRPr="00CA2018">
        <w:t xml:space="preserve">, are diverse and yet have common themes. </w:t>
      </w:r>
      <w:r w:rsidR="005566D4" w:rsidRPr="00CA2018">
        <w:t>T</w:t>
      </w:r>
      <w:r w:rsidR="005C7233" w:rsidRPr="00CA2018">
        <w:t>hey each</w:t>
      </w:r>
      <w:r w:rsidR="005B4835" w:rsidRPr="00CA2018">
        <w:t xml:space="preserve"> describe a system that is trusting</w:t>
      </w:r>
      <w:r w:rsidR="005566D4" w:rsidRPr="00CA2018">
        <w:t xml:space="preserve"> and trustworthy</w:t>
      </w:r>
      <w:r w:rsidR="005B4835" w:rsidRPr="00CA2018">
        <w:t xml:space="preserve">, </w:t>
      </w:r>
      <w:r w:rsidR="005566D4" w:rsidRPr="00CA2018">
        <w:t xml:space="preserve">that </w:t>
      </w:r>
      <w:r w:rsidR="00A469A1" w:rsidRPr="00CA2018">
        <w:t>respect</w:t>
      </w:r>
      <w:r w:rsidR="00AD38D0" w:rsidRPr="00CA2018">
        <w:t xml:space="preserve">s </w:t>
      </w:r>
      <w:r w:rsidR="0084398F" w:rsidRPr="00CA2018">
        <w:t xml:space="preserve">and </w:t>
      </w:r>
      <w:r w:rsidR="00E7463E" w:rsidRPr="00CA2018">
        <w:t>adequately provides</w:t>
      </w:r>
      <w:r w:rsidR="0084398F" w:rsidRPr="00CA2018">
        <w:t xml:space="preserve"> </w:t>
      </w:r>
      <w:r w:rsidR="00E7463E" w:rsidRPr="00CA2018">
        <w:t xml:space="preserve">for the people it serves. </w:t>
      </w:r>
      <w:r w:rsidR="00135127" w:rsidRPr="00CA2018">
        <w:t>T</w:t>
      </w:r>
      <w:r w:rsidR="00F8348D" w:rsidRPr="00CA2018">
        <w:t xml:space="preserve">hese visions are in fact consistent with the </w:t>
      </w:r>
      <w:r w:rsidR="00532AD6">
        <w:t xml:space="preserve">New Zealand </w:t>
      </w:r>
      <w:r w:rsidR="00F8348D" w:rsidRPr="00CA2018">
        <w:t>Government’s</w:t>
      </w:r>
      <w:r w:rsidR="00532AD6">
        <w:t xml:space="preserve"> (2018)</w:t>
      </w:r>
      <w:r w:rsidR="00F8348D" w:rsidRPr="00CA2018">
        <w:t xml:space="preserve"> own vision for the welfare system, as was articulated in the terms of reference when establishing the Welfare Expert Advisory Group</w:t>
      </w:r>
      <w:r w:rsidR="00352E61" w:rsidRPr="00CA2018">
        <w:t xml:space="preserve"> (WEAG)</w:t>
      </w:r>
      <w:r w:rsidR="00F8348D" w:rsidRPr="00CA2018">
        <w:t xml:space="preserve">: </w:t>
      </w:r>
    </w:p>
    <w:p w14:paraId="40F2C393" w14:textId="522D6B54" w:rsidR="006748B0" w:rsidRPr="00532AD6" w:rsidRDefault="006748B0" w:rsidP="007963BB">
      <w:pPr>
        <w:spacing w:line="240" w:lineRule="auto"/>
        <w:ind w:left="720"/>
      </w:pPr>
      <w:r w:rsidRPr="00CA2018">
        <w:rPr>
          <w:i/>
          <w:iCs/>
        </w:rPr>
        <w:t>“Th</w:t>
      </w:r>
      <w:r w:rsidR="006062BA" w:rsidRPr="00CA2018">
        <w:rPr>
          <w:i/>
          <w:iCs/>
        </w:rPr>
        <w:t>is</w:t>
      </w:r>
      <w:r w:rsidRPr="00CA2018">
        <w:rPr>
          <w:i/>
          <w:iCs/>
        </w:rPr>
        <w:t xml:space="preserve"> Government’s vision for </w:t>
      </w:r>
      <w:r w:rsidR="006062BA" w:rsidRPr="00CA2018">
        <w:rPr>
          <w:i/>
          <w:iCs/>
        </w:rPr>
        <w:t>the</w:t>
      </w:r>
      <w:r w:rsidRPr="00CA2018">
        <w:rPr>
          <w:i/>
          <w:iCs/>
        </w:rPr>
        <w:t xml:space="preserve"> welfare system </w:t>
      </w:r>
      <w:r w:rsidR="006062BA" w:rsidRPr="00CA2018">
        <w:rPr>
          <w:i/>
          <w:iCs/>
        </w:rPr>
        <w:t xml:space="preserve">is to </w:t>
      </w:r>
      <w:r w:rsidRPr="00CA2018">
        <w:rPr>
          <w:i/>
          <w:iCs/>
        </w:rPr>
        <w:t>ensure</w:t>
      </w:r>
      <w:r w:rsidR="006062BA" w:rsidRPr="00CA2018">
        <w:rPr>
          <w:i/>
          <w:iCs/>
        </w:rPr>
        <w:t xml:space="preserve"> that </w:t>
      </w:r>
      <w:r w:rsidRPr="00CA2018">
        <w:rPr>
          <w:i/>
          <w:iCs/>
        </w:rPr>
        <w:t>people have an adequate income and standard of living, are treated with and can live in dignity and are able to participate meaningfully in their communities</w:t>
      </w:r>
      <w:r w:rsidR="00CA0DF1" w:rsidRPr="00CA2018">
        <w:rPr>
          <w:i/>
          <w:iCs/>
        </w:rPr>
        <w:t>.</w:t>
      </w:r>
      <w:r w:rsidRPr="00CA2018">
        <w:rPr>
          <w:i/>
          <w:iCs/>
        </w:rPr>
        <w:t>”</w:t>
      </w:r>
      <w:r w:rsidR="00532AD6">
        <w:rPr>
          <w:i/>
          <w:iCs/>
        </w:rPr>
        <w:t xml:space="preserve"> </w:t>
      </w:r>
    </w:p>
    <w:p w14:paraId="59F96A26" w14:textId="418DA3ED" w:rsidR="00AA175C" w:rsidRDefault="00FB4450" w:rsidP="007963BB">
      <w:pPr>
        <w:spacing w:line="240" w:lineRule="auto"/>
      </w:pPr>
      <w:r>
        <w:t xml:space="preserve">The implementation of the Government’s vision is </w:t>
      </w:r>
      <w:r w:rsidR="001F6D49">
        <w:t>criti</w:t>
      </w:r>
      <w:r w:rsidR="007168C4">
        <w:t>cally</w:t>
      </w:r>
      <w:r>
        <w:t xml:space="preserve"> important to children in the deepest poverty, because these children are often supported by the welfare system. </w:t>
      </w:r>
      <w:r w:rsidR="00C72E3E" w:rsidRPr="00CA2018">
        <w:t xml:space="preserve">As we approach three years since </w:t>
      </w:r>
      <w:r w:rsidR="00352E61" w:rsidRPr="00CA2018">
        <w:t>WEAG</w:t>
      </w:r>
      <w:r w:rsidR="00C72E3E" w:rsidRPr="00CA2018">
        <w:t xml:space="preserve"> delivered their </w:t>
      </w:r>
      <w:r w:rsidR="00C72E3E" w:rsidRPr="00725C97">
        <w:t>report</w:t>
      </w:r>
      <w:r w:rsidR="00C72E3E" w:rsidRPr="00CA2018">
        <w:t xml:space="preserve"> </w:t>
      </w:r>
      <w:r w:rsidR="006825B1" w:rsidRPr="00CA2018">
        <w:rPr>
          <w:i/>
          <w:iCs/>
        </w:rPr>
        <w:t>Whakamana Tāngata</w:t>
      </w:r>
      <w:r w:rsidR="00C72E3E" w:rsidRPr="00CA2018">
        <w:rPr>
          <w:i/>
          <w:iCs/>
        </w:rPr>
        <w:t xml:space="preserve"> </w:t>
      </w:r>
      <w:r w:rsidR="00C72E3E" w:rsidRPr="00CA2018">
        <w:t>to the Government</w:t>
      </w:r>
      <w:r w:rsidR="007914B2" w:rsidRPr="00CA2018">
        <w:t xml:space="preserve"> in February 2019</w:t>
      </w:r>
      <w:r w:rsidR="00C72E3E" w:rsidRPr="00CA2018">
        <w:t>, t</w:t>
      </w:r>
      <w:r w:rsidR="007F27A5" w:rsidRPr="00CA2018">
        <w:t xml:space="preserve">his </w:t>
      </w:r>
      <w:r w:rsidR="00725C97">
        <w:t>CPAG analysis</w:t>
      </w:r>
      <w:r w:rsidR="007F27A5" w:rsidRPr="00CA2018">
        <w:t xml:space="preserve"> </w:t>
      </w:r>
      <w:r w:rsidR="00545312" w:rsidRPr="00CA2018">
        <w:t>attempts to answer the question:</w:t>
      </w:r>
      <w:r w:rsidR="007F27A5" w:rsidRPr="00CA2018">
        <w:t xml:space="preserve"> </w:t>
      </w:r>
      <w:r w:rsidR="00C72E3E" w:rsidRPr="00CA2018">
        <w:t>a</w:t>
      </w:r>
      <w:r w:rsidR="00B7459A" w:rsidRPr="00CA2018">
        <w:t>re we any closer to achieving th</w:t>
      </w:r>
      <w:r w:rsidR="00BD3C0E" w:rsidRPr="00CA2018">
        <w:t>e</w:t>
      </w:r>
      <w:r w:rsidR="00B7459A" w:rsidRPr="00CA2018">
        <w:t>s</w:t>
      </w:r>
      <w:r w:rsidR="00BD3C0E" w:rsidRPr="00CA2018">
        <w:t>e</w:t>
      </w:r>
      <w:r w:rsidR="00B7459A" w:rsidRPr="00CA2018">
        <w:t xml:space="preserve"> vision</w:t>
      </w:r>
      <w:r w:rsidR="00BD3C0E" w:rsidRPr="00CA2018">
        <w:t>s</w:t>
      </w:r>
      <w:r w:rsidR="00AA175C">
        <w:t xml:space="preserve"> in November 2021</w:t>
      </w:r>
      <w:r w:rsidR="00B7459A" w:rsidRPr="00CA2018">
        <w:t>?</w:t>
      </w:r>
      <w:r w:rsidR="00C72E3E" w:rsidRPr="00CA2018">
        <w:t xml:space="preserve"> </w:t>
      </w:r>
      <w:r w:rsidR="006B2417">
        <w:t>Here, w</w:t>
      </w:r>
      <w:r w:rsidR="008C6FC3" w:rsidRPr="00CA2018">
        <w:t>e</w:t>
      </w:r>
      <w:r w:rsidR="00EA1B8D" w:rsidRPr="00CA2018">
        <w:t xml:space="preserve"> </w:t>
      </w:r>
      <w:r w:rsidR="00AC32AC" w:rsidRPr="00CA2018">
        <w:t xml:space="preserve">have </w:t>
      </w:r>
      <w:r w:rsidR="00EA1B8D" w:rsidRPr="00CA2018">
        <w:t>update</w:t>
      </w:r>
      <w:r w:rsidR="00AC32AC" w:rsidRPr="00CA2018">
        <w:t>d</w:t>
      </w:r>
      <w:r w:rsidR="00EA1B8D" w:rsidRPr="00CA2018">
        <w:t xml:space="preserve"> our </w:t>
      </w:r>
      <w:hyperlink r:id="rId17" w:history="1">
        <w:r w:rsidR="00EA1B8D" w:rsidRPr="00CA2018">
          <w:rPr>
            <w:rStyle w:val="Hyperlink"/>
          </w:rPr>
          <w:t>2020</w:t>
        </w:r>
        <w:r w:rsidR="00C72E3E" w:rsidRPr="00CA2018">
          <w:rPr>
            <w:rStyle w:val="Hyperlink"/>
          </w:rPr>
          <w:t xml:space="preserve"> stocktake</w:t>
        </w:r>
      </w:hyperlink>
      <w:r w:rsidR="00C72E3E" w:rsidRPr="00CA2018">
        <w:t xml:space="preserve"> of the Government’s progress in overhauling the welfare system</w:t>
      </w:r>
      <w:r w:rsidR="008C6FC3" w:rsidRPr="00CA2018">
        <w:t xml:space="preserve">, reporting on key developments </w:t>
      </w:r>
      <w:r w:rsidR="00AA175C">
        <w:t>over the last year</w:t>
      </w:r>
      <w:r w:rsidR="00EA1B8D" w:rsidRPr="00CA2018">
        <w:t xml:space="preserve">. </w:t>
      </w:r>
    </w:p>
    <w:p w14:paraId="4E7EBD49" w14:textId="011E6936" w:rsidR="00863AA8" w:rsidRPr="00CA2018" w:rsidRDefault="00EA1B8D" w:rsidP="007963BB">
      <w:pPr>
        <w:spacing w:line="240" w:lineRule="auto"/>
      </w:pPr>
      <w:r w:rsidRPr="00CA2018">
        <w:t>Our discussion</w:t>
      </w:r>
      <w:r w:rsidR="00C72E3E" w:rsidRPr="00CA2018">
        <w:t xml:space="preserve"> highlights how despite some modest </w:t>
      </w:r>
      <w:r w:rsidR="00AA175C">
        <w:t>gains</w:t>
      </w:r>
      <w:r w:rsidR="00C72E3E" w:rsidRPr="00CA2018">
        <w:t xml:space="preserve">, progress continues </w:t>
      </w:r>
      <w:r w:rsidR="00E208D6" w:rsidRPr="00CA2018">
        <w:t xml:space="preserve">to be slow and </w:t>
      </w:r>
      <w:r w:rsidR="00217E0A">
        <w:t>fragmented</w:t>
      </w:r>
      <w:r w:rsidR="00E208D6" w:rsidRPr="00CA2018">
        <w:t xml:space="preserve">, </w:t>
      </w:r>
      <w:r w:rsidR="00805942" w:rsidRPr="00CA2018">
        <w:t xml:space="preserve">leaving the </w:t>
      </w:r>
      <w:r w:rsidR="0046283F" w:rsidRPr="00CA2018">
        <w:t>20</w:t>
      </w:r>
      <w:r w:rsidR="00AC32AC" w:rsidRPr="00CA2018">
        <w:t>8</w:t>
      </w:r>
      <w:r w:rsidR="0046283F" w:rsidRPr="00CA2018">
        <w:t>,000 children in benefit-receiving households</w:t>
      </w:r>
      <w:r w:rsidR="00532AD6">
        <w:t xml:space="preserve"> (MSD, 2021b)</w:t>
      </w:r>
      <w:r w:rsidR="0046283F" w:rsidRPr="00CA2018">
        <w:t xml:space="preserve"> </w:t>
      </w:r>
      <w:r w:rsidR="00463B16" w:rsidRPr="00CA2018">
        <w:t xml:space="preserve">still waiting for transformational change. </w:t>
      </w:r>
      <w:r w:rsidR="00173931" w:rsidRPr="00CA2018">
        <w:t xml:space="preserve">The Government’s vision for an overhauled welfare system </w:t>
      </w:r>
      <w:r w:rsidR="00BD3C0E" w:rsidRPr="00CA2018">
        <w:t>i</w:t>
      </w:r>
      <w:r w:rsidR="00173931" w:rsidRPr="00CA2018">
        <w:t>s one</w:t>
      </w:r>
      <w:r w:rsidR="00BD3C0E" w:rsidRPr="00CA2018">
        <w:t xml:space="preserve"> that</w:t>
      </w:r>
      <w:r w:rsidR="00173931" w:rsidRPr="00CA2018">
        <w:t xml:space="preserve"> </w:t>
      </w:r>
      <w:r w:rsidR="006E2F24">
        <w:t xml:space="preserve">many </w:t>
      </w:r>
      <w:r w:rsidR="00AC32AC" w:rsidRPr="00CA2018">
        <w:t>New Zealanders</w:t>
      </w:r>
      <w:r w:rsidR="00173931" w:rsidRPr="00CA2018">
        <w:t xml:space="preserve"> support, and yet </w:t>
      </w:r>
      <w:r w:rsidR="00545312" w:rsidRPr="00CA2018">
        <w:t xml:space="preserve">our current system is still undermining and offering inadequate support to </w:t>
      </w:r>
      <w:r w:rsidR="00863AA8" w:rsidRPr="00CA2018">
        <w:t xml:space="preserve">whānau </w:t>
      </w:r>
      <w:r w:rsidR="00545312" w:rsidRPr="00CA2018">
        <w:t>and families who need assistance</w:t>
      </w:r>
      <w:r w:rsidR="00863AA8" w:rsidRPr="00CA2018">
        <w:t>.</w:t>
      </w:r>
      <w:r w:rsidR="00BD3C0E" w:rsidRPr="00CA2018">
        <w:t xml:space="preserve"> </w:t>
      </w:r>
    </w:p>
    <w:p w14:paraId="330B892B" w14:textId="1DAF3629" w:rsidR="0030580D" w:rsidRPr="00CA2018" w:rsidRDefault="0066726A" w:rsidP="007963BB">
      <w:pPr>
        <w:pStyle w:val="Heading2"/>
        <w:spacing w:line="240" w:lineRule="auto"/>
      </w:pPr>
      <w:bookmarkStart w:id="14" w:name="_Toc89329996"/>
      <w:r w:rsidRPr="00CA2018">
        <w:t>Context</w:t>
      </w:r>
      <w:bookmarkEnd w:id="14"/>
      <w:r w:rsidRPr="00CA2018">
        <w:t xml:space="preserve"> </w:t>
      </w:r>
    </w:p>
    <w:p w14:paraId="5527BD00" w14:textId="2CF601C5" w:rsidR="00151A0B" w:rsidRPr="00CA2018" w:rsidRDefault="0033088F" w:rsidP="007963BB">
      <w:pPr>
        <w:spacing w:line="240" w:lineRule="auto"/>
      </w:pPr>
      <w:r w:rsidRPr="00CA2018">
        <w:t>In 2017, a</w:t>
      </w:r>
      <w:r w:rsidR="00BE185B" w:rsidRPr="00CA2018">
        <w:t xml:space="preserve">s part of a Confidence and Supply Agreement with the Green Party, the Labour </w:t>
      </w:r>
      <w:r w:rsidR="00FC0082" w:rsidRPr="00CA2018">
        <w:t>P</w:t>
      </w:r>
      <w:r w:rsidR="00BE185B" w:rsidRPr="00CA2018">
        <w:t xml:space="preserve">arty committed to </w:t>
      </w:r>
      <w:r w:rsidRPr="00CA2018">
        <w:t xml:space="preserve">an overhaul of the </w:t>
      </w:r>
      <w:r w:rsidR="00BE185B" w:rsidRPr="00CA2018">
        <w:t xml:space="preserve">welfare system. </w:t>
      </w:r>
      <w:r w:rsidR="00CA48E9" w:rsidRPr="00CA2018">
        <w:t>To</w:t>
      </w:r>
      <w:r w:rsidR="00D86749" w:rsidRPr="00CA2018">
        <w:t xml:space="preserve"> inform this </w:t>
      </w:r>
      <w:r w:rsidR="00CA48E9" w:rsidRPr="00CA2018">
        <w:t xml:space="preserve">programme of </w:t>
      </w:r>
      <w:r w:rsidRPr="00CA2018">
        <w:t>reform</w:t>
      </w:r>
      <w:r w:rsidR="00D86749" w:rsidRPr="00CA2018">
        <w:t xml:space="preserve">, the Government established </w:t>
      </w:r>
      <w:r w:rsidR="00352E61" w:rsidRPr="00CA2018">
        <w:t>WEAG</w:t>
      </w:r>
      <w:r w:rsidR="00D86749" w:rsidRPr="00CA2018">
        <w:t xml:space="preserve"> in May 2018</w:t>
      </w:r>
      <w:r w:rsidR="0054431B" w:rsidRPr="00CA2018">
        <w:t>, made up of 11 members, each with their own expertise</w:t>
      </w:r>
      <w:r w:rsidR="00D86749" w:rsidRPr="00CA2018">
        <w:t>.</w:t>
      </w:r>
      <w:r w:rsidR="005A049F" w:rsidRPr="00CA2018">
        <w:t xml:space="preserve"> Over the course of the year, this group engaged with over 3,000 New Zealanders, and considered commissioned reports</w:t>
      </w:r>
      <w:r w:rsidR="00893C58" w:rsidRPr="00CA2018">
        <w:t>,</w:t>
      </w:r>
      <w:r w:rsidR="005A049F" w:rsidRPr="00CA2018">
        <w:t xml:space="preserve"> as well as existing domestic and international research</w:t>
      </w:r>
      <w:r w:rsidR="00532AD6">
        <w:t xml:space="preserve"> (WEAG, 2019)</w:t>
      </w:r>
      <w:r w:rsidR="00151A0B" w:rsidRPr="00CA2018">
        <w:t xml:space="preserve">. </w:t>
      </w:r>
      <w:r w:rsidR="003F3419" w:rsidRPr="00CA2018">
        <w:t xml:space="preserve">Based on this extensive consultation and </w:t>
      </w:r>
      <w:r w:rsidR="008C4805" w:rsidRPr="00CA2018">
        <w:t>research, i</w:t>
      </w:r>
      <w:r w:rsidR="00151A0B" w:rsidRPr="00CA2018">
        <w:t xml:space="preserve">n February 2019, </w:t>
      </w:r>
      <w:r w:rsidR="007914B2" w:rsidRPr="00CA2018">
        <w:t>WEAG</w:t>
      </w:r>
      <w:r w:rsidR="00352E61" w:rsidRPr="00CA2018">
        <w:t xml:space="preserve"> </w:t>
      </w:r>
      <w:r w:rsidR="00151A0B" w:rsidRPr="00CA2018">
        <w:t xml:space="preserve">delivered their report </w:t>
      </w:r>
      <w:r w:rsidR="006825B1" w:rsidRPr="00CA2018">
        <w:rPr>
          <w:i/>
          <w:iCs/>
        </w:rPr>
        <w:t>Whakamana Tāngata</w:t>
      </w:r>
      <w:r w:rsidR="00151A0B" w:rsidRPr="00CA2018">
        <w:t xml:space="preserve"> to Government, with a public launch in May 2019. </w:t>
      </w:r>
    </w:p>
    <w:p w14:paraId="5364C23E" w14:textId="353688B5" w:rsidR="003C27EE" w:rsidRPr="00CA2018" w:rsidRDefault="003C27EE" w:rsidP="007963BB">
      <w:pPr>
        <w:spacing w:line="240" w:lineRule="auto"/>
      </w:pPr>
      <w:r w:rsidRPr="00CA2018">
        <w:t xml:space="preserve">The findings of </w:t>
      </w:r>
      <w:r w:rsidR="007914B2" w:rsidRPr="00CA2018">
        <w:t>WEAG</w:t>
      </w:r>
      <w:r w:rsidRPr="00CA2018">
        <w:t xml:space="preserve"> </w:t>
      </w:r>
      <w:r w:rsidR="005A4D27" w:rsidRPr="00CA2018">
        <w:t>constituted</w:t>
      </w:r>
      <w:r w:rsidRPr="00CA2018">
        <w:t xml:space="preserve"> </w:t>
      </w:r>
      <w:r w:rsidR="00AE57E9" w:rsidRPr="00CA2018">
        <w:t>a compelling call to action. T</w:t>
      </w:r>
      <w:r w:rsidRPr="00CA2018">
        <w:t>he</w:t>
      </w:r>
      <w:r w:rsidR="008C4805" w:rsidRPr="00CA2018">
        <w:t xml:space="preserve"> group</w:t>
      </w:r>
      <w:r w:rsidRPr="00CA2018">
        <w:t xml:space="preserve"> concluded that the</w:t>
      </w:r>
      <w:r w:rsidR="00AE231D" w:rsidRPr="00CA2018">
        <w:t xml:space="preserve"> </w:t>
      </w:r>
      <w:r w:rsidR="00B16B6C" w:rsidRPr="00CA2018">
        <w:t xml:space="preserve">welfare system as it stood was </w:t>
      </w:r>
      <w:r w:rsidR="00B16B6C" w:rsidRPr="00CA2018">
        <w:rPr>
          <w:i/>
          <w:iCs/>
        </w:rPr>
        <w:t>“no longer fit for purpose and needs fundamental change</w:t>
      </w:r>
      <w:r w:rsidR="00B16B6C" w:rsidRPr="00CA2018">
        <w:t>”</w:t>
      </w:r>
      <w:r w:rsidR="00BE40DD" w:rsidRPr="00CA2018">
        <w:t xml:space="preserve">, highlighting that the </w:t>
      </w:r>
      <w:r w:rsidR="00EB0B66" w:rsidRPr="00CA2018">
        <w:t xml:space="preserve">system </w:t>
      </w:r>
      <w:r w:rsidR="00BE40DD" w:rsidRPr="00CA2018">
        <w:t xml:space="preserve">was </w:t>
      </w:r>
      <w:r w:rsidR="00EB0B66" w:rsidRPr="00CA2018">
        <w:rPr>
          <w:i/>
          <w:iCs/>
        </w:rPr>
        <w:t>“</w:t>
      </w:r>
      <w:r w:rsidR="00BE40DD" w:rsidRPr="00CA2018">
        <w:rPr>
          <w:i/>
          <w:iCs/>
        </w:rPr>
        <w:t>set up in a different time and no longer meets the needs of those it was designed to support</w:t>
      </w:r>
      <w:r w:rsidR="00BE40DD" w:rsidRPr="00CA2018">
        <w:t>”</w:t>
      </w:r>
      <w:r w:rsidR="00214127">
        <w:t xml:space="preserve"> (WEAG</w:t>
      </w:r>
      <w:r w:rsidR="00BC3F9A">
        <w:t>, 2019, pp. 5-6).</w:t>
      </w:r>
      <w:r w:rsidR="00B16B6C" w:rsidRPr="00CA2018">
        <w:t xml:space="preserve"> </w:t>
      </w:r>
      <w:r w:rsidR="00573689" w:rsidRPr="00CA2018">
        <w:t>They</w:t>
      </w:r>
      <w:r w:rsidR="00EA0795" w:rsidRPr="00CA2018">
        <w:t xml:space="preserve"> explained</w:t>
      </w:r>
      <w:r w:rsidR="00573689" w:rsidRPr="00CA2018">
        <w:t xml:space="preserve"> that the “</w:t>
      </w:r>
      <w:r w:rsidR="00573689" w:rsidRPr="00CA2018">
        <w:rPr>
          <w:i/>
          <w:iCs/>
        </w:rPr>
        <w:t>income support system needs substantial reform to significantly improve its adequacy and design</w:t>
      </w:r>
      <w:r w:rsidR="00573689" w:rsidRPr="00CA2018">
        <w:t>”</w:t>
      </w:r>
      <w:r w:rsidR="00BC3F9A">
        <w:t xml:space="preserve"> (p. 8)</w:t>
      </w:r>
      <w:r w:rsidR="00573689" w:rsidRPr="00CA2018">
        <w:t xml:space="preserve"> and </w:t>
      </w:r>
      <w:r w:rsidR="00EB0B66" w:rsidRPr="00CA2018">
        <w:t>that the “</w:t>
      </w:r>
      <w:r w:rsidR="00EB0B66" w:rsidRPr="00CA2018">
        <w:rPr>
          <w:i/>
          <w:iCs/>
        </w:rPr>
        <w:t>welfare system fails to deliver for Māori</w:t>
      </w:r>
      <w:r w:rsidR="00EB0B66" w:rsidRPr="00CA2018">
        <w:t>”</w:t>
      </w:r>
      <w:r w:rsidR="00BC3F9A">
        <w:t xml:space="preserve"> (pp. 11)</w:t>
      </w:r>
      <w:r w:rsidR="00EB0B66" w:rsidRPr="00CA2018">
        <w:t>.</w:t>
      </w:r>
      <w:r w:rsidR="00ED1496" w:rsidRPr="00CA2018">
        <w:t xml:space="preserve"> In order to inform the necessary system overhaul,</w:t>
      </w:r>
      <w:r w:rsidR="008C4805" w:rsidRPr="00CA2018">
        <w:t xml:space="preserve"> </w:t>
      </w:r>
      <w:r w:rsidR="006825B1" w:rsidRPr="00CA2018">
        <w:rPr>
          <w:i/>
          <w:iCs/>
        </w:rPr>
        <w:t>Whakamana Tāngata</w:t>
      </w:r>
      <w:r w:rsidR="008C4805" w:rsidRPr="00CA2018">
        <w:rPr>
          <w:i/>
          <w:iCs/>
        </w:rPr>
        <w:t xml:space="preserve"> </w:t>
      </w:r>
      <w:r w:rsidR="00ED1496" w:rsidRPr="00CA2018">
        <w:t>provided 42 key recommendations and 126 detailed recommendations to the Government</w:t>
      </w:r>
      <w:r w:rsidR="009A1242" w:rsidRPr="00CA2018">
        <w:t xml:space="preserve">. </w:t>
      </w:r>
    </w:p>
    <w:p w14:paraId="57AB57E0" w14:textId="41FC036A" w:rsidR="00CB55F0" w:rsidRPr="00CA2018" w:rsidRDefault="00B82FFA" w:rsidP="007963BB">
      <w:pPr>
        <w:spacing w:line="240" w:lineRule="auto"/>
      </w:pPr>
      <w:r w:rsidRPr="00CA2018">
        <w:t xml:space="preserve">Progress following the delivery of these recommendations </w:t>
      </w:r>
      <w:r w:rsidR="00EA1655">
        <w:t>has been</w:t>
      </w:r>
      <w:r w:rsidRPr="00CA2018">
        <w:t xml:space="preserve"> slow. </w:t>
      </w:r>
      <w:r w:rsidR="00D413A6" w:rsidRPr="00CA2018">
        <w:t xml:space="preserve">At the public launch </w:t>
      </w:r>
      <w:r w:rsidR="00CF1B17" w:rsidRPr="00CA2018">
        <w:t xml:space="preserve">of </w:t>
      </w:r>
      <w:r w:rsidR="006825B1" w:rsidRPr="00CA2018">
        <w:rPr>
          <w:i/>
          <w:iCs/>
        </w:rPr>
        <w:t>Whakamana Tāngata</w:t>
      </w:r>
      <w:r w:rsidR="00CF1B17" w:rsidRPr="00CA2018">
        <w:t>, the Minister of Social Development Carmel Sepuloni announce</w:t>
      </w:r>
      <w:r w:rsidR="00FB4450">
        <w:t xml:space="preserve">d implementation plans for only </w:t>
      </w:r>
      <w:r w:rsidR="00FB4450" w:rsidRPr="00CA2018">
        <w:t>three minor</w:t>
      </w:r>
      <w:r w:rsidR="00FB4450">
        <w:t xml:space="preserve"> changes</w:t>
      </w:r>
      <w:r w:rsidR="00CF1B17" w:rsidRPr="00CA2018">
        <w:t xml:space="preserve">, much to the disappointment of </w:t>
      </w:r>
      <w:r w:rsidR="007914B2" w:rsidRPr="00CA2018">
        <w:t>members of WEAG</w:t>
      </w:r>
      <w:r w:rsidR="00334481">
        <w:t xml:space="preserve"> (Innes Asher, personal communication, May 2019)</w:t>
      </w:r>
      <w:r w:rsidR="007914B2" w:rsidRPr="00CA2018">
        <w:t xml:space="preserve"> </w:t>
      </w:r>
      <w:r w:rsidR="00E641C6" w:rsidRPr="00CA2018">
        <w:t xml:space="preserve">and </w:t>
      </w:r>
      <w:r w:rsidR="00712415" w:rsidRPr="00CA2018">
        <w:t>advocates in the sector</w:t>
      </w:r>
      <w:r w:rsidR="00171CE1">
        <w:t xml:space="preserve"> (Coughlan, 2019)</w:t>
      </w:r>
      <w:r w:rsidR="00712415" w:rsidRPr="00CA2018">
        <w:t xml:space="preserve">. </w:t>
      </w:r>
      <w:r w:rsidR="00545312" w:rsidRPr="00CA2018">
        <w:t xml:space="preserve">Sixteen </w:t>
      </w:r>
      <w:r w:rsidR="00822590" w:rsidRPr="00CA2018">
        <w:t>months later, i</w:t>
      </w:r>
      <w:r w:rsidR="00712415" w:rsidRPr="00CA2018">
        <w:t>n the lead up to the 2020 election, the Prime Minister claimed that 22 recommendations had been implemented</w:t>
      </w:r>
      <w:r w:rsidR="00F14D7E">
        <w:t xml:space="preserve"> (2020 TVNZ Leaders Debate, 22 September)</w:t>
      </w:r>
      <w:r w:rsidR="00822590" w:rsidRPr="00CA2018">
        <w:t xml:space="preserve">. </w:t>
      </w:r>
      <w:r w:rsidR="00CB55F0" w:rsidRPr="00CA2018">
        <w:t xml:space="preserve">Concerned by what </w:t>
      </w:r>
      <w:r w:rsidR="001A5D2F">
        <w:t xml:space="preserve">appeared to be </w:t>
      </w:r>
      <w:r w:rsidR="00CB55F0" w:rsidRPr="00CA2018">
        <w:t xml:space="preserve">an overstatement of progress </w:t>
      </w:r>
      <w:r w:rsidR="00FB6951">
        <w:t xml:space="preserve">– that </w:t>
      </w:r>
      <w:r w:rsidR="001A5D2F">
        <w:t>was</w:t>
      </w:r>
      <w:r w:rsidR="00CB55F0" w:rsidRPr="00CA2018">
        <w:t xml:space="preserve"> at odds with the experiences that frontline service providers and people with lived experience</w:t>
      </w:r>
      <w:r w:rsidR="005566D4" w:rsidRPr="00CA2018">
        <w:t xml:space="preserve"> of the system</w:t>
      </w:r>
      <w:r w:rsidR="00CB55F0" w:rsidRPr="00CA2018">
        <w:t xml:space="preserve"> were reporting </w:t>
      </w:r>
      <w:r w:rsidR="00BA6BE9" w:rsidRPr="00CA2018">
        <w:t>–</w:t>
      </w:r>
      <w:r w:rsidR="00CB55F0" w:rsidRPr="00CA2018">
        <w:t xml:space="preserve"> </w:t>
      </w:r>
      <w:r w:rsidR="00405F40" w:rsidRPr="00CA2018">
        <w:t>CPAG</w:t>
      </w:r>
      <w:r w:rsidR="00BA6BE9" w:rsidRPr="00CA2018">
        <w:t xml:space="preserve"> initiated an independent analysis of the Government’s response to the recommendations of </w:t>
      </w:r>
      <w:r w:rsidR="007914B2" w:rsidRPr="00CA2018">
        <w:t>WEAG</w:t>
      </w:r>
      <w:r w:rsidR="00BA6BE9" w:rsidRPr="00CA2018">
        <w:t xml:space="preserve">. </w:t>
      </w:r>
    </w:p>
    <w:p w14:paraId="69717471" w14:textId="53960C98" w:rsidR="00055328" w:rsidRDefault="001A5D2F" w:rsidP="007963BB">
      <w:pPr>
        <w:spacing w:line="240" w:lineRule="auto"/>
      </w:pPr>
      <w:r>
        <w:t>In o</w:t>
      </w:r>
      <w:r w:rsidR="00F54BEF" w:rsidRPr="00CA2018">
        <w:t xml:space="preserve">ur inaugural </w:t>
      </w:r>
      <w:r w:rsidR="00FB6951">
        <w:t xml:space="preserve">November 2020 </w:t>
      </w:r>
      <w:r w:rsidR="00F54BEF" w:rsidRPr="00CA2018">
        <w:t xml:space="preserve">stocktake of progress on welfare reform, </w:t>
      </w:r>
      <w:hyperlink r:id="rId18" w:history="1">
        <w:r w:rsidR="003E646E" w:rsidRPr="00CA2018">
          <w:rPr>
            <w:rStyle w:val="Hyperlink"/>
            <w:i/>
            <w:iCs/>
          </w:rPr>
          <w:t>What happened to welfare overhaul?</w:t>
        </w:r>
      </w:hyperlink>
      <w:r>
        <w:t>, the</w:t>
      </w:r>
      <w:r w:rsidR="0066726A" w:rsidRPr="00CA2018">
        <w:t xml:space="preserve"> findings were stark</w:t>
      </w:r>
      <w:r>
        <w:t xml:space="preserve">, </w:t>
      </w:r>
      <w:r w:rsidR="0066726A" w:rsidRPr="00CA2018">
        <w:t xml:space="preserve">with no </w:t>
      </w:r>
      <w:r w:rsidR="00171CE1">
        <w:t xml:space="preserve">publicly available </w:t>
      </w:r>
      <w:r w:rsidR="0066726A" w:rsidRPr="00CA2018">
        <w:t>evidence of</w:t>
      </w:r>
      <w:r w:rsidR="007C2195" w:rsidRPr="00CA2018">
        <w:t xml:space="preserve"> </w:t>
      </w:r>
      <w:r w:rsidR="00AC32AC" w:rsidRPr="00CA2018">
        <w:t>any degree of</w:t>
      </w:r>
      <w:r w:rsidR="0066726A" w:rsidRPr="00CA2018">
        <w:t xml:space="preserve"> </w:t>
      </w:r>
      <w:r w:rsidR="00AC32AC" w:rsidRPr="00CA2018">
        <w:t>implementation</w:t>
      </w:r>
      <w:r w:rsidR="0066726A" w:rsidRPr="00CA2018">
        <w:t xml:space="preserve"> on over half of the 42 key recommendations.</w:t>
      </w:r>
      <w:r w:rsidR="00863AA8" w:rsidRPr="00CA2018">
        <w:t xml:space="preserve"> Of the 126 detailed recommendations, </w:t>
      </w:r>
      <w:r w:rsidR="00606949">
        <w:t xml:space="preserve">we found no evidence of </w:t>
      </w:r>
      <w:r w:rsidR="003F54DE">
        <w:t xml:space="preserve">implementation </w:t>
      </w:r>
      <w:r w:rsidR="00606949">
        <w:t>on</w:t>
      </w:r>
      <w:r w:rsidR="00863AA8" w:rsidRPr="00CA2018">
        <w:t xml:space="preserve"> </w:t>
      </w:r>
      <w:r w:rsidR="00606949">
        <w:t>106</w:t>
      </w:r>
      <w:r w:rsidR="00863AA8" w:rsidRPr="00CA2018">
        <w:t>.</w:t>
      </w:r>
      <w:r w:rsidR="0066726A" w:rsidRPr="00CA2018">
        <w:t xml:space="preserve"> </w:t>
      </w:r>
      <w:r w:rsidR="005A2414" w:rsidRPr="00CA2018">
        <w:t xml:space="preserve">We called on the Government to </w:t>
      </w:r>
      <w:r w:rsidR="00A76735" w:rsidRPr="00CA2018">
        <w:t xml:space="preserve">accelerate their programme of welfare reform, pointing out that children cannot wait; their minds, emotions and bodies are constantly developing, and are permanently affected by toxic stress and a lack of essentials. </w:t>
      </w:r>
      <w:r w:rsidR="002470B6" w:rsidRPr="00CA2018">
        <w:t>This report provides an update of that stocktake after a further year</w:t>
      </w:r>
      <w:r w:rsidR="00B20F90" w:rsidRPr="00CA2018">
        <w:t xml:space="preserve">, </w:t>
      </w:r>
      <w:r w:rsidR="00897231" w:rsidRPr="00CA2018">
        <w:t>examining whether the Government has indeed accelerated their welfare overhaul</w:t>
      </w:r>
      <w:r w:rsidR="00E02AA5" w:rsidRPr="00CA2018">
        <w:t xml:space="preserve"> since then.</w:t>
      </w:r>
    </w:p>
    <w:p w14:paraId="6C9BE195" w14:textId="77777777" w:rsidR="00525EBC" w:rsidRPr="00CA2018" w:rsidRDefault="00525EBC" w:rsidP="007963BB">
      <w:pPr>
        <w:pStyle w:val="Heading2"/>
        <w:spacing w:line="240" w:lineRule="auto"/>
      </w:pPr>
      <w:bookmarkStart w:id="15" w:name="_Toc89329997"/>
      <w:r w:rsidRPr="00CA2018">
        <w:t>Children, Covid-19 and welfare reform</w:t>
      </w:r>
      <w:bookmarkEnd w:id="15"/>
    </w:p>
    <w:p w14:paraId="332A0126" w14:textId="672BEF48" w:rsidR="00525EBC" w:rsidRPr="007C27BA" w:rsidRDefault="00525EBC" w:rsidP="007963BB">
      <w:pPr>
        <w:spacing w:before="120" w:after="80" w:line="240" w:lineRule="auto"/>
      </w:pPr>
      <w:r w:rsidRPr="003A57A2">
        <w:t>If welfare reform had happened on the timetable envisaged by WEAG, communities would have the financial resilience to be able to face the challenges of Covid-19 with more confidence.</w:t>
      </w:r>
      <w:r>
        <w:t xml:space="preserve"> As it is, the Government’s slow pace of reform is increasing Covid-19-related inequity and distress, and jeopardising public health measures.</w:t>
      </w:r>
      <w:r w:rsidRPr="003A57A2">
        <w:t xml:space="preserve">  </w:t>
      </w:r>
    </w:p>
    <w:p w14:paraId="6D7AD78F" w14:textId="77777777" w:rsidR="00525EBC" w:rsidRPr="00CA2018" w:rsidRDefault="00525EBC" w:rsidP="007963BB">
      <w:pPr>
        <w:pStyle w:val="Heading3"/>
        <w:spacing w:line="240" w:lineRule="auto"/>
      </w:pPr>
      <w:bookmarkStart w:id="16" w:name="_Toc89329998"/>
      <w:r w:rsidRPr="00CA2018">
        <w:t>More children now affected by welfare</w:t>
      </w:r>
      <w:bookmarkEnd w:id="16"/>
    </w:p>
    <w:p w14:paraId="1CAC711A" w14:textId="146D45F9" w:rsidR="00525EBC" w:rsidRPr="00CA2018" w:rsidRDefault="00525EBC" w:rsidP="007963BB">
      <w:pPr>
        <w:spacing w:line="240" w:lineRule="auto"/>
      </w:pPr>
      <w:r>
        <w:rPr>
          <w:noProof/>
          <w:lang w:eastAsia="en-NZ"/>
        </w:rPr>
        <mc:AlternateContent>
          <mc:Choice Requires="wps">
            <w:drawing>
              <wp:anchor distT="45720" distB="45720" distL="114300" distR="114300" simplePos="0" relativeHeight="251652096" behindDoc="0" locked="0" layoutInCell="1" allowOverlap="1" wp14:anchorId="62418425" wp14:editId="06777336">
                <wp:simplePos x="0" y="0"/>
                <wp:positionH relativeFrom="column">
                  <wp:posOffset>3394075</wp:posOffset>
                </wp:positionH>
                <wp:positionV relativeFrom="paragraph">
                  <wp:posOffset>179705</wp:posOffset>
                </wp:positionV>
                <wp:extent cx="2498725" cy="31445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3144520"/>
                        </a:xfrm>
                        <a:prstGeom prst="rect">
                          <a:avLst/>
                        </a:prstGeom>
                        <a:solidFill>
                          <a:srgbClr val="F0F4FA"/>
                        </a:solidFill>
                        <a:ln w="9525">
                          <a:noFill/>
                          <a:miter lim="800000"/>
                          <a:headEnd/>
                          <a:tailEnd/>
                        </a:ln>
                      </wps:spPr>
                      <wps:txbx>
                        <w:txbxContent>
                          <w:p w14:paraId="2A07983C" w14:textId="77777777" w:rsidR="00E84D61" w:rsidRPr="00D76E53" w:rsidRDefault="00E84D61" w:rsidP="00525EBC">
                            <w:pPr>
                              <w:rPr>
                                <w:i/>
                                <w:iCs/>
                              </w:rPr>
                            </w:pPr>
                            <w:r w:rsidRPr="00D76E53">
                              <w:rPr>
                                <w:i/>
                                <w:iCs/>
                              </w:rPr>
                              <w:t>“Our Prime Minister talks about a team of five million. The people on the benefit, the ones who are doing it the hardest, they’ve been part of that team, you know? They need to be acknowledged. And that for me, is about kotahitanga [unity, togetherness].  A liveable income for all of us, that’s the only way they can acknowledge the work that we have done.”</w:t>
                            </w:r>
                          </w:p>
                          <w:p w14:paraId="0068042D" w14:textId="77777777" w:rsidR="00E84D61" w:rsidRPr="00E02AA5" w:rsidRDefault="00E84D61" w:rsidP="00525EBC">
                            <w:pPr>
                              <w:rPr>
                                <w:lang w:val="en-US"/>
                              </w:rPr>
                            </w:pPr>
                            <w:r>
                              <w:t xml:space="preserve"> -  </w:t>
                            </w:r>
                            <w:r>
                              <w:rPr>
                                <w:lang w:val="en-US"/>
                              </w:rPr>
                              <w:t>M</w:t>
                            </w:r>
                            <w:r w:rsidRPr="00E02AA5">
                              <w:rPr>
                                <w:lang w:val="en-US"/>
                              </w:rPr>
                              <w:t xml:space="preserve">atua </w:t>
                            </w:r>
                            <w:hyperlink r:id="rId19" w:history="1">
                              <w:r w:rsidRPr="005566D4">
                                <w:rPr>
                                  <w:rStyle w:val="Hyperlink"/>
                                  <w:lang w:val="en-US"/>
                                </w:rPr>
                                <w:t>Fred Andrews</w:t>
                              </w:r>
                            </w:hyperlink>
                            <w:r w:rsidRPr="00E02AA5">
                              <w:rPr>
                                <w:lang w:val="en-US"/>
                              </w:rPr>
                              <w:t xml:space="preserve"> (Ngāti Mahuta, Ngāti Hine, Ngāti Rangimahora), welfare advocate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8425" id="_x0000_s1027" type="#_x0000_t202" style="position:absolute;margin-left:267.25pt;margin-top:14.15pt;width:196.75pt;height:247.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" fillcolor="#f0f4fa" stroked="f">
                <v:textbox>
                  <w:txbxContent>
                    <w:p w14:paraId="2A07983C" w14:textId="77777777" w:rsidR="00E84D61" w:rsidRPr="00D76E53" w:rsidRDefault="00E84D61" w:rsidP="00525EBC">
                      <w:pPr>
                        <w:rPr>
                          <w:i/>
                          <w:iCs/>
                        </w:rPr>
                      </w:pPr>
                      <w:r w:rsidRPr="00D76E53">
                        <w:rPr>
                          <w:i/>
                          <w:iCs/>
                        </w:rPr>
                        <w:t>“Our Prime Minister talks about a team of five million. The people on the benefit, the ones who are doing it the hardest, they’ve been part of that team, you know? They need to be acknowledged. And that for me, is about kotahitanga [unity, togetherness].  A liveable income for all of us, that’s the only way they can acknowledge the work that we have done.”</w:t>
                      </w:r>
                    </w:p>
                    <w:p w14:paraId="0068042D" w14:textId="77777777" w:rsidR="00E84D61" w:rsidRPr="00E02AA5" w:rsidRDefault="00E84D61" w:rsidP="00525EBC">
                      <w:pPr>
                        <w:rPr>
                          <w:lang w:val="en-US"/>
                        </w:rPr>
                      </w:pPr>
                      <w:r>
                        <w:t xml:space="preserve"> -  </w:t>
                      </w:r>
                      <w:r>
                        <w:rPr>
                          <w:lang w:val="en-US"/>
                        </w:rPr>
                        <w:t>M</w:t>
                      </w:r>
                      <w:r w:rsidRPr="00E02AA5">
                        <w:rPr>
                          <w:lang w:val="en-US"/>
                        </w:rPr>
                        <w:t xml:space="preserve">atua </w:t>
                      </w:r>
                      <w:hyperlink r:id="rId20" w:history="1">
                        <w:r w:rsidRPr="005566D4">
                          <w:rPr>
                            <w:rStyle w:val="Hyperlink"/>
                            <w:lang w:val="en-US"/>
                          </w:rPr>
                          <w:t>Fred Andrews</w:t>
                        </w:r>
                      </w:hyperlink>
                      <w:r w:rsidRPr="00E02AA5">
                        <w:rPr>
                          <w:lang w:val="en-US"/>
                        </w:rPr>
                        <w:t xml:space="preserve"> (Ngāti Mahuta, Ngāti Hine, Ngāti Rangimahora), welfare advocate</w:t>
                      </w:r>
                    </w:p>
                  </w:txbxContent>
                </v:textbox>
                <w10:wrap type="square"/>
              </v:shape>
            </w:pict>
          </mc:Fallback>
        </mc:AlternateContent>
      </w:r>
      <w:r w:rsidRPr="00CA2018">
        <w:t xml:space="preserve">At the time of writing, in November 2021, we are now over a year and a half into the Covid-19 pandemic and now have community spread of the delta variant. </w:t>
      </w:r>
      <w:r>
        <w:t>The</w:t>
      </w:r>
      <w:r w:rsidRPr="00CA2018">
        <w:t xml:space="preserve"> Auckland region has </w:t>
      </w:r>
      <w:r w:rsidR="00EC6A11">
        <w:t>spent over a quarter of the year in lockdown</w:t>
      </w:r>
      <w:r w:rsidRPr="00CA2018">
        <w:t xml:space="preserve">. As highlighted in CPAG’s July 2021 report </w:t>
      </w:r>
      <w:hyperlink r:id="rId21" w:history="1">
        <w:r w:rsidRPr="00CA2018">
          <w:rPr>
            <w:rStyle w:val="Hyperlink"/>
            <w:i/>
            <w:iCs/>
          </w:rPr>
          <w:t>The first year of Covid-19: Initial outcomes of our collective care for low-income children in Aotearoa New Zealand</w:t>
        </w:r>
      </w:hyperlink>
      <w:r w:rsidRPr="00CA2018">
        <w:t xml:space="preserve">, the negative effects of Covid-19 </w:t>
      </w:r>
      <w:r w:rsidR="008D7D57">
        <w:t>have been</w:t>
      </w:r>
      <w:r w:rsidRPr="00CA2018">
        <w:t xml:space="preserve"> most severe for low-income families, due to a lack of prioritising of low-income children in </w:t>
      </w:r>
      <w:r>
        <w:t>policies, including the slow pace of welfare reform</w:t>
      </w:r>
      <w:r w:rsidRPr="00CA2018">
        <w:t xml:space="preserve">.  </w:t>
      </w:r>
    </w:p>
    <w:p w14:paraId="1E7BB881" w14:textId="7A779417" w:rsidR="00525EBC" w:rsidRPr="00CA2018" w:rsidRDefault="00507FB9" w:rsidP="007963BB">
      <w:pPr>
        <w:spacing w:line="240" w:lineRule="auto"/>
      </w:pPr>
      <w:r>
        <w:t xml:space="preserve">There has been a significant increase in the number of children living in benefit-receiving households as a result of the Covid-19 pandemic. </w:t>
      </w:r>
      <w:r w:rsidR="00D07723">
        <w:t xml:space="preserve">In the two years to September 2021, the number of dependent children in such households increased by 15 percent </w:t>
      </w:r>
      <w:r w:rsidR="00525EBC" w:rsidRPr="00CA2018">
        <w:t>to over 208,000</w:t>
      </w:r>
      <w:r w:rsidR="002F6CFE">
        <w:t xml:space="preserve">, a figure which has </w:t>
      </w:r>
      <w:r w:rsidR="00D07723">
        <w:t xml:space="preserve">remained high since peaking </w:t>
      </w:r>
      <w:r w:rsidR="002F6CFE">
        <w:t>at 211,000 in December 2020 (MSD</w:t>
      </w:r>
      <w:r>
        <w:t>, 2021b).</w:t>
      </w:r>
      <w:r w:rsidR="00525EBC" w:rsidRPr="00CA2018">
        <w:t xml:space="preserve"> That an increased proportion of</w:t>
      </w:r>
      <w:r w:rsidR="00E025C2">
        <w:t xml:space="preserve"> </w:t>
      </w:r>
      <w:r w:rsidR="00525EBC" w:rsidRPr="00CA2018">
        <w:t>children</w:t>
      </w:r>
      <w:r w:rsidR="00E025C2">
        <w:t xml:space="preserve"> in Aotearoa</w:t>
      </w:r>
      <w:r w:rsidR="00525EBC" w:rsidRPr="00CA2018">
        <w:t xml:space="preserve"> are now living in households receiving main benefits</w:t>
      </w:r>
      <w:r w:rsidR="00525EBC">
        <w:t xml:space="preserve"> </w:t>
      </w:r>
      <w:r w:rsidR="00525EBC" w:rsidRPr="00CA2018">
        <w:t xml:space="preserve">adds greater urgency to WEAG’s </w:t>
      </w:r>
      <w:r w:rsidR="002F4E82">
        <w:t xml:space="preserve">(2019, p. 5) </w:t>
      </w:r>
      <w:r w:rsidR="00525EBC" w:rsidRPr="00CA2018">
        <w:t xml:space="preserve">call for </w:t>
      </w:r>
      <w:r w:rsidR="00525EBC" w:rsidRPr="00CA2018">
        <w:rPr>
          <w:i/>
          <w:iCs/>
        </w:rPr>
        <w:t>“fundamental change”</w:t>
      </w:r>
      <w:r w:rsidR="00525EBC" w:rsidRPr="00CA2018">
        <w:t>.</w:t>
      </w:r>
    </w:p>
    <w:p w14:paraId="0BA98B80" w14:textId="77777777" w:rsidR="00525EBC" w:rsidRPr="00664989" w:rsidRDefault="00525EBC" w:rsidP="007963BB">
      <w:pPr>
        <w:pStyle w:val="Heading3"/>
        <w:spacing w:line="240" w:lineRule="auto"/>
      </w:pPr>
      <w:bookmarkStart w:id="17" w:name="_Toc89329999"/>
      <w:r>
        <w:t>In</w:t>
      </w:r>
      <w:r w:rsidRPr="00CA2018">
        <w:t>itial Covid-19 welfare responses were mostly useful, but temporary</w:t>
      </w:r>
      <w:bookmarkEnd w:id="17"/>
    </w:p>
    <w:p w14:paraId="02595BE2" w14:textId="4E94CD63" w:rsidR="00525EBC" w:rsidRPr="00CA2018" w:rsidRDefault="00525EBC" w:rsidP="007963BB">
      <w:pPr>
        <w:spacing w:line="240" w:lineRule="auto"/>
      </w:pPr>
      <w:r w:rsidRPr="00CA2018">
        <w:t xml:space="preserve">We acknowledge the significant Government resources that the ongoing Covid-19 pandemic has absorbed, and the impact that this has had on capacity for other work programmes; however, Covid-19 and poverty are </w:t>
      </w:r>
      <w:r>
        <w:t>r</w:t>
      </w:r>
      <w:r w:rsidRPr="00CA2018">
        <w:t>elated crises. Indeed, the Covid-19 pandemic has exacerbated existing issues of wealth inequality, health and housing inequities, and food insecurity, and therefore a coherent response to the Covid-19 pandemic necessitates systemic change to address inequities. These inequities have fue</w:t>
      </w:r>
      <w:r>
        <w:t>l</w:t>
      </w:r>
      <w:r w:rsidRPr="00CA2018">
        <w:t>led the spread of Covid-19 delta variant in the community</w:t>
      </w:r>
      <w:r w:rsidR="00D8715E">
        <w:t xml:space="preserve"> (McClure, 2021)</w:t>
      </w:r>
      <w:r w:rsidRPr="00CA2018">
        <w:t>, and are likely to play a role in low vaccination rates among those in the most deprived areas</w:t>
      </w:r>
      <w:r w:rsidR="00F431B6">
        <w:t xml:space="preserve"> (Kerr, 2021). </w:t>
      </w:r>
    </w:p>
    <w:p w14:paraId="3926B149" w14:textId="22644214" w:rsidR="00525EBC" w:rsidRPr="00CA2018" w:rsidRDefault="00F431B6" w:rsidP="007963BB">
      <w:pPr>
        <w:spacing w:line="240" w:lineRule="auto"/>
      </w:pPr>
      <w:r>
        <w:t>Many</w:t>
      </w:r>
      <w:r w:rsidR="00525EBC" w:rsidRPr="00CA2018">
        <w:t xml:space="preserve"> of the Government’s initial welfare responses to the arrival of Covid-19 in 2020 </w:t>
      </w:r>
      <w:r w:rsidR="00525EBC">
        <w:t xml:space="preserve">were aligned to </w:t>
      </w:r>
      <w:r w:rsidR="00525EBC" w:rsidRPr="00CA2018">
        <w:t xml:space="preserve">WEAG recommendations </w:t>
      </w:r>
      <w:r w:rsidR="00525EBC">
        <w:t xml:space="preserve">and vision </w:t>
      </w:r>
      <w:r w:rsidR="00525EBC" w:rsidRPr="00CA2018">
        <w:t>to some extent, including the lifting of requirements for annual benefit reviews, reapplications and stand-down periods; making hardship assistance easier to access; increasing income support (albeit to levels which were still inadequate</w:t>
      </w:r>
      <w:r w:rsidR="00906380">
        <w:t>; see McAllister, 2020</w:t>
      </w:r>
      <w:r w:rsidR="00525EBC" w:rsidRPr="00CA2018">
        <w:t>)</w:t>
      </w:r>
      <w:r w:rsidR="00906380">
        <w:t>;</w:t>
      </w:r>
      <w:r w:rsidR="00525EBC" w:rsidRPr="00CA2018">
        <w:t xml:space="preserve"> and creating an income relief payment with a high level of individualisation. For a short time, the system operated on this higher trust model, which was closer to the WEAG vision, and research indicates the effect on people’s wellbeing and their ability to hope and plan </w:t>
      </w:r>
      <w:r w:rsidR="00525EBC">
        <w:t xml:space="preserve">for the future </w:t>
      </w:r>
      <w:r w:rsidR="00525EBC" w:rsidRPr="00CA2018">
        <w:t>was positive</w:t>
      </w:r>
      <w:r w:rsidR="00A22784">
        <w:t xml:space="preserve"> (Humpage &amp; Neuwelt-Kearns, 2020)</w:t>
      </w:r>
      <w:r w:rsidR="003F54DE">
        <w:t>; it was</w:t>
      </w:r>
      <w:r w:rsidR="00525EBC" w:rsidRPr="00525EBC">
        <w:rPr>
          <w:rStyle w:val="FootnoteReference"/>
        </w:rPr>
        <w:t xml:space="preserve"> </w:t>
      </w:r>
      <w:r w:rsidR="00525EBC" w:rsidRPr="00CA2018">
        <w:t xml:space="preserve">a small taste of the social transformation that true welfare reform could instigate. However, instead of making these responses permanent and universally available, which would have contributed to WEAG work programme progress, the Government put time limits on </w:t>
      </w:r>
      <w:r w:rsidR="00DD7A44">
        <w:t>many</w:t>
      </w:r>
      <w:r w:rsidR="00A72206">
        <w:t xml:space="preserve"> such</w:t>
      </w:r>
      <w:r w:rsidR="00525EBC" w:rsidRPr="00CA2018">
        <w:t xml:space="preserve"> changes, and/or tied them to arbitrary and discrim</w:t>
      </w:r>
      <w:r w:rsidR="00525EBC">
        <w:t>i</w:t>
      </w:r>
      <w:r w:rsidR="00525EBC" w:rsidRPr="00CA2018">
        <w:t>natory eligibility criteria (as was the case with the Covid</w:t>
      </w:r>
      <w:r w:rsidR="00525EBC">
        <w:t>-19 Income Relief Payment</w:t>
      </w:r>
      <w:r w:rsidR="000F66CA">
        <w:t>; see Cardwell, 2020</w:t>
      </w:r>
      <w:r w:rsidR="0055245B">
        <w:t>).</w:t>
      </w:r>
      <w:r w:rsidR="00525EBC" w:rsidRPr="00CA2018">
        <w:t xml:space="preserve"> </w:t>
      </w:r>
    </w:p>
    <w:p w14:paraId="413E4DFA" w14:textId="115AFA7C" w:rsidR="004058BF" w:rsidRPr="007105B1" w:rsidRDefault="00525EBC" w:rsidP="007963BB">
      <w:pPr>
        <w:spacing w:line="240" w:lineRule="auto"/>
      </w:pPr>
      <w:r>
        <w:t xml:space="preserve">There are other </w:t>
      </w:r>
      <w:r w:rsidRPr="00CA2018">
        <w:t>more recent signs that suggest the Government’s commitment to welfare reform is waning</w:t>
      </w:r>
      <w:r>
        <w:t>.</w:t>
      </w:r>
      <w:r w:rsidR="004058BF" w:rsidRPr="004058BF">
        <w:t xml:space="preserve"> </w:t>
      </w:r>
      <w:r w:rsidR="004058BF" w:rsidRPr="00BD699C">
        <w:t>Unlike in 2020, criteria to access hardship assistance</w:t>
      </w:r>
      <w:r w:rsidR="004058BF">
        <w:t xml:space="preserve"> has remained</w:t>
      </w:r>
      <w:r w:rsidR="004058BF" w:rsidRPr="00BD699C">
        <w:t xml:space="preserve"> tight</w:t>
      </w:r>
      <w:r w:rsidR="004058BF">
        <w:t xml:space="preserve"> through the 2021 extended Auckland lockdown,</w:t>
      </w:r>
      <w:r w:rsidR="004058BF" w:rsidRPr="00BD699C">
        <w:t xml:space="preserve"> and the Government acknowledges it is offering less</w:t>
      </w:r>
      <w:r w:rsidR="004F5F1A">
        <w:t xml:space="preserve"> direct </w:t>
      </w:r>
      <w:r w:rsidR="004058BF" w:rsidRPr="00BD699C">
        <w:t>lockdown-related support to low-income families in November 2021 than it did last year</w:t>
      </w:r>
      <w:r w:rsidR="00906380">
        <w:t xml:space="preserve"> (</w:t>
      </w:r>
      <w:r w:rsidR="00AF3A63">
        <w:t>Tinetti, 2021</w:t>
      </w:r>
      <w:r w:rsidR="00906380">
        <w:t>)</w:t>
      </w:r>
      <w:r w:rsidR="004058BF" w:rsidRPr="00BD699C">
        <w:t xml:space="preserve">. </w:t>
      </w:r>
      <w:r w:rsidR="004F5F1A">
        <w:t>Instead,</w:t>
      </w:r>
      <w:r w:rsidR="004058BF" w:rsidRPr="00CA2018">
        <w:t xml:space="preserve"> the Government has increased its reliance on emergency foodbanks rather than equipping families with the hardship income assistance they need (for</w:t>
      </w:r>
      <w:r w:rsidR="004058BF">
        <w:t xml:space="preserve"> instance,</w:t>
      </w:r>
      <w:r w:rsidR="00693E6B">
        <w:t xml:space="preserve"> for</w:t>
      </w:r>
      <w:r w:rsidR="004058BF" w:rsidRPr="00CA2018">
        <w:t xml:space="preserve"> rent, power</w:t>
      </w:r>
      <w:r w:rsidR="004058BF">
        <w:t>, fuel</w:t>
      </w:r>
      <w:r w:rsidR="004058BF" w:rsidRPr="00CA2018">
        <w:t xml:space="preserve"> and online education</w:t>
      </w:r>
      <w:r w:rsidR="003F54DE">
        <w:t xml:space="preserve"> and buying their own food</w:t>
      </w:r>
      <w:r w:rsidR="004058BF" w:rsidRPr="00CA2018">
        <w:t xml:space="preserve">). </w:t>
      </w:r>
      <w:r w:rsidRPr="00CA2018">
        <w:t xml:space="preserve">Offering low-choice food via volunteer organisations when direct income is required is not mana-enhancing, </w:t>
      </w:r>
      <w:r w:rsidR="002F2EED">
        <w:t>nor is it</w:t>
      </w:r>
      <w:r w:rsidRPr="00CA2018">
        <w:t xml:space="preserve"> enabling families to live with dignity</w:t>
      </w:r>
      <w:r w:rsidRPr="00CA2018">
        <w:rPr>
          <w:rStyle w:val="FootnoteReference"/>
        </w:rPr>
        <w:footnoteReference w:id="2"/>
      </w:r>
      <w:r w:rsidRPr="00CA2018">
        <w:t xml:space="preserve"> and as such, it is </w:t>
      </w:r>
      <w:r>
        <w:t>contrary to</w:t>
      </w:r>
      <w:r w:rsidRPr="00CA2018">
        <w:t xml:space="preserve"> WEAG</w:t>
      </w:r>
      <w:r>
        <w:t>’s</w:t>
      </w:r>
      <w:r w:rsidRPr="00CA2018">
        <w:t xml:space="preserve"> vision.</w:t>
      </w:r>
    </w:p>
    <w:p w14:paraId="22D11D53" w14:textId="6238C084" w:rsidR="00B565CA" w:rsidRDefault="00B565CA" w:rsidP="007963BB">
      <w:pPr>
        <w:pStyle w:val="Heading2"/>
        <w:spacing w:line="240" w:lineRule="auto"/>
      </w:pPr>
      <w:bookmarkStart w:id="18" w:name="_Toc89330000"/>
      <w:bookmarkStart w:id="19" w:name="_Hlk88057860"/>
      <w:r>
        <w:t>Key</w:t>
      </w:r>
      <w:r w:rsidR="003E1ACA">
        <w:t xml:space="preserve"> report methods and structure</w:t>
      </w:r>
      <w:bookmarkEnd w:id="18"/>
    </w:p>
    <w:p w14:paraId="4B5EB52B" w14:textId="77777777" w:rsidR="00B565CA" w:rsidRDefault="00B565CA" w:rsidP="007963BB">
      <w:pPr>
        <w:spacing w:line="240" w:lineRule="auto"/>
      </w:pPr>
      <w:r w:rsidRPr="00CA2018">
        <w:t xml:space="preserve">Our data sources for assessing the Government’s progress in implementing WEAG’s recommendations – as tabulated in Appendices 1 and 2 – include all publicly available evidence such as </w:t>
      </w:r>
      <w:r>
        <w:t>Cabinet</w:t>
      </w:r>
      <w:r w:rsidRPr="00CA2018">
        <w:t xml:space="preserve"> papers, media reports, press releases, and consultation with subject experts. Woven through this report are quotes from key informants, including people working in frontline organisations, as well as those with lived experience of the welfare system. In September and October 2021, we interviewed 12 people about key issues and priorities for them and/or the people they work with, with respect to welfare reform. </w:t>
      </w:r>
      <w:r>
        <w:t xml:space="preserve">Their expertise and experiences </w:t>
      </w:r>
      <w:r w:rsidRPr="00CA2018">
        <w:t xml:space="preserve">have informed our analysis, and in many cases form illustrative examples of the issues discussed. As well as these interviews, we have also sought peer review from a range of sector experts, many of whom are listed in our Acknowledgements. We are grateful for the input of these individuals, and all assessments and errors remain the responsibility of the authors. </w:t>
      </w:r>
    </w:p>
    <w:p w14:paraId="0DB0FC87" w14:textId="07DD9EC1" w:rsidR="00B565CA" w:rsidRPr="00CA2018" w:rsidRDefault="00B565CA" w:rsidP="007963BB">
      <w:pPr>
        <w:spacing w:line="240" w:lineRule="auto"/>
      </w:pPr>
      <w:r w:rsidRPr="00CA2018">
        <w:t>Th</w:t>
      </w:r>
      <w:r w:rsidR="00934FD5">
        <w:t>e</w:t>
      </w:r>
      <w:r w:rsidRPr="00CA2018">
        <w:t xml:space="preserve"> </w:t>
      </w:r>
      <w:r>
        <w:t xml:space="preserve">rest of this </w:t>
      </w:r>
      <w:r w:rsidRPr="00CA2018">
        <w:t xml:space="preserve">report is structured into </w:t>
      </w:r>
      <w:r>
        <w:t>four</w:t>
      </w:r>
      <w:r w:rsidRPr="00CA2018">
        <w:t xml:space="preserve"> key discussion sections</w:t>
      </w:r>
      <w:r w:rsidR="00140751">
        <w:t xml:space="preserve"> on areas</w:t>
      </w:r>
      <w:r w:rsidR="00A53840">
        <w:t xml:space="preserve"> especially pertinent to children and their families</w:t>
      </w:r>
      <w:r w:rsidR="00217E0A">
        <w:t xml:space="preserve">. These are followed by </w:t>
      </w:r>
      <w:r w:rsidRPr="00CA2018">
        <w:t xml:space="preserve">appendices </w:t>
      </w:r>
      <w:r w:rsidR="00FB6951">
        <w:t>presenting implementation progress for each of WEAG’s recommendations</w:t>
      </w:r>
      <w:r w:rsidR="00217E0A">
        <w:t xml:space="preserve">: Appendix A for key </w:t>
      </w:r>
      <w:r w:rsidR="00E025C2">
        <w:t xml:space="preserve">recommendations </w:t>
      </w:r>
      <w:r w:rsidR="00217E0A">
        <w:t>and Appendix B for detailed recommendations</w:t>
      </w:r>
      <w:r w:rsidR="00FB6951">
        <w:t xml:space="preserve">. </w:t>
      </w:r>
      <w:r w:rsidRPr="00CA2018">
        <w:t xml:space="preserve">The first discussion section examines </w:t>
      </w:r>
      <w:r w:rsidR="00FB6951">
        <w:t>progress on reforming the</w:t>
      </w:r>
      <w:r>
        <w:t xml:space="preserve"> </w:t>
      </w:r>
      <w:r w:rsidR="00E0000B">
        <w:rPr>
          <w:i/>
          <w:iCs/>
        </w:rPr>
        <w:t>P</w:t>
      </w:r>
      <w:r w:rsidRPr="001C5A41">
        <w:rPr>
          <w:i/>
          <w:iCs/>
        </w:rPr>
        <w:t xml:space="preserve">urpose and </w:t>
      </w:r>
      <w:r w:rsidR="0045252C">
        <w:rPr>
          <w:i/>
          <w:iCs/>
        </w:rPr>
        <w:t>p</w:t>
      </w:r>
      <w:r w:rsidRPr="001C5A41">
        <w:rPr>
          <w:i/>
          <w:iCs/>
        </w:rPr>
        <w:t xml:space="preserve">rinciples </w:t>
      </w:r>
      <w:r w:rsidRPr="0045252C">
        <w:rPr>
          <w:i/>
          <w:iCs/>
        </w:rPr>
        <w:t>of the Social Security Act</w:t>
      </w:r>
      <w:r>
        <w:t xml:space="preserve">, </w:t>
      </w:r>
      <w:r w:rsidR="00FB6951">
        <w:t xml:space="preserve">the foundations </w:t>
      </w:r>
      <w:r w:rsidR="00A53840">
        <w:t xml:space="preserve">of </w:t>
      </w:r>
      <w:r>
        <w:t>which underpin our welfare system. In</w:t>
      </w:r>
      <w:r w:rsidR="00FB6951">
        <w:t xml:space="preserve"> the second discussion section,</w:t>
      </w:r>
      <w:r>
        <w:t xml:space="preserve"> </w:t>
      </w:r>
      <w:r w:rsidR="00E0000B">
        <w:rPr>
          <w:i/>
        </w:rPr>
        <w:t>I</w:t>
      </w:r>
      <w:r w:rsidRPr="00CA2018">
        <w:rPr>
          <w:i/>
        </w:rPr>
        <w:t>ncome support</w:t>
      </w:r>
      <w:r>
        <w:rPr>
          <w:iCs/>
        </w:rPr>
        <w:t>, we</w:t>
      </w:r>
      <w:r w:rsidRPr="00CA2018">
        <w:t xml:space="preserve"> consider the </w:t>
      </w:r>
      <w:r w:rsidR="008555D8">
        <w:t xml:space="preserve">welcome </w:t>
      </w:r>
      <w:r w:rsidRPr="00CA2018">
        <w:t>Budget 2021 benefit increase</w:t>
      </w:r>
      <w:r w:rsidR="00FB6951">
        <w:t xml:space="preserve">s, </w:t>
      </w:r>
      <w:r w:rsidR="008555D8">
        <w:t>but explain how these</w:t>
      </w:r>
      <w:r w:rsidRPr="00CA2018">
        <w:t xml:space="preserve"> increases alone </w:t>
      </w:r>
      <w:r w:rsidRPr="00226016">
        <w:rPr>
          <w:sz w:val="22"/>
          <w:szCs w:val="20"/>
        </w:rPr>
        <w:t xml:space="preserve">will </w:t>
      </w:r>
      <w:r w:rsidR="008555D8">
        <w:rPr>
          <w:sz w:val="22"/>
          <w:szCs w:val="20"/>
        </w:rPr>
        <w:t>not</w:t>
      </w:r>
      <w:r w:rsidRPr="00CA2018">
        <w:t xml:space="preserve"> increas</w:t>
      </w:r>
      <w:r w:rsidR="008555D8">
        <w:t>e</w:t>
      </w:r>
      <w:r w:rsidRPr="00CA2018">
        <w:t xml:space="preserve"> family incomes</w:t>
      </w:r>
      <w:r w:rsidR="008555D8">
        <w:t xml:space="preserve"> </w:t>
      </w:r>
      <w:r w:rsidRPr="00CA2018">
        <w:t>to the level recommended by WEAG</w:t>
      </w:r>
      <w:r w:rsidR="008555D8">
        <w:t xml:space="preserve"> – Working for Families (WFF) tax credits are</w:t>
      </w:r>
      <w:r w:rsidR="000009A5">
        <w:t xml:space="preserve"> also</w:t>
      </w:r>
      <w:r w:rsidR="008555D8">
        <w:t xml:space="preserve"> essential.</w:t>
      </w:r>
      <w:r w:rsidRPr="00CA2018">
        <w:t xml:space="preserve"> </w:t>
      </w:r>
    </w:p>
    <w:p w14:paraId="126F6815" w14:textId="610ACA71" w:rsidR="00B565CA" w:rsidRPr="00CA2018" w:rsidRDefault="00B565CA" w:rsidP="007963BB">
      <w:pPr>
        <w:spacing w:line="240" w:lineRule="auto"/>
      </w:pPr>
      <w:r w:rsidRPr="00CA2018">
        <w:t xml:space="preserve">The </w:t>
      </w:r>
      <w:r>
        <w:t xml:space="preserve">third </w:t>
      </w:r>
      <w:r w:rsidRPr="00CA2018">
        <w:t xml:space="preserve">section on </w:t>
      </w:r>
      <w:r w:rsidRPr="00CA2018">
        <w:rPr>
          <w:i/>
        </w:rPr>
        <w:t xml:space="preserve">Housing </w:t>
      </w:r>
      <w:r w:rsidR="0094600B">
        <w:rPr>
          <w:iCs/>
        </w:rPr>
        <w:t xml:space="preserve">assesses the Government’s progress on addressing the housing recommendations outlined by WEAG, including issues of </w:t>
      </w:r>
      <w:r w:rsidRPr="00CA2018">
        <w:t xml:space="preserve">rent affordability, the escalating high demand for social housing and </w:t>
      </w:r>
      <w:r w:rsidR="0094600B">
        <w:t>the construction of</w:t>
      </w:r>
      <w:r w:rsidRPr="00CA2018">
        <w:t xml:space="preserve"> houses on the industrial scale needed.</w:t>
      </w:r>
      <w:r w:rsidR="0094600B">
        <w:t xml:space="preserve"> </w:t>
      </w:r>
      <w:r w:rsidRPr="00CA2018">
        <w:t xml:space="preserve">The </w:t>
      </w:r>
      <w:r>
        <w:t xml:space="preserve">fourth </w:t>
      </w:r>
      <w:r w:rsidRPr="00CA2018">
        <w:t xml:space="preserve">section, </w:t>
      </w:r>
      <w:r w:rsidRPr="00CA2018">
        <w:rPr>
          <w:i/>
          <w:iCs/>
        </w:rPr>
        <w:t>The wider welfare system: progress and priorities</w:t>
      </w:r>
      <w:r w:rsidRPr="00CA2018">
        <w:t xml:space="preserve">, considers progress in </w:t>
      </w:r>
      <w:r w:rsidR="00A72206">
        <w:t xml:space="preserve">two other key priority areas – supports </w:t>
      </w:r>
      <w:r w:rsidRPr="00CA2018">
        <w:t xml:space="preserve">for disabled </w:t>
      </w:r>
      <w:r w:rsidR="0094600B">
        <w:t>people,</w:t>
      </w:r>
      <w:r w:rsidRPr="00CA2018">
        <w:t xml:space="preserve"> </w:t>
      </w:r>
      <w:r w:rsidR="00A72206">
        <w:t xml:space="preserve">and </w:t>
      </w:r>
      <w:r w:rsidRPr="00CA2018">
        <w:t xml:space="preserve">relationship settings. Across </w:t>
      </w:r>
      <w:r w:rsidR="0094600B">
        <w:t>these four sections</w:t>
      </w:r>
      <w:r w:rsidRPr="00CA2018">
        <w:t xml:space="preserve">, we highlight how transformational change is yet to be seen, with small progress in some areas, and apparent regression in others. </w:t>
      </w:r>
    </w:p>
    <w:p w14:paraId="2226D0E4" w14:textId="4CC5D955" w:rsidR="001C5A41" w:rsidRDefault="001C5A41" w:rsidP="007E5ED7">
      <w:pPr>
        <w:pStyle w:val="Heading1"/>
        <w:numPr>
          <w:ilvl w:val="0"/>
          <w:numId w:val="1"/>
        </w:numPr>
        <w:spacing w:line="240" w:lineRule="auto"/>
        <w:ind w:left="567" w:hanging="567"/>
      </w:pPr>
      <w:bookmarkStart w:id="20" w:name="progress"/>
      <w:bookmarkStart w:id="21" w:name="_Toc89330001"/>
      <w:bookmarkEnd w:id="19"/>
      <w:bookmarkEnd w:id="20"/>
      <w:r w:rsidRPr="005A5B30">
        <w:t>The principles</w:t>
      </w:r>
      <w:r w:rsidR="00140751">
        <w:t xml:space="preserve"> and purpose of the Social Security Act</w:t>
      </w:r>
      <w:bookmarkEnd w:id="21"/>
    </w:p>
    <w:p w14:paraId="3353016F" w14:textId="270DC66A" w:rsidR="00513368" w:rsidRPr="00F1420B" w:rsidRDefault="001C5A41" w:rsidP="007963BB">
      <w:pPr>
        <w:spacing w:line="240" w:lineRule="auto"/>
        <w:rPr>
          <w:rFonts w:ascii="Calibri" w:hAnsi="Calibri" w:cs="Calibri"/>
        </w:rPr>
      </w:pPr>
      <w:r w:rsidRPr="00CA2018">
        <w:t xml:space="preserve">It was </w:t>
      </w:r>
      <w:r w:rsidRPr="00CA2018">
        <w:rPr>
          <w:i/>
          <w:iCs/>
        </w:rPr>
        <w:t>“fundamental change”</w:t>
      </w:r>
      <w:r w:rsidRPr="00CA2018">
        <w:t xml:space="preserve"> that WEAG called for after their extensive consultation with welfare recipients, MSD staff and other stakeholders. </w:t>
      </w:r>
      <w:r w:rsidR="0002521D">
        <w:rPr>
          <w:rFonts w:ascii="Calibri" w:hAnsi="Calibri" w:cs="Calibri"/>
        </w:rPr>
        <w:t>Their first</w:t>
      </w:r>
      <w:r w:rsidRPr="00CA2018">
        <w:rPr>
          <w:rFonts w:ascii="Calibri" w:hAnsi="Calibri" w:cs="Calibri"/>
        </w:rPr>
        <w:t xml:space="preserve"> two key recommendations proposed reform to the purpose and principles of the welfare system, including amending the Social Security Act. These recommendations sought to redress</w:t>
      </w:r>
      <w:r w:rsidR="00026CD2">
        <w:rPr>
          <w:rFonts w:ascii="Calibri" w:hAnsi="Calibri" w:cs="Calibri"/>
        </w:rPr>
        <w:t xml:space="preserve"> the existing</w:t>
      </w:r>
      <w:r w:rsidRPr="00CA2018">
        <w:rPr>
          <w:rFonts w:ascii="Calibri" w:hAnsi="Calibri" w:cs="Calibri"/>
        </w:rPr>
        <w:t xml:space="preserve"> heavy emphasis on the welfare system’s role in encouraging paid work, an emphasis which operated </w:t>
      </w:r>
      <w:r w:rsidRPr="00CA2018">
        <w:rPr>
          <w:rFonts w:ascii="Calibri" w:hAnsi="Calibri" w:cs="Calibri"/>
          <w:i/>
          <w:iCs/>
        </w:rPr>
        <w:t xml:space="preserve">“to the exclusion of the </w:t>
      </w:r>
      <w:r w:rsidRPr="005A5B30">
        <w:rPr>
          <w:rFonts w:ascii="Calibri" w:hAnsi="Calibri" w:cs="Calibri"/>
          <w:i/>
          <w:iCs/>
          <w:szCs w:val="24"/>
        </w:rPr>
        <w:t xml:space="preserve">system’s </w:t>
      </w:r>
      <w:r w:rsidRPr="0002521D">
        <w:rPr>
          <w:rFonts w:ascii="Calibri" w:hAnsi="Calibri" w:cs="Calibri"/>
          <w:b/>
          <w:bCs/>
          <w:i/>
          <w:iCs/>
          <w:szCs w:val="24"/>
        </w:rPr>
        <w:t>core role</w:t>
      </w:r>
      <w:r w:rsidRPr="005A5B30">
        <w:rPr>
          <w:rFonts w:ascii="Calibri" w:hAnsi="Calibri" w:cs="Calibri"/>
          <w:i/>
          <w:iCs/>
          <w:szCs w:val="24"/>
        </w:rPr>
        <w:t xml:space="preserve"> of ensuring adequate incomes</w:t>
      </w:r>
      <w:r w:rsidRPr="005A5B30">
        <w:rPr>
          <w:rFonts w:ascii="Calibri" w:hAnsi="Calibri" w:cs="Calibri"/>
          <w:szCs w:val="24"/>
        </w:rPr>
        <w:t>”</w:t>
      </w:r>
      <w:r w:rsidR="0002521D">
        <w:rPr>
          <w:rFonts w:ascii="Calibri" w:hAnsi="Calibri" w:cs="Calibri"/>
          <w:szCs w:val="24"/>
        </w:rPr>
        <w:t xml:space="preserve"> (emphasis added; WEAG, 2019, p. 65).</w:t>
      </w:r>
      <w:r w:rsidRPr="005A5B30">
        <w:rPr>
          <w:rFonts w:ascii="Calibri" w:hAnsi="Calibri" w:cs="Calibri"/>
          <w:szCs w:val="24"/>
        </w:rPr>
        <w:t xml:space="preserve"> </w:t>
      </w:r>
    </w:p>
    <w:p w14:paraId="490E3EE3" w14:textId="532AD2A5" w:rsidR="00AB2990" w:rsidRDefault="001C5A41" w:rsidP="007963BB">
      <w:pPr>
        <w:spacing w:line="240" w:lineRule="auto"/>
        <w:rPr>
          <w:rFonts w:ascii="Calibri" w:hAnsi="Calibri" w:cs="Calibri"/>
          <w:szCs w:val="24"/>
        </w:rPr>
      </w:pPr>
      <w:r w:rsidRPr="005A5B30">
        <w:rPr>
          <w:rFonts w:ascii="Calibri" w:hAnsi="Calibri" w:cs="Calibri"/>
        </w:rPr>
        <w:t xml:space="preserve">WEAG </w:t>
      </w:r>
      <w:r w:rsidR="00F70759">
        <w:rPr>
          <w:rFonts w:ascii="Calibri" w:hAnsi="Calibri" w:cs="Calibri"/>
        </w:rPr>
        <w:t xml:space="preserve">also </w:t>
      </w:r>
      <w:r w:rsidRPr="005A5B30">
        <w:rPr>
          <w:rFonts w:ascii="Calibri" w:hAnsi="Calibri" w:cs="Calibri"/>
        </w:rPr>
        <w:t>reported that the welfare system fails to deliver for Māori who</w:t>
      </w:r>
      <w:r w:rsidRPr="005A5B30">
        <w:rPr>
          <w:rFonts w:ascii="Calibri" w:hAnsi="Calibri" w:cs="Calibri"/>
          <w:color w:val="000000"/>
        </w:rPr>
        <w:t xml:space="preserve"> </w:t>
      </w:r>
      <w:r>
        <w:rPr>
          <w:rFonts w:ascii="Calibri" w:hAnsi="Calibri" w:cs="Calibri"/>
          <w:color w:val="000000"/>
        </w:rPr>
        <w:t xml:space="preserve">– due to factors such as discrimination, racism, and ongoing colonisation – </w:t>
      </w:r>
      <w:r w:rsidRPr="005A5B30">
        <w:rPr>
          <w:rFonts w:ascii="Calibri" w:hAnsi="Calibri" w:cs="Calibri"/>
          <w:color w:val="000000"/>
        </w:rPr>
        <w:t>make up 36% of all working-age people receiving a benefit as the primary recipient</w:t>
      </w:r>
      <w:r w:rsidR="000B7E92">
        <w:rPr>
          <w:rFonts w:ascii="Calibri" w:hAnsi="Calibri" w:cs="Calibri"/>
          <w:color w:val="000000"/>
        </w:rPr>
        <w:t xml:space="preserve"> (MSD, 2021b)</w:t>
      </w:r>
      <w:r w:rsidRPr="005A5B30">
        <w:rPr>
          <w:rFonts w:ascii="Calibri" w:hAnsi="Calibri" w:cs="Calibri"/>
          <w:color w:val="000000"/>
        </w:rPr>
        <w:t xml:space="preserve">. </w:t>
      </w:r>
      <w:r w:rsidR="00162354">
        <w:rPr>
          <w:rFonts w:ascii="Calibri" w:hAnsi="Calibri" w:cs="Calibri"/>
          <w:color w:val="000000"/>
        </w:rPr>
        <w:t>Indeed t</w:t>
      </w:r>
      <w:r>
        <w:rPr>
          <w:rFonts w:ascii="Calibri" w:hAnsi="Calibri" w:cs="Calibri"/>
          <w:color w:val="000000"/>
        </w:rPr>
        <w:t xml:space="preserve">he </w:t>
      </w:r>
      <w:r w:rsidRPr="005A5B30">
        <w:rPr>
          <w:rFonts w:ascii="Calibri" w:hAnsi="Calibri" w:cs="Calibri"/>
          <w:color w:val="000000"/>
        </w:rPr>
        <w:t xml:space="preserve">failures of the welfare system disproportionately affect </w:t>
      </w:r>
      <w:r w:rsidR="00D540A7" w:rsidRPr="005A5B30">
        <w:rPr>
          <w:rFonts w:ascii="Calibri" w:hAnsi="Calibri" w:cs="Calibri"/>
          <w:color w:val="000000"/>
        </w:rPr>
        <w:t>Māori</w:t>
      </w:r>
      <w:r w:rsidR="00D540A7">
        <w:rPr>
          <w:rFonts w:ascii="Calibri" w:hAnsi="Calibri" w:cs="Calibri"/>
          <w:color w:val="000000"/>
        </w:rPr>
        <w:t>, and</w:t>
      </w:r>
      <w:r>
        <w:rPr>
          <w:rFonts w:ascii="Calibri" w:hAnsi="Calibri" w:cs="Calibri"/>
          <w:color w:val="000000"/>
        </w:rPr>
        <w:t xml:space="preserve"> are</w:t>
      </w:r>
      <w:r w:rsidR="00162354">
        <w:rPr>
          <w:rFonts w:ascii="Calibri" w:hAnsi="Calibri" w:cs="Calibri"/>
          <w:color w:val="000000"/>
        </w:rPr>
        <w:t xml:space="preserve"> currently</w:t>
      </w:r>
      <w:r>
        <w:rPr>
          <w:rFonts w:ascii="Calibri" w:hAnsi="Calibri" w:cs="Calibri"/>
          <w:color w:val="000000"/>
        </w:rPr>
        <w:t xml:space="preserve"> subject to a Waitangi Tribunal claim</w:t>
      </w:r>
      <w:r w:rsidR="000B7E92">
        <w:rPr>
          <w:rFonts w:ascii="Calibri" w:hAnsi="Calibri" w:cs="Calibri"/>
          <w:color w:val="000000"/>
        </w:rPr>
        <w:t xml:space="preserve"> (Te Wake, 2021)</w:t>
      </w:r>
      <w:r w:rsidRPr="005A5B30">
        <w:rPr>
          <w:rFonts w:ascii="Calibri" w:hAnsi="Calibri" w:cs="Calibri"/>
          <w:color w:val="000000"/>
        </w:rPr>
        <w:t xml:space="preserve">. </w:t>
      </w:r>
      <w:r w:rsidR="00F70759">
        <w:rPr>
          <w:rFonts w:ascii="Calibri" w:hAnsi="Calibri" w:cs="Calibri"/>
          <w:szCs w:val="24"/>
        </w:rPr>
        <w:t xml:space="preserve">In order to uphold te Tiriti o Waitangi, </w:t>
      </w:r>
      <w:r w:rsidR="00F70759" w:rsidRPr="005A5B30">
        <w:rPr>
          <w:rFonts w:ascii="Calibri" w:hAnsi="Calibri" w:cs="Calibri"/>
          <w:szCs w:val="24"/>
        </w:rPr>
        <w:t>WEAG recommended that these new principles underpinning the system include kaupapa Māori values of manaakitanga, ōhanga, whanaungatanga, kotahitanga, takatūtanga and kaitiakitanga.</w:t>
      </w:r>
      <w:r w:rsidR="00F70759">
        <w:rPr>
          <w:rStyle w:val="FootnoteReference"/>
          <w:rFonts w:ascii="Calibri" w:hAnsi="Calibri" w:cs="Calibri"/>
          <w:szCs w:val="24"/>
        </w:rPr>
        <w:footnoteReference w:id="3"/>
      </w:r>
      <w:r w:rsidR="00F70759" w:rsidRPr="005A5B30">
        <w:rPr>
          <w:rFonts w:ascii="Calibri" w:hAnsi="Calibri" w:cs="Calibri"/>
          <w:szCs w:val="24"/>
        </w:rPr>
        <w:t xml:space="preserve"> </w:t>
      </w:r>
    </w:p>
    <w:p w14:paraId="7001D87E" w14:textId="77F546F0" w:rsidR="001C5A41" w:rsidRPr="00453D84" w:rsidRDefault="00D45ABA" w:rsidP="007963BB">
      <w:pPr>
        <w:spacing w:line="240" w:lineRule="auto"/>
      </w:pPr>
      <w:r>
        <w:t>At this stage, such</w:t>
      </w:r>
      <w:r w:rsidR="00AB2990">
        <w:t xml:space="preserve"> values</w:t>
      </w:r>
      <w:r w:rsidR="00F37099">
        <w:t xml:space="preserve"> seem to remain potential, rather than operationalised</w:t>
      </w:r>
      <w:r w:rsidR="00BF4686">
        <w:t xml:space="preserve"> </w:t>
      </w:r>
      <w:r w:rsidR="00F37099">
        <w:t xml:space="preserve">principles of the system. </w:t>
      </w:r>
      <w:r w:rsidR="00000738">
        <w:t>Without a re</w:t>
      </w:r>
      <w:r w:rsidR="00F630EF">
        <w:t>write of the purpose and principles</w:t>
      </w:r>
      <w:r w:rsidR="00000738">
        <w:t xml:space="preserve"> of the Social Security Act to guide the design and operation of the system, we are unlikely to see radically improved operational performance from Work and Income, as the emphasis ultimately remains on encouraging paid work at all costs, rather than ensuring income adequacy and appropriate support. </w:t>
      </w:r>
      <w:r w:rsidR="001C5A41" w:rsidRPr="005A5B30">
        <w:rPr>
          <w:szCs w:val="24"/>
        </w:rPr>
        <w:t>In</w:t>
      </w:r>
      <w:r w:rsidR="001C5A41" w:rsidRPr="00CA2018">
        <w:t xml:space="preserve"> a November 2019 </w:t>
      </w:r>
      <w:r w:rsidR="00FA45F3">
        <w:t>Cabinet</w:t>
      </w:r>
      <w:r w:rsidR="001C5A41" w:rsidRPr="00CA2018">
        <w:t xml:space="preserve"> paper, Minister Sepuloni indicated </w:t>
      </w:r>
      <w:r w:rsidR="006914BA">
        <w:t>an</w:t>
      </w:r>
      <w:r w:rsidR="001C5A41">
        <w:t xml:space="preserve"> assumption that </w:t>
      </w:r>
      <w:r w:rsidR="001C5A41" w:rsidRPr="00CA2018">
        <w:t xml:space="preserve">legislative changes to the </w:t>
      </w:r>
      <w:r w:rsidR="006914BA">
        <w:t xml:space="preserve">Social Security </w:t>
      </w:r>
      <w:r w:rsidR="001C5A41" w:rsidRPr="00CA2018">
        <w:t xml:space="preserve">Act would have limited effect on its daily administration, </w:t>
      </w:r>
      <w:r w:rsidR="001C5A41">
        <w:t xml:space="preserve">and so </w:t>
      </w:r>
      <w:r w:rsidR="001C5A41" w:rsidRPr="00CA2018">
        <w:t>the approach being taken is one that engages in operational changes first to ensure revised purposes and principles are given meaningful effect</w:t>
      </w:r>
      <w:r w:rsidR="00C470BE">
        <w:t xml:space="preserve"> (</w:t>
      </w:r>
      <w:r w:rsidR="00F35D44">
        <w:t>MSD, 2019A</w:t>
      </w:r>
      <w:r w:rsidR="00C470BE">
        <w:t>, p. 19)</w:t>
      </w:r>
      <w:r w:rsidR="001C5A41" w:rsidRPr="00CA2018">
        <w:t xml:space="preserve">. However, our engagement with those working in the sector, as well as those receiving welfare support themselves, suggests that the approach of the system has not fundamentally changed </w:t>
      </w:r>
      <w:r w:rsidR="00F6099F">
        <w:t xml:space="preserve">since </w:t>
      </w:r>
      <w:r w:rsidR="001C5A41" w:rsidRPr="00CA2018">
        <w:t>WEAG</w:t>
      </w:r>
      <w:r w:rsidR="00F6099F">
        <w:t xml:space="preserve"> produced its</w:t>
      </w:r>
      <w:r w:rsidR="001C5A41" w:rsidRPr="00CA2018">
        <w:t xml:space="preserve"> report.</w:t>
      </w:r>
      <w:r w:rsidR="00453D84">
        <w:t xml:space="preserve"> </w:t>
      </w:r>
    </w:p>
    <w:p w14:paraId="11DB5363" w14:textId="2E0C1DD0" w:rsidR="001C5A41" w:rsidRPr="00CA2018" w:rsidRDefault="005A2049" w:rsidP="007963BB">
      <w:pPr>
        <w:spacing w:line="240" w:lineRule="auto"/>
      </w:pPr>
      <w:r>
        <w:t>To take one of the</w:t>
      </w:r>
      <w:r w:rsidR="0007742E">
        <w:t xml:space="preserve"> WEAG’s recommended</w:t>
      </w:r>
      <w:r>
        <w:t xml:space="preserve"> principles as an example, w</w:t>
      </w:r>
      <w:r w:rsidR="001C5A41" w:rsidRPr="00CA2018">
        <w:t xml:space="preserve">elfare advocate Matua Fred Andrews (Ngāti Mahuta, Ngāti Hine, Ngāti Rangimahora) explained to CPAG what the principle of whanaungatanga would look like in practice within the welfare system: </w:t>
      </w:r>
    </w:p>
    <w:p w14:paraId="261AA8F3" w14:textId="77777777" w:rsidR="001C5A41" w:rsidRPr="00CA2018" w:rsidRDefault="001C5A41" w:rsidP="007963BB">
      <w:pPr>
        <w:spacing w:line="240" w:lineRule="auto"/>
        <w:ind w:left="720"/>
      </w:pPr>
      <w:r w:rsidRPr="00CA2018">
        <w:rPr>
          <w:i/>
          <w:iCs/>
        </w:rPr>
        <w:t xml:space="preserve">“Whanaungatanga ... is about </w:t>
      </w:r>
      <w:r w:rsidRPr="00CA2018">
        <w:rPr>
          <w:b/>
          <w:bCs/>
          <w:i/>
          <w:iCs/>
        </w:rPr>
        <w:t xml:space="preserve">building safe relationships </w:t>
      </w:r>
      <w:r w:rsidRPr="00CA2018">
        <w:rPr>
          <w:i/>
          <w:iCs/>
        </w:rPr>
        <w:t xml:space="preserve">with the people you work with. Whanaungatanga would be the ideal model of practice for people within the social welfare system.” </w:t>
      </w:r>
      <w:r w:rsidRPr="00CA2018">
        <w:t>(emphasis added)</w:t>
      </w:r>
    </w:p>
    <w:p w14:paraId="67D03DA7" w14:textId="73E31DE4" w:rsidR="001C5A41" w:rsidRPr="00CA2018" w:rsidRDefault="00040965" w:rsidP="007963BB">
      <w:pPr>
        <w:spacing w:line="240" w:lineRule="auto"/>
      </w:pPr>
      <w:r>
        <w:t>Contrary to</w:t>
      </w:r>
      <w:r w:rsidR="00921E75">
        <w:t xml:space="preserve"> upholding</w:t>
      </w:r>
      <w:r>
        <w:t xml:space="preserve"> whanaungatanga, t</w:t>
      </w:r>
      <w:r w:rsidR="001C5A41" w:rsidRPr="00CA2018">
        <w:t>he experiences of welfare advocates and benefit recipients that we spoke to suggested a prevailing lack of trust and persistently poor relationships between Work and Income staff and clients.</w:t>
      </w:r>
      <w:r w:rsidR="004759BC">
        <w:t xml:space="preserve"> </w:t>
      </w:r>
      <w:r w:rsidR="001C5A41" w:rsidRPr="00CA2018">
        <w:t xml:space="preserve">As one former Sole Parent Support recipient explained: </w:t>
      </w:r>
    </w:p>
    <w:p w14:paraId="45DAC4D9" w14:textId="052BA91B" w:rsidR="00226CB6" w:rsidRPr="00226CB6" w:rsidRDefault="001C5A41" w:rsidP="007963BB">
      <w:pPr>
        <w:spacing w:line="240" w:lineRule="auto"/>
        <w:ind w:left="720"/>
      </w:pPr>
      <w:r w:rsidRPr="00CA2018">
        <w:rPr>
          <w:i/>
          <w:iCs/>
        </w:rPr>
        <w:t xml:space="preserve">“Before I came onto the benefit recently I was working full time and I lost my job due to Covid. When I jumped back on the benefit again I had a new case manager and I was hoping that having not </w:t>
      </w:r>
      <w:r w:rsidR="00A04A32" w:rsidRPr="00CA2018">
        <w:rPr>
          <w:i/>
          <w:iCs/>
        </w:rPr>
        <w:t>be</w:t>
      </w:r>
      <w:r w:rsidR="00A04A32">
        <w:rPr>
          <w:i/>
          <w:iCs/>
        </w:rPr>
        <w:t>en</w:t>
      </w:r>
      <w:r w:rsidR="00A04A32" w:rsidRPr="00CA2018">
        <w:rPr>
          <w:i/>
          <w:iCs/>
        </w:rPr>
        <w:t xml:space="preserve"> </w:t>
      </w:r>
      <w:r w:rsidRPr="00CA2018">
        <w:rPr>
          <w:i/>
          <w:iCs/>
        </w:rPr>
        <w:t xml:space="preserve">on the benefit for a year, hoping that the system would have changed somewhat, but no. … </w:t>
      </w:r>
      <w:r w:rsidRPr="00CA2018">
        <w:rPr>
          <w:b/>
          <w:bCs/>
          <w:i/>
          <w:iCs/>
        </w:rPr>
        <w:t>She spoke down to me like I was a criminal, interrogating me like I was a criminal, asking me for proof of everything. I was humiliated, absolutely embarrassed</w:t>
      </w:r>
      <w:r w:rsidRPr="00CA2018">
        <w:rPr>
          <w:i/>
          <w:iCs/>
        </w:rPr>
        <w:t xml:space="preserve">.” </w:t>
      </w:r>
      <w:r w:rsidRPr="00CA2018">
        <w:t>(emphasis added)</w:t>
      </w:r>
    </w:p>
    <w:p w14:paraId="5DDEA187" w14:textId="4332B941" w:rsidR="001C5A41" w:rsidRPr="00CA2018" w:rsidRDefault="001C5A41" w:rsidP="007963BB">
      <w:pPr>
        <w:spacing w:line="240" w:lineRule="auto"/>
      </w:pPr>
      <w:r w:rsidRPr="00CA2018">
        <w:t>While frontline MSD services have received greater funding for staffing, we found no systemic evidence that relationships of mutual trust and respect are being fostered between Work and Income staff</w:t>
      </w:r>
      <w:r w:rsidR="00D35295">
        <w:t xml:space="preserve"> and clients</w:t>
      </w:r>
      <w:r w:rsidRPr="00CA2018">
        <w:t xml:space="preserve">. It appears </w:t>
      </w:r>
      <w:r w:rsidR="0094284B">
        <w:t xml:space="preserve">that </w:t>
      </w:r>
      <w:r w:rsidRPr="00CA2018">
        <w:t>a largely punitive approach remains, rather than being “</w:t>
      </w:r>
      <w:r w:rsidRPr="00CA2018">
        <w:rPr>
          <w:i/>
          <w:iCs/>
        </w:rPr>
        <w:t>person-centred and wellbeing focussed</w:t>
      </w:r>
      <w:r w:rsidRPr="00CA2018">
        <w:t xml:space="preserve">” as WEAG recommended (key recommendation 2). As one current Sole Parent Support recipient explained: </w:t>
      </w:r>
    </w:p>
    <w:p w14:paraId="40E7B10D" w14:textId="77777777" w:rsidR="001C5A41" w:rsidRPr="00CA2018" w:rsidRDefault="001C5A41" w:rsidP="007963BB">
      <w:pPr>
        <w:spacing w:line="240" w:lineRule="auto"/>
        <w:ind w:left="720"/>
        <w:rPr>
          <w:i/>
          <w:iCs/>
        </w:rPr>
      </w:pPr>
      <w:r w:rsidRPr="00CA2018">
        <w:rPr>
          <w:i/>
          <w:iCs/>
        </w:rPr>
        <w:t xml:space="preserve">“A lot of the support provided is just directing you to go somewhere, they’re not supporting you. They’re just telling you this is it, do this, and if not, there’s consequences, like you get stood down, you lose a bit of your benefit.” </w:t>
      </w:r>
    </w:p>
    <w:p w14:paraId="138026FA" w14:textId="5160CCE0" w:rsidR="001C5A41" w:rsidRPr="00CA2018" w:rsidRDefault="001C5A41" w:rsidP="007963BB">
      <w:pPr>
        <w:spacing w:line="240" w:lineRule="auto"/>
      </w:pPr>
      <w:r w:rsidRPr="00CA2018">
        <w:t>We acknowledge that there have been some small but important wins in the last year</w:t>
      </w:r>
      <w:r w:rsidR="003E5C85">
        <w:t>, for instance the removal of the subsequent child policy</w:t>
      </w:r>
      <w:r w:rsidR="0055406F">
        <w:t xml:space="preserve"> (NZ Government, 2021g)</w:t>
      </w:r>
      <w:r w:rsidRPr="00CA2018">
        <w:t>. However, the essence of our welfare system – the wider culture based on conditionality and a lack of mutual trust – has not fundamentally changed, and many of MSD’s operational challenges appear to prevail. For instance, WEAG</w:t>
      </w:r>
      <w:r w:rsidR="0055406F">
        <w:t xml:space="preserve"> (2019, pp. 42)</w:t>
      </w:r>
      <w:r w:rsidRPr="00CA2018">
        <w:t xml:space="preserve"> described </w:t>
      </w:r>
      <w:r w:rsidRPr="00CA2018">
        <w:rPr>
          <w:i/>
          <w:iCs/>
        </w:rPr>
        <w:t>“a complex and bureaucratic system for both staff and recipients of support, which contributed to inconsistent service.</w:t>
      </w:r>
      <w:r w:rsidR="0055406F">
        <w:rPr>
          <w:i/>
          <w:iCs/>
        </w:rPr>
        <w:t>”</w:t>
      </w:r>
      <w:r w:rsidRPr="00CA2018">
        <w:t xml:space="preserve"> Today, much time and energy continues to be spent simply navigating the system, with many benefit recipients seeking out advocacy assistance for support in accessing basic entitlements. As Liz Davies of SociaLink Tauranga Moana, an umbrella organisation for social service providers in the area, describes:</w:t>
      </w:r>
      <w:r w:rsidR="00F65C0F">
        <w:t xml:space="preserve"> </w:t>
      </w:r>
    </w:p>
    <w:p w14:paraId="35F3F95E" w14:textId="1D665F95" w:rsidR="001C5A41" w:rsidRPr="00CA2018" w:rsidRDefault="001C5A41" w:rsidP="007963BB">
      <w:pPr>
        <w:spacing w:line="240" w:lineRule="auto"/>
        <w:ind w:left="720"/>
      </w:pPr>
      <w:r w:rsidRPr="00CA2018">
        <w:rPr>
          <w:i/>
          <w:iCs/>
        </w:rPr>
        <w:t xml:space="preserve">“The fact that social service providers have to employ specific people to engage with WINZ, suggests </w:t>
      </w:r>
      <w:r w:rsidRPr="00CA2018">
        <w:rPr>
          <w:b/>
          <w:bCs/>
          <w:i/>
          <w:iCs/>
        </w:rPr>
        <w:t>the system is not as good as it could be</w:t>
      </w:r>
      <w:r w:rsidRPr="00CA2018">
        <w:rPr>
          <w:i/>
          <w:iCs/>
        </w:rPr>
        <w:t xml:space="preserve">. One of the providers said that in lockdown [Level 4 August 2021] they managed to get some funding for a social worker whose entire job is to help people advocate at WINZ. That means </w:t>
      </w:r>
      <w:r w:rsidRPr="00CA2018">
        <w:rPr>
          <w:b/>
          <w:bCs/>
          <w:i/>
          <w:iCs/>
        </w:rPr>
        <w:t>a lot of time and money is being spent on helping people get the benefit, rather than dealing with all the other stuff</w:t>
      </w:r>
      <w:r w:rsidRPr="00CA2018">
        <w:rPr>
          <w:i/>
          <w:iCs/>
        </w:rPr>
        <w:t>.”</w:t>
      </w:r>
      <w:r w:rsidRPr="00CA2018">
        <w:t xml:space="preserve"> (emphasis added) </w:t>
      </w:r>
    </w:p>
    <w:p w14:paraId="6BB24FB5" w14:textId="7D97C525" w:rsidR="001C5A41" w:rsidRDefault="00E63313" w:rsidP="007963BB">
      <w:pPr>
        <w:spacing w:line="240" w:lineRule="auto"/>
      </w:pPr>
      <w:r>
        <w:rPr>
          <w:noProof/>
          <w:lang w:eastAsia="en-NZ"/>
        </w:rPr>
        <mc:AlternateContent>
          <mc:Choice Requires="wps">
            <w:drawing>
              <wp:anchor distT="45720" distB="45720" distL="114300" distR="114300" simplePos="0" relativeHeight="251653120" behindDoc="0" locked="0" layoutInCell="1" allowOverlap="1" wp14:anchorId="5F7736E8" wp14:editId="7BAED0FE">
                <wp:simplePos x="0" y="0"/>
                <wp:positionH relativeFrom="margin">
                  <wp:posOffset>4000500</wp:posOffset>
                </wp:positionH>
                <wp:positionV relativeFrom="paragraph">
                  <wp:posOffset>530225</wp:posOffset>
                </wp:positionV>
                <wp:extent cx="2291080" cy="230251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302510"/>
                        </a:xfrm>
                        <a:prstGeom prst="rect">
                          <a:avLst/>
                        </a:prstGeom>
                        <a:solidFill>
                          <a:srgbClr val="F0F4FA"/>
                        </a:solidFill>
                        <a:ln w="9525">
                          <a:noFill/>
                          <a:miter lim="800000"/>
                          <a:headEnd/>
                          <a:tailEnd/>
                        </a:ln>
                      </wps:spPr>
                      <wps:txbx>
                        <w:txbxContent>
                          <w:p w14:paraId="107B447B" w14:textId="55E50E60" w:rsidR="00E84D61" w:rsidRDefault="00E84D61" w:rsidP="000C5627">
                            <w:pPr>
                              <w:shd w:val="clear" w:color="auto" w:fill="F0F4FA"/>
                              <w:rPr>
                                <w:i/>
                                <w:iCs/>
                                <w:lang w:val="mi-NZ"/>
                              </w:rPr>
                            </w:pPr>
                            <w:r w:rsidRPr="00BC58F2">
                              <w:rPr>
                                <w:i/>
                                <w:iCs/>
                                <w:lang w:val="mi-NZ"/>
                              </w:rPr>
                              <w:t xml:space="preserve">“I want to recognise that there’s been a </w:t>
                            </w:r>
                            <w:r>
                              <w:rPr>
                                <w:i/>
                                <w:iCs/>
                                <w:lang w:val="mi-NZ"/>
                              </w:rPr>
                              <w:t>genuine</w:t>
                            </w:r>
                            <w:r w:rsidRPr="00BC58F2">
                              <w:rPr>
                                <w:i/>
                                <w:iCs/>
                                <w:lang w:val="mi-NZ"/>
                              </w:rPr>
                              <w:t xml:space="preserve"> effort, but there is more to go. Without a system overhaul, which is what the WEAG suggested, that system just doesn’t work for people in the way it needs to.”</w:t>
                            </w:r>
                          </w:p>
                          <w:p w14:paraId="63FED436" w14:textId="77777777" w:rsidR="00E84D61" w:rsidRPr="00CB30A2" w:rsidRDefault="00E84D61" w:rsidP="000C5627">
                            <w:pPr>
                              <w:rPr>
                                <w:lang w:val="mi-NZ"/>
                              </w:rPr>
                            </w:pPr>
                            <w:r>
                              <w:rPr>
                                <w:lang w:val="mi-NZ"/>
                              </w:rPr>
                              <w:t>– Helen Robinson Auckland City Missioner / Manutaki o Te Tāpui Atawhai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7736E8" id="_x0000_s1028" type="#_x0000_t202" style="position:absolute;margin-left:315pt;margin-top:41.75pt;width:180.4pt;height:181.3pt;z-index:2516531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" fillcolor="#f0f4fa" stroked="f">
                <v:textbox style="mso-fit-shape-to-text:t">
                  <w:txbxContent>
                    <w:p w14:paraId="107B447B" w14:textId="55E50E60" w:rsidR="00E84D61" w:rsidRDefault="00E84D61" w:rsidP="000C5627">
                      <w:pPr>
                        <w:shd w:val="clear" w:color="auto" w:fill="F0F4FA"/>
                        <w:rPr>
                          <w:i/>
                          <w:iCs/>
                          <w:lang w:val="mi-NZ"/>
                        </w:rPr>
                      </w:pPr>
                      <w:r w:rsidRPr="00BC58F2">
                        <w:rPr>
                          <w:i/>
                          <w:iCs/>
                          <w:lang w:val="mi-NZ"/>
                        </w:rPr>
                        <w:t xml:space="preserve">“I want to recognise that there’s been a </w:t>
                      </w:r>
                      <w:r>
                        <w:rPr>
                          <w:i/>
                          <w:iCs/>
                          <w:lang w:val="mi-NZ"/>
                        </w:rPr>
                        <w:t>genuine</w:t>
                      </w:r>
                      <w:r w:rsidRPr="00BC58F2">
                        <w:rPr>
                          <w:i/>
                          <w:iCs/>
                          <w:lang w:val="mi-NZ"/>
                        </w:rPr>
                        <w:t xml:space="preserve"> effort, but there is more to go. Without a system overhaul, which is what the WEAG suggested, that system just doesn’t work for people in the way it needs to.”</w:t>
                      </w:r>
                    </w:p>
                    <w:p w14:paraId="63FED436" w14:textId="77777777" w:rsidR="00E84D61" w:rsidRPr="00CB30A2" w:rsidRDefault="00E84D61" w:rsidP="000C5627">
                      <w:pPr>
                        <w:rPr>
                          <w:lang w:val="mi-NZ"/>
                        </w:rPr>
                      </w:pPr>
                      <w:r>
                        <w:rPr>
                          <w:lang w:val="mi-NZ"/>
                        </w:rPr>
                        <w:t>– Helen Robinson Auckland City Missioner / Manutaki o Te Tāpui Atawhai</w:t>
                      </w:r>
                    </w:p>
                  </w:txbxContent>
                </v:textbox>
                <w10:wrap type="square" anchorx="margin"/>
              </v:shape>
            </w:pict>
          </mc:Fallback>
        </mc:AlternateContent>
      </w:r>
      <w:r w:rsidR="001C5A41" w:rsidRPr="00CA2018">
        <w:t xml:space="preserve">A September 2021 </w:t>
      </w:r>
      <w:r w:rsidR="005F0D08">
        <w:t>C</w:t>
      </w:r>
      <w:r w:rsidR="001C5A41" w:rsidRPr="00CA2018">
        <w:t xml:space="preserve">abinet paper has signalled that </w:t>
      </w:r>
      <w:r w:rsidR="001C5A41" w:rsidRPr="00CA2018">
        <w:rPr>
          <w:i/>
          <w:iCs/>
        </w:rPr>
        <w:t>“resetting the foundations of the welfare system”</w:t>
      </w:r>
      <w:r w:rsidR="001C5A41" w:rsidRPr="00CA2018">
        <w:t xml:space="preserve"> will be a priority as part of the Government’s ‘renewed’ welfare overhaul work programme</w:t>
      </w:r>
      <w:r w:rsidR="00B55FDD">
        <w:t xml:space="preserve"> (MSD, 2021e, p. 6)</w:t>
      </w:r>
      <w:r w:rsidR="001C5A41" w:rsidRPr="00CA2018">
        <w:t>. While it is positive that changes to the purpose and principles remain on the agenda, we note that the Government has not committed to any timeframe on this ‘renewed’ work programme, stating “</w:t>
      </w:r>
      <w:r w:rsidR="001C5A41" w:rsidRPr="00CA2018">
        <w:rPr>
          <w:i/>
          <w:iCs/>
        </w:rPr>
        <w:t>some of these initiatives will take longer to progress than initially expected due to their scale and complexity.”</w:t>
      </w:r>
      <w:r w:rsidR="001C5A41" w:rsidRPr="00CA2018">
        <w:t xml:space="preserve"> </w:t>
      </w:r>
      <w:r w:rsidR="009A5AA5" w:rsidRPr="00CA2018">
        <w:t>WEAG made clear that small tweaks to t</w:t>
      </w:r>
      <w:r w:rsidR="009A5AA5">
        <w:t xml:space="preserve">he welfare system would not be </w:t>
      </w:r>
      <w:r w:rsidR="009A5AA5" w:rsidRPr="00CA2018">
        <w:t>enough to meet the needs of those it is designed so support</w:t>
      </w:r>
      <w:r>
        <w:t>; t</w:t>
      </w:r>
      <w:r w:rsidR="009A5AA5" w:rsidRPr="00CA2018">
        <w:t xml:space="preserve">he purpose and principles of the system </w:t>
      </w:r>
      <w:r w:rsidR="009A5AA5">
        <w:t xml:space="preserve">are </w:t>
      </w:r>
      <w:r w:rsidR="009A5AA5" w:rsidRPr="00CA2018">
        <w:t>the fundamental first step in laying the foundations for a radically improved welfare system</w:t>
      </w:r>
      <w:r w:rsidR="009A5AA5">
        <w:t>.</w:t>
      </w:r>
      <w:r w:rsidR="009A5AA5" w:rsidRPr="00CA2018">
        <w:t xml:space="preserve"> </w:t>
      </w:r>
      <w:r w:rsidR="001C5A41" w:rsidRPr="00CA2018">
        <w:t>Given the importance of this foundational reset, we urge the Government to prioritise this transformational work and complete it within the current electoral term finishing in 2023.</w:t>
      </w:r>
    </w:p>
    <w:p w14:paraId="7277642E" w14:textId="39CB2A49" w:rsidR="004A3BC2" w:rsidRPr="00FE2E1F" w:rsidRDefault="004A3BC2" w:rsidP="007C7C6B">
      <w:pPr>
        <w:pStyle w:val="Heading1"/>
        <w:numPr>
          <w:ilvl w:val="0"/>
          <w:numId w:val="1"/>
        </w:numPr>
        <w:spacing w:line="240" w:lineRule="auto"/>
        <w:ind w:left="284"/>
        <w:rPr>
          <w:rFonts w:cstheme="minorHAnsi"/>
        </w:rPr>
      </w:pPr>
      <w:bookmarkStart w:id="22" w:name="_Toc89330002"/>
      <w:r w:rsidRPr="00CA2018">
        <w:t xml:space="preserve">Income Support </w:t>
      </w:r>
      <w:r w:rsidRPr="00FE2E1F">
        <w:rPr>
          <w:sz w:val="36"/>
          <w:szCs w:val="36"/>
        </w:rPr>
        <w:t xml:space="preserve">- </w:t>
      </w:r>
      <w:r>
        <w:t>planned benefit increases necessary but not sufficient</w:t>
      </w:r>
      <w:bookmarkEnd w:id="22"/>
    </w:p>
    <w:p w14:paraId="57EFBC77" w14:textId="07AB3E99" w:rsidR="00350E05" w:rsidRPr="00350E05" w:rsidRDefault="00350E05" w:rsidP="007963BB">
      <w:pPr>
        <w:spacing w:before="120" w:line="240" w:lineRule="auto"/>
        <w:rPr>
          <w:bCs/>
        </w:rPr>
      </w:pPr>
      <w:r w:rsidRPr="00CA2018">
        <w:t>WEAG recommend</w:t>
      </w:r>
      <w:r>
        <w:t xml:space="preserve">ed </w:t>
      </w:r>
      <w:r w:rsidRPr="00CA2018">
        <w:t xml:space="preserve">a </w:t>
      </w:r>
      <w:r w:rsidRPr="00350E05">
        <w:rPr>
          <w:i/>
          <w:iCs/>
        </w:rPr>
        <w:t>“comprehensive package of changes”</w:t>
      </w:r>
      <w:r w:rsidRPr="00CA2018">
        <w:t xml:space="preserve"> </w:t>
      </w:r>
      <w:r>
        <w:t>to increase income towards adequacy. For families this has two parts: (i) benefit increases</w:t>
      </w:r>
      <w:r w:rsidR="00FE2E1F">
        <w:t>; and</w:t>
      </w:r>
      <w:r>
        <w:t xml:space="preserve"> (ii) increases in Working for Families (WFF) tax credits. Our analysis shows that for families</w:t>
      </w:r>
      <w:r w:rsidR="00807E63">
        <w:t>,</w:t>
      </w:r>
      <w:r>
        <w:t xml:space="preserve"> </w:t>
      </w:r>
      <w:r w:rsidRPr="00350E05">
        <w:rPr>
          <w:i/>
          <w:iCs/>
        </w:rPr>
        <w:t>overall</w:t>
      </w:r>
      <w:r>
        <w:t xml:space="preserve"> total core income support (benefits plus </w:t>
      </w:r>
      <w:r w:rsidR="00807E63">
        <w:t>Family Tax Credit</w:t>
      </w:r>
      <w:r>
        <w:t xml:space="preserve">) will </w:t>
      </w:r>
      <w:r w:rsidRPr="00385B31">
        <w:t xml:space="preserve">not </w:t>
      </w:r>
      <w:r>
        <w:t xml:space="preserve">match </w:t>
      </w:r>
      <w:r w:rsidR="00AA6374">
        <w:t xml:space="preserve">the </w:t>
      </w:r>
      <w:r>
        <w:t>wage-adjusted</w:t>
      </w:r>
      <w:r w:rsidR="00AA6374">
        <w:t xml:space="preserve"> rates recommend</w:t>
      </w:r>
      <w:r w:rsidR="00B86C96">
        <w:t>ed</w:t>
      </w:r>
      <w:r w:rsidR="00AA6374">
        <w:t xml:space="preserve"> by </w:t>
      </w:r>
      <w:r>
        <w:t xml:space="preserve">WEAG for </w:t>
      </w:r>
      <w:r w:rsidRPr="00350E05">
        <w:rPr>
          <w:i/>
          <w:iCs/>
        </w:rPr>
        <w:t>any</w:t>
      </w:r>
      <w:r>
        <w:t xml:space="preserve"> benefit recipients. T</w:t>
      </w:r>
      <w:r w:rsidRPr="00350E05">
        <w:rPr>
          <w:bCs/>
        </w:rPr>
        <w:t xml:space="preserve">he delays in delivery of benefit increases and inadequate increases in </w:t>
      </w:r>
      <w:r>
        <w:t>WFF tax credits</w:t>
      </w:r>
      <w:r w:rsidRPr="00350E05">
        <w:rPr>
          <w:bCs/>
        </w:rPr>
        <w:t xml:space="preserve"> will be exacerbating distress and deepening family debt.</w:t>
      </w:r>
    </w:p>
    <w:p w14:paraId="231E051D" w14:textId="77777777" w:rsidR="00350E05" w:rsidRPr="001A2AEA" w:rsidRDefault="00350E05" w:rsidP="007963BB">
      <w:pPr>
        <w:pStyle w:val="Heading2"/>
        <w:spacing w:line="240" w:lineRule="auto"/>
      </w:pPr>
      <w:bookmarkStart w:id="23" w:name="_Toc89330003"/>
      <w:r w:rsidRPr="001A2AEA">
        <w:t>Benefit increases</w:t>
      </w:r>
      <w:bookmarkEnd w:id="23"/>
      <w:r w:rsidRPr="001A2AEA">
        <w:t xml:space="preserve"> </w:t>
      </w:r>
    </w:p>
    <w:p w14:paraId="7004655A" w14:textId="5DF329C8" w:rsidR="00350E05" w:rsidRPr="00CA2018" w:rsidRDefault="00350E05" w:rsidP="007963BB">
      <w:pPr>
        <w:spacing w:line="240" w:lineRule="auto"/>
      </w:pPr>
      <w:r w:rsidRPr="00CA2018">
        <w:t xml:space="preserve">The Budget 2021 </w:t>
      </w:r>
      <w:r>
        <w:t xml:space="preserve">increased </w:t>
      </w:r>
      <w:r w:rsidRPr="00CA2018">
        <w:t>benefit</w:t>
      </w:r>
      <w:r>
        <w:t>s</w:t>
      </w:r>
      <w:r w:rsidRPr="00CA2018">
        <w:t xml:space="preserve"> </w:t>
      </w:r>
      <w:r>
        <w:t xml:space="preserve">which, when fully implemented on 1 April 2022, will indeed be </w:t>
      </w:r>
      <w:r w:rsidRPr="00CA2018">
        <w:t>the largest</w:t>
      </w:r>
      <w:r>
        <w:t xml:space="preserve"> in several decades</w:t>
      </w:r>
      <w:r w:rsidR="00B55FDD">
        <w:t xml:space="preserve"> (NZ Government, 2021h)</w:t>
      </w:r>
      <w:r w:rsidR="00B85A63">
        <w:t>.</w:t>
      </w:r>
      <w:r w:rsidRPr="00CA2018">
        <w:t xml:space="preserve"> The Government must be commended for this </w:t>
      </w:r>
      <w:r>
        <w:t>necessary</w:t>
      </w:r>
      <w:r w:rsidRPr="00CA2018">
        <w:t xml:space="preserve"> step towards restoring family incomes following decades of inadequacy.</w:t>
      </w:r>
      <w:r>
        <w:t xml:space="preserve"> T</w:t>
      </w:r>
      <w:r w:rsidRPr="00CA2018">
        <w:t>he Government</w:t>
      </w:r>
      <w:r w:rsidR="00B55FDD">
        <w:t xml:space="preserve"> (2021i, pp. 1)</w:t>
      </w:r>
      <w:r w:rsidRPr="00CA2018">
        <w:t xml:space="preserve"> </w:t>
      </w:r>
      <w:r>
        <w:t>stated</w:t>
      </w:r>
      <w:r w:rsidRPr="00CA2018">
        <w:t>:</w:t>
      </w:r>
    </w:p>
    <w:p w14:paraId="73B12E1F" w14:textId="1CB2A710" w:rsidR="00350E05" w:rsidRPr="00350E05" w:rsidRDefault="00350E05" w:rsidP="007963BB">
      <w:pPr>
        <w:spacing w:line="240" w:lineRule="auto"/>
        <w:ind w:left="720"/>
        <w:rPr>
          <w:i/>
          <w:iCs/>
        </w:rPr>
      </w:pPr>
      <w:r w:rsidRPr="00350E05">
        <w:rPr>
          <w:i/>
          <w:iCs/>
        </w:rPr>
        <w:t>“In Budget 2021, to tackle inequality and child poverty, we are lifting weekly main benefit rates by between $32 and $55 per adult, to bring these rates in line with a key recommendation of the Welfare Expert Advisory Group (WEAG) and provide an additional boost to families with children.”</w:t>
      </w:r>
    </w:p>
    <w:p w14:paraId="024761F4" w14:textId="3C34E95C" w:rsidR="00350E05" w:rsidRPr="00FE2E1F" w:rsidRDefault="00350E05" w:rsidP="007963BB">
      <w:pPr>
        <w:spacing w:line="240" w:lineRule="auto"/>
      </w:pPr>
      <w:r>
        <w:t xml:space="preserve">These increases are being delivered in two parts: </w:t>
      </w:r>
      <w:r w:rsidRPr="00CA2018">
        <w:t xml:space="preserve">an initial $20 </w:t>
      </w:r>
      <w:r w:rsidR="007C38A0">
        <w:t xml:space="preserve">per week </w:t>
      </w:r>
      <w:r w:rsidRPr="00CA2018">
        <w:t xml:space="preserve">increase per adult on 1 July 2021, </w:t>
      </w:r>
      <w:r>
        <w:t xml:space="preserve">and </w:t>
      </w:r>
      <w:r w:rsidRPr="00CA2018">
        <w:t xml:space="preserve">a second increase scheduled for 1 April 2022. The rate of this second increase will vary between individuals, to align rates in nominal </w:t>
      </w:r>
      <w:r>
        <w:t xml:space="preserve">(non-indexed) </w:t>
      </w:r>
      <w:r w:rsidRPr="00CA2018">
        <w:t xml:space="preserve">terms with those recommended by WEAG. In addition, for families with children, on 1 April 2022 main benefit rates will be increased by a further $15 </w:t>
      </w:r>
      <w:r w:rsidR="007C38A0">
        <w:t xml:space="preserve">per week </w:t>
      </w:r>
      <w:r w:rsidRPr="00CA2018">
        <w:t>per adult</w:t>
      </w:r>
      <w:r w:rsidR="000F72C5">
        <w:t xml:space="preserve"> (NZ Government, 2021i)</w:t>
      </w:r>
      <w:r w:rsidRPr="00CA2018">
        <w:t>.</w:t>
      </w:r>
      <w:r>
        <w:t xml:space="preserve"> </w:t>
      </w:r>
      <w:r w:rsidR="00FE2E1F">
        <w:rPr>
          <w:rFonts w:eastAsia="Times New Roman" w:cstheme="minorHAnsi"/>
          <w:szCs w:val="24"/>
          <w:lang w:eastAsia="en-NZ"/>
        </w:rPr>
        <w:t>We note that i</w:t>
      </w:r>
      <w:r w:rsidRPr="00350E05">
        <w:rPr>
          <w:rFonts w:eastAsia="Times New Roman" w:cstheme="minorHAnsi"/>
          <w:szCs w:val="24"/>
          <w:lang w:eastAsia="en-NZ"/>
        </w:rPr>
        <w:t xml:space="preserve">n December 2020 the Government considered immediately lifting benefits by $50 </w:t>
      </w:r>
      <w:r w:rsidR="007C38A0">
        <w:rPr>
          <w:rFonts w:eastAsia="Times New Roman" w:cstheme="minorHAnsi"/>
          <w:szCs w:val="24"/>
          <w:lang w:eastAsia="en-NZ"/>
        </w:rPr>
        <w:t xml:space="preserve">per week </w:t>
      </w:r>
      <w:r w:rsidRPr="00350E05">
        <w:rPr>
          <w:rFonts w:eastAsia="Times New Roman" w:cstheme="minorHAnsi"/>
          <w:szCs w:val="24"/>
          <w:lang w:eastAsia="en-NZ"/>
        </w:rPr>
        <w:t xml:space="preserve">which would have more than doubled the number of children </w:t>
      </w:r>
      <w:r w:rsidR="00FE2E1F">
        <w:rPr>
          <w:rFonts w:eastAsia="Times New Roman" w:cstheme="minorHAnsi"/>
          <w:szCs w:val="24"/>
          <w:lang w:eastAsia="en-NZ"/>
        </w:rPr>
        <w:t>lifted above key poverty lines</w:t>
      </w:r>
      <w:r w:rsidRPr="00350E05">
        <w:rPr>
          <w:rFonts w:eastAsia="Times New Roman" w:cstheme="minorHAnsi"/>
          <w:szCs w:val="24"/>
          <w:lang w:eastAsia="en-NZ"/>
        </w:rPr>
        <w:t>, but took Treasury advice to restrain their spendin</w:t>
      </w:r>
      <w:r w:rsidR="00B82687">
        <w:rPr>
          <w:rFonts w:eastAsia="Times New Roman" w:cstheme="minorHAnsi"/>
          <w:szCs w:val="24"/>
          <w:lang w:eastAsia="en-NZ"/>
        </w:rPr>
        <w:t xml:space="preserve">g (Treasury, 2021). </w:t>
      </w:r>
      <w:r w:rsidR="00B82687" w:rsidRPr="00FE2E1F">
        <w:t xml:space="preserve"> </w:t>
      </w:r>
    </w:p>
    <w:p w14:paraId="16C8CC6D" w14:textId="77777777" w:rsidR="003D7215" w:rsidRDefault="00350E05" w:rsidP="007963BB">
      <w:pPr>
        <w:spacing w:before="120" w:line="240" w:lineRule="auto"/>
      </w:pPr>
      <w:r>
        <w:t>The Government claims that by April 2022, benefit levels will match 2019 WEAG recommendations</w:t>
      </w:r>
      <w:r w:rsidR="000372C9">
        <w:t xml:space="preserve"> (New Zealand Government, 2021i)</w:t>
      </w:r>
      <w:r>
        <w:t>. However</w:t>
      </w:r>
      <w:r w:rsidR="00FE2E1F">
        <w:t>,</w:t>
      </w:r>
      <w:r>
        <w:t xml:space="preserve"> WEAG’s benefit rates were presented to Government </w:t>
      </w:r>
      <w:r w:rsidR="00DD00E7">
        <w:t>in February 2019</w:t>
      </w:r>
      <w:r>
        <w:t xml:space="preserve"> as part of a recommended </w:t>
      </w:r>
      <w:r w:rsidRPr="00350E05">
        <w:rPr>
          <w:i/>
          <w:iCs/>
        </w:rPr>
        <w:t>“minimum, immediate first step”</w:t>
      </w:r>
      <w:r w:rsidR="00E84D61">
        <w:rPr>
          <w:i/>
          <w:iCs/>
        </w:rPr>
        <w:t xml:space="preserve"> </w:t>
      </w:r>
      <w:r w:rsidR="00E84D61" w:rsidRPr="003D7215">
        <w:rPr>
          <w:iCs/>
        </w:rPr>
        <w:t>(</w:t>
      </w:r>
      <w:r w:rsidR="003D7215">
        <w:rPr>
          <w:iCs/>
        </w:rPr>
        <w:t xml:space="preserve">WEAG, 2019, </w:t>
      </w:r>
      <w:r w:rsidR="00E84D61" w:rsidRPr="003D7215">
        <w:rPr>
          <w:iCs/>
        </w:rPr>
        <w:t>p</w:t>
      </w:r>
      <w:r w:rsidR="003D7215">
        <w:rPr>
          <w:iCs/>
        </w:rPr>
        <w:t>.</w:t>
      </w:r>
      <w:r w:rsidR="00E84D61">
        <w:rPr>
          <w:iCs/>
        </w:rPr>
        <w:t>111</w:t>
      </w:r>
      <w:r w:rsidR="00E84D61" w:rsidRPr="003D7215">
        <w:rPr>
          <w:iCs/>
        </w:rPr>
        <w:t>)</w:t>
      </w:r>
      <w:r w:rsidR="007C38A0">
        <w:rPr>
          <w:i/>
          <w:iCs/>
        </w:rPr>
        <w:t xml:space="preserve"> </w:t>
      </w:r>
      <w:r w:rsidR="007C38A0" w:rsidRPr="003D7215">
        <w:rPr>
          <w:iCs/>
        </w:rPr>
        <w:t xml:space="preserve">which </w:t>
      </w:r>
      <w:r w:rsidR="007C38A0">
        <w:rPr>
          <w:iCs/>
        </w:rPr>
        <w:t xml:space="preserve">also </w:t>
      </w:r>
      <w:r w:rsidR="007C38A0" w:rsidRPr="003D7215">
        <w:rPr>
          <w:iCs/>
        </w:rPr>
        <w:t xml:space="preserve">included </w:t>
      </w:r>
      <w:r w:rsidR="003D7215">
        <w:rPr>
          <w:iCs/>
        </w:rPr>
        <w:t xml:space="preserve">wage indexation and </w:t>
      </w:r>
      <w:r w:rsidR="007C38A0">
        <w:rPr>
          <w:iCs/>
        </w:rPr>
        <w:t>WFF tax credit increases for families</w:t>
      </w:r>
      <w:r w:rsidR="00DD00E7" w:rsidRPr="007C38A0">
        <w:t>.</w:t>
      </w:r>
      <w:r w:rsidRPr="007C38A0">
        <w:t xml:space="preserve"> </w:t>
      </w:r>
    </w:p>
    <w:p w14:paraId="0785756E" w14:textId="41452C80" w:rsidR="00350E05" w:rsidRDefault="00350E05" w:rsidP="007963BB">
      <w:pPr>
        <w:spacing w:before="120" w:line="240" w:lineRule="auto"/>
      </w:pPr>
      <w:r w:rsidRPr="007C38A0">
        <w:t>W</w:t>
      </w:r>
      <w:r>
        <w:t xml:space="preserve">e have investigated whether this claim of WEAG-equivalence </w:t>
      </w:r>
      <w:r w:rsidR="007C38A0">
        <w:t xml:space="preserve">for benefit </w:t>
      </w:r>
      <w:r w:rsidR="003C2C84">
        <w:t xml:space="preserve">increases </w:t>
      </w:r>
      <w:r>
        <w:t xml:space="preserve">holds </w:t>
      </w:r>
      <w:r w:rsidR="003C2C84">
        <w:t>when</w:t>
      </w:r>
      <w:r>
        <w:t xml:space="preserve"> wage inflation since 2019 is considered. </w:t>
      </w:r>
      <w:r w:rsidRPr="00DA4DC7">
        <w:t>As</w:t>
      </w:r>
      <w:r w:rsidR="00E86590" w:rsidRPr="00DA4DC7">
        <w:t xml:space="preserve"> Table 1</w:t>
      </w:r>
      <w:r w:rsidR="0000789E">
        <w:t xml:space="preserve"> demonstrates, </w:t>
      </w:r>
      <w:r w:rsidRPr="00DA4DC7">
        <w:t xml:space="preserve">the answer </w:t>
      </w:r>
      <w:r w:rsidR="003C2C84">
        <w:t xml:space="preserve">in most cases </w:t>
      </w:r>
      <w:r w:rsidRPr="00DA4DC7">
        <w:t xml:space="preserve">is </w:t>
      </w:r>
      <w:r w:rsidR="00E07206" w:rsidRPr="00DA4DC7">
        <w:t>‘</w:t>
      </w:r>
      <w:r w:rsidRPr="00DA4DC7">
        <w:t>no</w:t>
      </w:r>
      <w:r w:rsidR="00E07206" w:rsidRPr="00DA4DC7">
        <w:t xml:space="preserve">’ </w:t>
      </w:r>
      <w:r w:rsidR="00366D3E">
        <w:t xml:space="preserve"> – i.e. </w:t>
      </w:r>
      <w:r w:rsidR="00F51204">
        <w:t xml:space="preserve">for most benefit recipients, </w:t>
      </w:r>
      <w:r w:rsidR="00046766">
        <w:t xml:space="preserve">the </w:t>
      </w:r>
      <w:r w:rsidR="00AF0CA5">
        <w:t>scheduled April</w:t>
      </w:r>
      <w:r w:rsidR="00366D3E">
        <w:t xml:space="preserve"> 2022 </w:t>
      </w:r>
      <w:r w:rsidR="00AF0CA5">
        <w:t xml:space="preserve">rates </w:t>
      </w:r>
      <w:r w:rsidR="00026C19">
        <w:t>will not</w:t>
      </w:r>
      <w:r w:rsidR="00366D3E">
        <w:t xml:space="preserve"> </w:t>
      </w:r>
      <w:r w:rsidR="00046766">
        <w:t>reach</w:t>
      </w:r>
      <w:r w:rsidR="00366D3E">
        <w:t xml:space="preserve"> wage adjusted WEAG rates</w:t>
      </w:r>
      <w:r w:rsidR="007C63FC">
        <w:t>.</w:t>
      </w:r>
      <w:r w:rsidR="00DA4DC7" w:rsidRPr="00DA4DC7">
        <w:t xml:space="preserve"> </w:t>
      </w:r>
      <w:r w:rsidR="00F51204">
        <w:t>W</w:t>
      </w:r>
      <w:r w:rsidR="003118F0">
        <w:t xml:space="preserve">ith the exception of sole parents, </w:t>
      </w:r>
      <w:r w:rsidR="003118F0" w:rsidRPr="00DA4DC7">
        <w:t xml:space="preserve">all other benefit recipients </w:t>
      </w:r>
      <w:r w:rsidR="003118F0">
        <w:t xml:space="preserve">(couples with children, single adults and couples without children) </w:t>
      </w:r>
      <w:r w:rsidR="003118F0" w:rsidRPr="00DA4DC7">
        <w:t>will be receiving rates that are lower than wage adjusted WEAG rates.</w:t>
      </w:r>
      <w:r w:rsidR="003118F0">
        <w:t xml:space="preserve"> W</w:t>
      </w:r>
      <w:r w:rsidR="00F51204">
        <w:t>e commend the Government for exceeding wage adjusted WEAG rates for sole parents</w:t>
      </w:r>
      <w:r w:rsidR="007C63FC">
        <w:t xml:space="preserve">; however, we note </w:t>
      </w:r>
      <w:r w:rsidR="003118F0">
        <w:t xml:space="preserve">that once the Family Tax Credit is </w:t>
      </w:r>
      <w:r w:rsidR="003060C6">
        <w:t>considered</w:t>
      </w:r>
      <w:r w:rsidR="003118F0">
        <w:t xml:space="preserve">, </w:t>
      </w:r>
      <w:r w:rsidR="005547E7">
        <w:t>sole parent incomes remain below WEAG-recommended levels (see ‘</w:t>
      </w:r>
      <w:r w:rsidR="005547E7" w:rsidRPr="005547E7">
        <w:rPr>
          <w:i/>
          <w:iCs/>
        </w:rPr>
        <w:t>Income support for people with children’</w:t>
      </w:r>
      <w:r w:rsidR="005547E7">
        <w:t>).</w:t>
      </w:r>
    </w:p>
    <w:p w14:paraId="5FAAB975" w14:textId="54338382" w:rsidR="00C55F14" w:rsidRDefault="00C55F14" w:rsidP="00C55F14">
      <w:pPr>
        <w:pStyle w:val="Caption"/>
        <w:keepNext/>
      </w:pPr>
      <w:r>
        <w:t xml:space="preserve">Table </w:t>
      </w:r>
      <w:r w:rsidR="004F331E">
        <w:fldChar w:fldCharType="begin"/>
      </w:r>
      <w:r w:rsidR="004F331E">
        <w:instrText xml:space="preserve"> SEQ</w:instrText>
      </w:r>
      <w:r w:rsidR="004F331E">
        <w:instrText xml:space="preserve"> Table \* ARABIC </w:instrText>
      </w:r>
      <w:r w:rsidR="004F331E">
        <w:fldChar w:fldCharType="separate"/>
      </w:r>
      <w:r w:rsidR="00223305">
        <w:rPr>
          <w:noProof/>
        </w:rPr>
        <w:t>1</w:t>
      </w:r>
      <w:r w:rsidR="004F331E">
        <w:rPr>
          <w:noProof/>
        </w:rPr>
        <w:fldChar w:fldCharType="end"/>
      </w:r>
      <w:r>
        <w:t xml:space="preserve">: </w:t>
      </w:r>
      <w:r w:rsidR="00DA4DC7">
        <w:t>Full</w:t>
      </w:r>
      <w:r>
        <w:t xml:space="preserve"> weekly</w:t>
      </w:r>
      <w:r w:rsidR="00DA4DC7">
        <w:t xml:space="preserve"> benefit</w:t>
      </w:r>
      <w:r>
        <w:t xml:space="preserve"> rates, actual vs wage-adjusted WEAG rates (April 2022/23)</w:t>
      </w:r>
    </w:p>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871"/>
        <w:gridCol w:w="2600"/>
        <w:gridCol w:w="1793"/>
      </w:tblGrid>
      <w:tr w:rsidR="00BD721A" w:rsidRPr="00FA4159" w14:paraId="4176E31E" w14:textId="77777777" w:rsidTr="00517204">
        <w:tc>
          <w:tcPr>
            <w:tcW w:w="1713" w:type="dxa"/>
            <w:tcBorders>
              <w:top w:val="nil"/>
              <w:left w:val="nil"/>
            </w:tcBorders>
            <w:shd w:val="clear" w:color="auto" w:fill="FFFFFF" w:themeFill="background1"/>
            <w:noWrap/>
            <w:vAlign w:val="bottom"/>
            <w:hideMark/>
          </w:tcPr>
          <w:p w14:paraId="1788A5B9" w14:textId="15CC017E" w:rsidR="00FA4159" w:rsidRPr="00FA4159" w:rsidRDefault="00FA4159" w:rsidP="00BD721A">
            <w:pPr>
              <w:rPr>
                <w:lang w:val="en-US"/>
              </w:rPr>
            </w:pPr>
          </w:p>
        </w:tc>
        <w:tc>
          <w:tcPr>
            <w:tcW w:w="2871" w:type="dxa"/>
            <w:shd w:val="clear" w:color="auto" w:fill="E7E6E6" w:themeFill="background2"/>
            <w:noWrap/>
            <w:vAlign w:val="bottom"/>
            <w:hideMark/>
          </w:tcPr>
          <w:p w14:paraId="704A61CD" w14:textId="568B28FA" w:rsidR="00FA4159" w:rsidRPr="00BD721A" w:rsidRDefault="00FA4159" w:rsidP="00BD721A">
            <w:pPr>
              <w:rPr>
                <w:b/>
                <w:bCs/>
                <w:lang w:val="en-US"/>
              </w:rPr>
            </w:pPr>
            <w:r w:rsidRPr="00BD721A">
              <w:rPr>
                <w:b/>
                <w:bCs/>
                <w:lang w:val="en-US"/>
              </w:rPr>
              <w:t xml:space="preserve">Actual </w:t>
            </w:r>
            <w:r w:rsidR="00E844ED">
              <w:rPr>
                <w:b/>
                <w:bCs/>
                <w:lang w:val="en-US"/>
              </w:rPr>
              <w:t xml:space="preserve">benefit </w:t>
            </w:r>
            <w:r w:rsidRPr="00BD721A">
              <w:rPr>
                <w:b/>
                <w:bCs/>
                <w:lang w:val="en-US"/>
              </w:rPr>
              <w:t>rates</w:t>
            </w:r>
            <w:r w:rsidR="00E844ED">
              <w:rPr>
                <w:b/>
                <w:bCs/>
                <w:lang w:val="en-US"/>
              </w:rPr>
              <w:t>, Apr 2022/23</w:t>
            </w:r>
          </w:p>
        </w:tc>
        <w:tc>
          <w:tcPr>
            <w:tcW w:w="2600" w:type="dxa"/>
            <w:shd w:val="clear" w:color="auto" w:fill="E7E6E6" w:themeFill="background2"/>
            <w:noWrap/>
            <w:vAlign w:val="bottom"/>
            <w:hideMark/>
          </w:tcPr>
          <w:p w14:paraId="7096ED21" w14:textId="654EB847" w:rsidR="00FA4159" w:rsidRPr="00BD721A" w:rsidRDefault="00FA4159" w:rsidP="00BD721A">
            <w:pPr>
              <w:rPr>
                <w:b/>
                <w:bCs/>
                <w:lang w:val="en-US"/>
              </w:rPr>
            </w:pPr>
            <w:r w:rsidRPr="00BD721A">
              <w:rPr>
                <w:b/>
                <w:bCs/>
                <w:lang w:val="en-US"/>
              </w:rPr>
              <w:t>WEAG rates</w:t>
            </w:r>
            <w:r w:rsidR="0000789E">
              <w:rPr>
                <w:b/>
                <w:bCs/>
                <w:lang w:val="en-US"/>
              </w:rPr>
              <w:t xml:space="preserve"> </w:t>
            </w:r>
            <w:r w:rsidR="00E844ED">
              <w:rPr>
                <w:b/>
                <w:bCs/>
                <w:lang w:val="en-US"/>
              </w:rPr>
              <w:t>(wage-adjusted), Apr 2022/23</w:t>
            </w:r>
          </w:p>
        </w:tc>
        <w:tc>
          <w:tcPr>
            <w:tcW w:w="1793" w:type="dxa"/>
            <w:shd w:val="clear" w:color="auto" w:fill="E7E6E6" w:themeFill="background2"/>
            <w:noWrap/>
            <w:vAlign w:val="bottom"/>
            <w:hideMark/>
          </w:tcPr>
          <w:p w14:paraId="69140E56" w14:textId="3A588A36" w:rsidR="00FA4159" w:rsidRPr="00BD721A" w:rsidRDefault="0000789E" w:rsidP="00BD721A">
            <w:pPr>
              <w:rPr>
                <w:b/>
                <w:bCs/>
                <w:lang w:val="en-US"/>
              </w:rPr>
            </w:pPr>
            <w:r>
              <w:rPr>
                <w:b/>
                <w:bCs/>
                <w:lang w:val="en-US"/>
              </w:rPr>
              <w:t>Weekly s</w:t>
            </w:r>
            <w:r w:rsidR="00FA4159" w:rsidRPr="00BD721A">
              <w:rPr>
                <w:b/>
                <w:bCs/>
                <w:lang w:val="en-US"/>
              </w:rPr>
              <w:t>hortfall</w:t>
            </w:r>
          </w:p>
        </w:tc>
      </w:tr>
      <w:tr w:rsidR="007B5139" w:rsidRPr="00FA4159" w14:paraId="0E22B96D" w14:textId="77777777" w:rsidTr="009436B7">
        <w:tc>
          <w:tcPr>
            <w:tcW w:w="1713" w:type="dxa"/>
            <w:shd w:val="clear" w:color="auto" w:fill="auto"/>
            <w:noWrap/>
            <w:vAlign w:val="bottom"/>
            <w:hideMark/>
          </w:tcPr>
          <w:p w14:paraId="08F3C2A1" w14:textId="06FA14E7" w:rsidR="00FA4159" w:rsidRPr="0045647D" w:rsidRDefault="00FA4159" w:rsidP="00BD721A">
            <w:pPr>
              <w:rPr>
                <w:b/>
                <w:bCs/>
                <w:color w:val="000000"/>
                <w:lang w:val="en-US"/>
              </w:rPr>
            </w:pPr>
            <w:r w:rsidRPr="0045647D">
              <w:rPr>
                <w:b/>
                <w:bCs/>
                <w:color w:val="000000"/>
                <w:lang w:val="en-US"/>
              </w:rPr>
              <w:t>S</w:t>
            </w:r>
            <w:r w:rsidR="00BB2E25">
              <w:rPr>
                <w:b/>
                <w:bCs/>
                <w:color w:val="000000"/>
                <w:lang w:val="en-US"/>
              </w:rPr>
              <w:t xml:space="preserve">ole </w:t>
            </w:r>
            <w:r w:rsidRPr="0045647D">
              <w:rPr>
                <w:b/>
                <w:bCs/>
                <w:color w:val="000000"/>
                <w:lang w:val="en-US"/>
              </w:rPr>
              <w:t>P</w:t>
            </w:r>
            <w:r w:rsidR="00BB2E25">
              <w:rPr>
                <w:b/>
                <w:bCs/>
                <w:color w:val="000000"/>
                <w:lang w:val="en-US"/>
              </w:rPr>
              <w:t xml:space="preserve">arent </w:t>
            </w:r>
            <w:r w:rsidRPr="0045647D">
              <w:rPr>
                <w:b/>
                <w:bCs/>
                <w:color w:val="000000"/>
                <w:lang w:val="en-US"/>
              </w:rPr>
              <w:t>S</w:t>
            </w:r>
            <w:r w:rsidR="00BB2E25">
              <w:rPr>
                <w:b/>
                <w:bCs/>
                <w:color w:val="000000"/>
                <w:lang w:val="en-US"/>
              </w:rPr>
              <w:t>upport (SPS)</w:t>
            </w:r>
          </w:p>
        </w:tc>
        <w:tc>
          <w:tcPr>
            <w:tcW w:w="2871" w:type="dxa"/>
            <w:shd w:val="clear" w:color="auto" w:fill="auto"/>
            <w:noWrap/>
            <w:vAlign w:val="bottom"/>
            <w:hideMark/>
          </w:tcPr>
          <w:p w14:paraId="0A7E4DF8" w14:textId="1E2D7DCF" w:rsidR="00FA4159" w:rsidRPr="00FA4159" w:rsidRDefault="00FA4159" w:rsidP="00BD721A">
            <w:pPr>
              <w:rPr>
                <w:color w:val="000000"/>
                <w:lang w:val="en-US"/>
              </w:rPr>
            </w:pPr>
            <w:r w:rsidRPr="00FA4159">
              <w:rPr>
                <w:color w:val="000000"/>
                <w:lang w:val="en-US"/>
              </w:rPr>
              <w:t xml:space="preserve"> $434.00 </w:t>
            </w:r>
          </w:p>
        </w:tc>
        <w:tc>
          <w:tcPr>
            <w:tcW w:w="2600" w:type="dxa"/>
            <w:shd w:val="clear" w:color="auto" w:fill="auto"/>
            <w:noWrap/>
            <w:vAlign w:val="bottom"/>
            <w:hideMark/>
          </w:tcPr>
          <w:p w14:paraId="2A81CE67" w14:textId="3A1246DC" w:rsidR="00FA4159" w:rsidRPr="00FA4159" w:rsidRDefault="00FA4159" w:rsidP="00BD721A">
            <w:pPr>
              <w:rPr>
                <w:color w:val="000000"/>
                <w:lang w:val="en-US"/>
              </w:rPr>
            </w:pPr>
            <w:r w:rsidRPr="00FA4159">
              <w:rPr>
                <w:color w:val="000000"/>
                <w:lang w:val="en-US"/>
              </w:rPr>
              <w:t xml:space="preserve"> $409.43 </w:t>
            </w:r>
          </w:p>
        </w:tc>
        <w:tc>
          <w:tcPr>
            <w:tcW w:w="1793" w:type="dxa"/>
            <w:shd w:val="clear" w:color="auto" w:fill="E2EFD9" w:themeFill="accent6" w:themeFillTint="33"/>
            <w:noWrap/>
            <w:vAlign w:val="bottom"/>
            <w:hideMark/>
          </w:tcPr>
          <w:p w14:paraId="50D81ECF" w14:textId="7FB4E39F" w:rsidR="00FA4159" w:rsidRPr="00FA4159" w:rsidRDefault="00FA4159" w:rsidP="00BD721A">
            <w:pPr>
              <w:rPr>
                <w:color w:val="000000"/>
                <w:lang w:val="en-US"/>
              </w:rPr>
            </w:pPr>
            <w:r w:rsidRPr="00FA4159">
              <w:rPr>
                <w:color w:val="000000"/>
                <w:lang w:val="en-US"/>
              </w:rPr>
              <w:t xml:space="preserve"> $(24.57)</w:t>
            </w:r>
          </w:p>
        </w:tc>
      </w:tr>
      <w:tr w:rsidR="007B5139" w:rsidRPr="00FA4159" w14:paraId="1D2134C4" w14:textId="77777777" w:rsidTr="009436B7">
        <w:tc>
          <w:tcPr>
            <w:tcW w:w="1713" w:type="dxa"/>
            <w:shd w:val="clear" w:color="auto" w:fill="auto"/>
            <w:noWrap/>
            <w:vAlign w:val="bottom"/>
            <w:hideMark/>
          </w:tcPr>
          <w:p w14:paraId="65305659" w14:textId="26282A2F" w:rsidR="00FA4159" w:rsidRPr="0045647D" w:rsidRDefault="00FA4159" w:rsidP="00BD721A">
            <w:pPr>
              <w:rPr>
                <w:b/>
                <w:bCs/>
                <w:color w:val="000000"/>
                <w:lang w:val="en-US"/>
              </w:rPr>
            </w:pPr>
            <w:r w:rsidRPr="0045647D">
              <w:rPr>
                <w:b/>
                <w:bCs/>
                <w:color w:val="000000"/>
                <w:lang w:val="en-US"/>
              </w:rPr>
              <w:t>S</w:t>
            </w:r>
            <w:r w:rsidR="00BB2E25">
              <w:rPr>
                <w:b/>
                <w:bCs/>
                <w:color w:val="000000"/>
                <w:lang w:val="en-US"/>
              </w:rPr>
              <w:t xml:space="preserve">upported </w:t>
            </w:r>
            <w:r w:rsidRPr="0045647D">
              <w:rPr>
                <w:b/>
                <w:bCs/>
                <w:color w:val="000000"/>
                <w:lang w:val="en-US"/>
              </w:rPr>
              <w:t>L</w:t>
            </w:r>
            <w:r w:rsidR="00BB2E25">
              <w:rPr>
                <w:b/>
                <w:bCs/>
                <w:color w:val="000000"/>
                <w:lang w:val="en-US"/>
              </w:rPr>
              <w:t xml:space="preserve">iving </w:t>
            </w:r>
            <w:r w:rsidRPr="0045647D">
              <w:rPr>
                <w:b/>
                <w:bCs/>
                <w:color w:val="000000"/>
                <w:lang w:val="en-US"/>
              </w:rPr>
              <w:t>P</w:t>
            </w:r>
            <w:r w:rsidR="00BB2E25">
              <w:rPr>
                <w:b/>
                <w:bCs/>
                <w:color w:val="000000"/>
                <w:lang w:val="en-US"/>
              </w:rPr>
              <w:t>ayment (SLP)</w:t>
            </w:r>
            <w:r w:rsidRPr="0045647D">
              <w:rPr>
                <w:b/>
                <w:bCs/>
                <w:color w:val="000000"/>
                <w:lang w:val="en-US"/>
              </w:rPr>
              <w:t xml:space="preserve"> S</w:t>
            </w:r>
            <w:r w:rsidR="00BB2E25">
              <w:rPr>
                <w:b/>
                <w:bCs/>
                <w:color w:val="000000"/>
                <w:lang w:val="en-US"/>
              </w:rPr>
              <w:t xml:space="preserve">ole </w:t>
            </w:r>
            <w:r w:rsidRPr="0045647D">
              <w:rPr>
                <w:b/>
                <w:bCs/>
                <w:color w:val="000000"/>
                <w:lang w:val="en-US"/>
              </w:rPr>
              <w:t>P</w:t>
            </w:r>
            <w:r w:rsidR="00BB2E25">
              <w:rPr>
                <w:b/>
                <w:bCs/>
                <w:color w:val="000000"/>
                <w:lang w:val="en-US"/>
              </w:rPr>
              <w:t>arent (SP)</w:t>
            </w:r>
          </w:p>
        </w:tc>
        <w:tc>
          <w:tcPr>
            <w:tcW w:w="2871" w:type="dxa"/>
            <w:shd w:val="clear" w:color="auto" w:fill="auto"/>
            <w:noWrap/>
            <w:vAlign w:val="bottom"/>
            <w:hideMark/>
          </w:tcPr>
          <w:p w14:paraId="0A6D86AD" w14:textId="4216B697" w:rsidR="00FA4159" w:rsidRPr="00FA4159" w:rsidRDefault="00FA4159" w:rsidP="00BD721A">
            <w:pPr>
              <w:rPr>
                <w:color w:val="000000"/>
                <w:lang w:val="en-US"/>
              </w:rPr>
            </w:pPr>
            <w:r w:rsidRPr="00FA4159">
              <w:rPr>
                <w:color w:val="000000"/>
                <w:lang w:val="en-US"/>
              </w:rPr>
              <w:t xml:space="preserve"> $485.00 </w:t>
            </w:r>
          </w:p>
        </w:tc>
        <w:tc>
          <w:tcPr>
            <w:tcW w:w="2600" w:type="dxa"/>
            <w:shd w:val="clear" w:color="auto" w:fill="auto"/>
            <w:noWrap/>
            <w:vAlign w:val="bottom"/>
            <w:hideMark/>
          </w:tcPr>
          <w:p w14:paraId="26D4555E" w14:textId="670845AF" w:rsidR="00FA4159" w:rsidRPr="00FA4159" w:rsidRDefault="00FA4159" w:rsidP="00BD721A">
            <w:pPr>
              <w:rPr>
                <w:color w:val="000000"/>
                <w:lang w:val="en-US"/>
              </w:rPr>
            </w:pPr>
            <w:r w:rsidRPr="00FA4159">
              <w:rPr>
                <w:color w:val="000000"/>
                <w:lang w:val="en-US"/>
              </w:rPr>
              <w:t xml:space="preserve"> $436.80 </w:t>
            </w:r>
          </w:p>
        </w:tc>
        <w:tc>
          <w:tcPr>
            <w:tcW w:w="1793" w:type="dxa"/>
            <w:shd w:val="clear" w:color="auto" w:fill="E2EFD9" w:themeFill="accent6" w:themeFillTint="33"/>
            <w:noWrap/>
            <w:vAlign w:val="bottom"/>
            <w:hideMark/>
          </w:tcPr>
          <w:p w14:paraId="3ADBCBAB" w14:textId="7CC46AAC" w:rsidR="00FA4159" w:rsidRPr="00FA4159" w:rsidRDefault="00FA4159" w:rsidP="00BD721A">
            <w:pPr>
              <w:rPr>
                <w:color w:val="000000"/>
                <w:lang w:val="en-US"/>
              </w:rPr>
            </w:pPr>
            <w:r w:rsidRPr="00FA4159">
              <w:rPr>
                <w:color w:val="000000"/>
                <w:lang w:val="en-US"/>
              </w:rPr>
              <w:t xml:space="preserve"> $(48.20)</w:t>
            </w:r>
          </w:p>
        </w:tc>
      </w:tr>
      <w:tr w:rsidR="007B5139" w:rsidRPr="00FA4159" w14:paraId="11C7B5FD" w14:textId="77777777" w:rsidTr="009436B7">
        <w:trPr>
          <w:trHeight w:val="692"/>
        </w:trPr>
        <w:tc>
          <w:tcPr>
            <w:tcW w:w="1713" w:type="dxa"/>
            <w:shd w:val="clear" w:color="auto" w:fill="auto"/>
            <w:noWrap/>
            <w:vAlign w:val="bottom"/>
            <w:hideMark/>
          </w:tcPr>
          <w:p w14:paraId="1DF20E49" w14:textId="3F7046FA" w:rsidR="00FA4159" w:rsidRPr="0045647D" w:rsidRDefault="00FA4159" w:rsidP="00BD721A">
            <w:pPr>
              <w:rPr>
                <w:b/>
                <w:bCs/>
                <w:color w:val="000000"/>
                <w:lang w:val="en-US"/>
              </w:rPr>
            </w:pPr>
            <w:r w:rsidRPr="0045647D">
              <w:rPr>
                <w:b/>
                <w:bCs/>
                <w:color w:val="000000"/>
                <w:lang w:val="en-US"/>
              </w:rPr>
              <w:t>J</w:t>
            </w:r>
            <w:r w:rsidR="00BB2E25">
              <w:rPr>
                <w:b/>
                <w:bCs/>
                <w:color w:val="000000"/>
                <w:lang w:val="en-US"/>
              </w:rPr>
              <w:t xml:space="preserve">obseeker </w:t>
            </w:r>
            <w:r w:rsidRPr="0045647D">
              <w:rPr>
                <w:b/>
                <w:bCs/>
                <w:color w:val="000000"/>
                <w:lang w:val="en-US"/>
              </w:rPr>
              <w:t>S</w:t>
            </w:r>
            <w:r w:rsidR="00BB2E25">
              <w:rPr>
                <w:b/>
                <w:bCs/>
                <w:color w:val="000000"/>
                <w:lang w:val="en-US"/>
              </w:rPr>
              <w:t>upport (JSS)</w:t>
            </w:r>
            <w:r w:rsidRPr="0045647D">
              <w:rPr>
                <w:b/>
                <w:bCs/>
                <w:color w:val="000000"/>
                <w:lang w:val="en-US"/>
              </w:rPr>
              <w:t xml:space="preserve"> couple w/ch, each</w:t>
            </w:r>
          </w:p>
        </w:tc>
        <w:tc>
          <w:tcPr>
            <w:tcW w:w="2871" w:type="dxa"/>
            <w:shd w:val="clear" w:color="auto" w:fill="auto"/>
            <w:noWrap/>
            <w:vAlign w:val="bottom"/>
            <w:hideMark/>
          </w:tcPr>
          <w:p w14:paraId="6A1ABA25" w14:textId="2F875D3F" w:rsidR="00FA4159" w:rsidRPr="00FA4159" w:rsidRDefault="00FA4159" w:rsidP="00BD721A">
            <w:pPr>
              <w:rPr>
                <w:color w:val="000000"/>
                <w:lang w:val="en-US"/>
              </w:rPr>
            </w:pPr>
            <w:r w:rsidRPr="00FA4159">
              <w:rPr>
                <w:color w:val="000000"/>
                <w:lang w:val="en-US"/>
              </w:rPr>
              <w:t xml:space="preserve"> $283.00 </w:t>
            </w:r>
          </w:p>
        </w:tc>
        <w:tc>
          <w:tcPr>
            <w:tcW w:w="2600" w:type="dxa"/>
            <w:shd w:val="clear" w:color="auto" w:fill="auto"/>
            <w:noWrap/>
            <w:vAlign w:val="bottom"/>
            <w:hideMark/>
          </w:tcPr>
          <w:p w14:paraId="1E63FD0D" w14:textId="66090E69" w:rsidR="00FA4159" w:rsidRPr="00FA4159" w:rsidRDefault="00FA4159" w:rsidP="00BD721A">
            <w:pPr>
              <w:rPr>
                <w:color w:val="000000"/>
                <w:lang w:val="en-US"/>
              </w:rPr>
            </w:pPr>
            <w:r w:rsidRPr="00FA4159">
              <w:rPr>
                <w:color w:val="000000"/>
                <w:lang w:val="en-US"/>
              </w:rPr>
              <w:t xml:space="preserve"> $293.39 </w:t>
            </w:r>
          </w:p>
        </w:tc>
        <w:tc>
          <w:tcPr>
            <w:tcW w:w="1793" w:type="dxa"/>
            <w:shd w:val="clear" w:color="auto" w:fill="FFD8C9"/>
            <w:noWrap/>
            <w:vAlign w:val="bottom"/>
            <w:hideMark/>
          </w:tcPr>
          <w:p w14:paraId="7CEFACDE" w14:textId="75E77D62" w:rsidR="00FA4159" w:rsidRPr="00FA4159" w:rsidRDefault="00FA4159" w:rsidP="00BD721A">
            <w:pPr>
              <w:rPr>
                <w:color w:val="000000"/>
                <w:lang w:val="en-US"/>
              </w:rPr>
            </w:pPr>
            <w:r w:rsidRPr="00FA4159">
              <w:rPr>
                <w:color w:val="000000"/>
                <w:lang w:val="en-US"/>
              </w:rPr>
              <w:t xml:space="preserve"> $10.39 </w:t>
            </w:r>
          </w:p>
        </w:tc>
      </w:tr>
      <w:tr w:rsidR="007B5139" w:rsidRPr="00FA4159" w14:paraId="7E6E3FFF" w14:textId="77777777" w:rsidTr="009436B7">
        <w:tc>
          <w:tcPr>
            <w:tcW w:w="1713" w:type="dxa"/>
            <w:shd w:val="clear" w:color="auto" w:fill="auto"/>
            <w:noWrap/>
            <w:vAlign w:val="bottom"/>
            <w:hideMark/>
          </w:tcPr>
          <w:p w14:paraId="359D6FC5" w14:textId="5FB7FB5C" w:rsidR="00FA4159" w:rsidRPr="0045647D" w:rsidRDefault="00FA4159" w:rsidP="00BD721A">
            <w:pPr>
              <w:rPr>
                <w:b/>
                <w:bCs/>
                <w:color w:val="000000"/>
                <w:lang w:val="en-US"/>
              </w:rPr>
            </w:pPr>
            <w:r w:rsidRPr="0045647D">
              <w:rPr>
                <w:b/>
                <w:bCs/>
                <w:color w:val="000000"/>
                <w:lang w:val="en-US"/>
              </w:rPr>
              <w:t>SLP couple w/ch, each</w:t>
            </w:r>
          </w:p>
        </w:tc>
        <w:tc>
          <w:tcPr>
            <w:tcW w:w="2871" w:type="dxa"/>
            <w:shd w:val="clear" w:color="auto" w:fill="auto"/>
            <w:noWrap/>
            <w:vAlign w:val="bottom"/>
            <w:hideMark/>
          </w:tcPr>
          <w:p w14:paraId="73D5AFA1" w14:textId="4A084D92" w:rsidR="00FA4159" w:rsidRPr="00FA4159" w:rsidRDefault="00FA4159" w:rsidP="00BD721A">
            <w:pPr>
              <w:rPr>
                <w:color w:val="000000"/>
                <w:lang w:val="en-US"/>
              </w:rPr>
            </w:pPr>
            <w:r w:rsidRPr="00FA4159">
              <w:rPr>
                <w:color w:val="000000"/>
                <w:lang w:val="en-US"/>
              </w:rPr>
              <w:t xml:space="preserve"> $320.00 </w:t>
            </w:r>
          </w:p>
        </w:tc>
        <w:tc>
          <w:tcPr>
            <w:tcW w:w="2600" w:type="dxa"/>
            <w:shd w:val="clear" w:color="auto" w:fill="auto"/>
            <w:noWrap/>
            <w:vAlign w:val="bottom"/>
            <w:hideMark/>
          </w:tcPr>
          <w:p w14:paraId="67BFB63C" w14:textId="52277786" w:rsidR="00FA4159" w:rsidRPr="00FA4159" w:rsidRDefault="00FA4159" w:rsidP="00BD721A">
            <w:pPr>
              <w:rPr>
                <w:color w:val="000000"/>
                <w:lang w:val="en-US"/>
              </w:rPr>
            </w:pPr>
            <w:r w:rsidRPr="00FA4159">
              <w:rPr>
                <w:color w:val="000000"/>
                <w:lang w:val="en-US"/>
              </w:rPr>
              <w:t xml:space="preserve"> $333.90 </w:t>
            </w:r>
          </w:p>
        </w:tc>
        <w:tc>
          <w:tcPr>
            <w:tcW w:w="1793" w:type="dxa"/>
            <w:shd w:val="clear" w:color="auto" w:fill="FFD8C9"/>
            <w:noWrap/>
            <w:vAlign w:val="bottom"/>
            <w:hideMark/>
          </w:tcPr>
          <w:p w14:paraId="40BF1AA7" w14:textId="45AA4BD8" w:rsidR="00FA4159" w:rsidRPr="00FA4159" w:rsidRDefault="00FA4159" w:rsidP="00BD721A">
            <w:pPr>
              <w:rPr>
                <w:color w:val="000000"/>
                <w:lang w:val="en-US"/>
              </w:rPr>
            </w:pPr>
            <w:r w:rsidRPr="00FA4159">
              <w:rPr>
                <w:color w:val="000000"/>
                <w:lang w:val="en-US"/>
              </w:rPr>
              <w:t xml:space="preserve"> $13.90 </w:t>
            </w:r>
          </w:p>
        </w:tc>
      </w:tr>
      <w:tr w:rsidR="007B5139" w:rsidRPr="00FA4159" w14:paraId="2D1391AB" w14:textId="77777777" w:rsidTr="009436B7">
        <w:tc>
          <w:tcPr>
            <w:tcW w:w="1713" w:type="dxa"/>
            <w:shd w:val="clear" w:color="auto" w:fill="auto"/>
            <w:noWrap/>
            <w:vAlign w:val="bottom"/>
            <w:hideMark/>
          </w:tcPr>
          <w:p w14:paraId="669A16D7" w14:textId="77777777" w:rsidR="00FA4159" w:rsidRPr="0045647D" w:rsidRDefault="00FA4159" w:rsidP="00BD721A">
            <w:pPr>
              <w:rPr>
                <w:b/>
                <w:bCs/>
                <w:color w:val="000000"/>
                <w:lang w:val="en-US"/>
              </w:rPr>
            </w:pPr>
            <w:r w:rsidRPr="0045647D">
              <w:rPr>
                <w:b/>
                <w:bCs/>
                <w:color w:val="000000"/>
                <w:lang w:val="en-US"/>
              </w:rPr>
              <w:t>JSS</w:t>
            </w:r>
          </w:p>
        </w:tc>
        <w:tc>
          <w:tcPr>
            <w:tcW w:w="2871" w:type="dxa"/>
            <w:shd w:val="clear" w:color="auto" w:fill="auto"/>
            <w:noWrap/>
            <w:vAlign w:val="bottom"/>
            <w:hideMark/>
          </w:tcPr>
          <w:p w14:paraId="406B2407" w14:textId="18B9D365" w:rsidR="00FA4159" w:rsidRPr="00FA4159" w:rsidRDefault="00FA4159" w:rsidP="00BD721A">
            <w:pPr>
              <w:rPr>
                <w:color w:val="000000"/>
                <w:lang w:val="en-US"/>
              </w:rPr>
            </w:pPr>
            <w:r w:rsidRPr="00FA4159">
              <w:rPr>
                <w:color w:val="000000"/>
                <w:lang w:val="en-US"/>
              </w:rPr>
              <w:t xml:space="preserve"> $315.00 </w:t>
            </w:r>
          </w:p>
        </w:tc>
        <w:tc>
          <w:tcPr>
            <w:tcW w:w="2600" w:type="dxa"/>
            <w:shd w:val="clear" w:color="auto" w:fill="auto"/>
            <w:noWrap/>
            <w:vAlign w:val="bottom"/>
            <w:hideMark/>
          </w:tcPr>
          <w:p w14:paraId="6951E5ED" w14:textId="79C73717" w:rsidR="00FA4159" w:rsidRPr="00FA4159" w:rsidRDefault="00FA4159" w:rsidP="00BD721A">
            <w:pPr>
              <w:rPr>
                <w:color w:val="000000"/>
                <w:lang w:val="en-US"/>
              </w:rPr>
            </w:pPr>
            <w:r w:rsidRPr="00FA4159">
              <w:rPr>
                <w:color w:val="000000"/>
                <w:lang w:val="en-US"/>
              </w:rPr>
              <w:t xml:space="preserve"> $344.84 </w:t>
            </w:r>
          </w:p>
        </w:tc>
        <w:tc>
          <w:tcPr>
            <w:tcW w:w="1793" w:type="dxa"/>
            <w:shd w:val="clear" w:color="auto" w:fill="FFD8C9"/>
            <w:noWrap/>
            <w:vAlign w:val="bottom"/>
            <w:hideMark/>
          </w:tcPr>
          <w:p w14:paraId="05EE9695" w14:textId="10155874" w:rsidR="00FA4159" w:rsidRPr="00FA4159" w:rsidRDefault="00FA4159" w:rsidP="00BD721A">
            <w:pPr>
              <w:rPr>
                <w:color w:val="000000"/>
                <w:lang w:val="en-US"/>
              </w:rPr>
            </w:pPr>
            <w:r w:rsidRPr="00FA4159">
              <w:rPr>
                <w:color w:val="000000"/>
                <w:lang w:val="en-US"/>
              </w:rPr>
              <w:t xml:space="preserve"> $29.84 </w:t>
            </w:r>
          </w:p>
        </w:tc>
      </w:tr>
      <w:tr w:rsidR="007B5139" w:rsidRPr="00FA4159" w14:paraId="21368D71" w14:textId="77777777" w:rsidTr="009436B7">
        <w:tc>
          <w:tcPr>
            <w:tcW w:w="1713" w:type="dxa"/>
            <w:shd w:val="clear" w:color="auto" w:fill="auto"/>
            <w:noWrap/>
            <w:vAlign w:val="bottom"/>
            <w:hideMark/>
          </w:tcPr>
          <w:p w14:paraId="62C82828" w14:textId="77777777" w:rsidR="00FA4159" w:rsidRPr="0045647D" w:rsidRDefault="00FA4159" w:rsidP="00BD721A">
            <w:pPr>
              <w:rPr>
                <w:b/>
                <w:bCs/>
                <w:color w:val="000000"/>
                <w:lang w:val="en-US"/>
              </w:rPr>
            </w:pPr>
            <w:r w:rsidRPr="0045647D">
              <w:rPr>
                <w:b/>
                <w:bCs/>
                <w:color w:val="000000"/>
                <w:lang w:val="en-US"/>
              </w:rPr>
              <w:t>SLP</w:t>
            </w:r>
          </w:p>
        </w:tc>
        <w:tc>
          <w:tcPr>
            <w:tcW w:w="2871" w:type="dxa"/>
            <w:shd w:val="clear" w:color="auto" w:fill="auto"/>
            <w:noWrap/>
            <w:vAlign w:val="bottom"/>
            <w:hideMark/>
          </w:tcPr>
          <w:p w14:paraId="33B97AF9" w14:textId="219842F3" w:rsidR="00FA4159" w:rsidRPr="00FA4159" w:rsidRDefault="00FA4159" w:rsidP="00BD721A">
            <w:pPr>
              <w:rPr>
                <w:color w:val="000000"/>
                <w:lang w:val="en-US"/>
              </w:rPr>
            </w:pPr>
            <w:r w:rsidRPr="00FA4159">
              <w:rPr>
                <w:color w:val="000000"/>
                <w:lang w:val="en-US"/>
              </w:rPr>
              <w:t xml:space="preserve"> $359.00 </w:t>
            </w:r>
          </w:p>
        </w:tc>
        <w:tc>
          <w:tcPr>
            <w:tcW w:w="2600" w:type="dxa"/>
            <w:shd w:val="clear" w:color="auto" w:fill="auto"/>
            <w:noWrap/>
            <w:vAlign w:val="bottom"/>
            <w:hideMark/>
          </w:tcPr>
          <w:p w14:paraId="6DAF6045" w14:textId="52915F5D" w:rsidR="00FA4159" w:rsidRPr="00FA4159" w:rsidRDefault="00FA4159" w:rsidP="00BD721A">
            <w:pPr>
              <w:rPr>
                <w:color w:val="000000"/>
                <w:lang w:val="en-US"/>
              </w:rPr>
            </w:pPr>
            <w:r w:rsidRPr="00FA4159">
              <w:rPr>
                <w:color w:val="000000"/>
                <w:lang w:val="en-US"/>
              </w:rPr>
              <w:t xml:space="preserve"> $393.01 </w:t>
            </w:r>
          </w:p>
        </w:tc>
        <w:tc>
          <w:tcPr>
            <w:tcW w:w="1793" w:type="dxa"/>
            <w:shd w:val="clear" w:color="auto" w:fill="FFD8C9"/>
            <w:noWrap/>
            <w:vAlign w:val="bottom"/>
            <w:hideMark/>
          </w:tcPr>
          <w:p w14:paraId="7C0D31A5" w14:textId="77AB9465" w:rsidR="00FA4159" w:rsidRPr="00FA4159" w:rsidRDefault="00FA4159" w:rsidP="00BD721A">
            <w:pPr>
              <w:rPr>
                <w:color w:val="000000"/>
                <w:lang w:val="en-US"/>
              </w:rPr>
            </w:pPr>
            <w:r w:rsidRPr="00FA4159">
              <w:rPr>
                <w:color w:val="000000"/>
                <w:lang w:val="en-US"/>
              </w:rPr>
              <w:t xml:space="preserve"> $34.01 </w:t>
            </w:r>
          </w:p>
        </w:tc>
      </w:tr>
      <w:tr w:rsidR="007B5139" w:rsidRPr="00FA4159" w14:paraId="306B09C5" w14:textId="77777777" w:rsidTr="009436B7">
        <w:tc>
          <w:tcPr>
            <w:tcW w:w="1713" w:type="dxa"/>
            <w:shd w:val="clear" w:color="auto" w:fill="auto"/>
            <w:noWrap/>
            <w:vAlign w:val="bottom"/>
            <w:hideMark/>
          </w:tcPr>
          <w:p w14:paraId="44DCDD53" w14:textId="77777777" w:rsidR="00FA4159" w:rsidRPr="0045647D" w:rsidRDefault="00FA4159" w:rsidP="00BD721A">
            <w:pPr>
              <w:rPr>
                <w:b/>
                <w:bCs/>
                <w:color w:val="000000"/>
                <w:lang w:val="en-US"/>
              </w:rPr>
            </w:pPr>
            <w:r w:rsidRPr="0045647D">
              <w:rPr>
                <w:b/>
                <w:bCs/>
                <w:color w:val="000000"/>
                <w:lang w:val="en-US"/>
              </w:rPr>
              <w:t>JSS couple no ch, each</w:t>
            </w:r>
          </w:p>
        </w:tc>
        <w:tc>
          <w:tcPr>
            <w:tcW w:w="2871" w:type="dxa"/>
            <w:shd w:val="clear" w:color="auto" w:fill="auto"/>
            <w:noWrap/>
            <w:vAlign w:val="bottom"/>
            <w:hideMark/>
          </w:tcPr>
          <w:p w14:paraId="6823989C" w14:textId="2EB6B937" w:rsidR="00FA4159" w:rsidRPr="00FA4159" w:rsidRDefault="00FA4159" w:rsidP="00BD721A">
            <w:pPr>
              <w:rPr>
                <w:color w:val="000000"/>
                <w:lang w:val="en-US"/>
              </w:rPr>
            </w:pPr>
            <w:r w:rsidRPr="00FA4159">
              <w:rPr>
                <w:color w:val="000000"/>
                <w:lang w:val="en-US"/>
              </w:rPr>
              <w:t xml:space="preserve"> $268.00 </w:t>
            </w:r>
          </w:p>
        </w:tc>
        <w:tc>
          <w:tcPr>
            <w:tcW w:w="2600" w:type="dxa"/>
            <w:shd w:val="clear" w:color="auto" w:fill="auto"/>
            <w:noWrap/>
            <w:vAlign w:val="bottom"/>
            <w:hideMark/>
          </w:tcPr>
          <w:p w14:paraId="38A2823F" w14:textId="2E8E02FD" w:rsidR="00FA4159" w:rsidRPr="00FA4159" w:rsidRDefault="00FA4159" w:rsidP="00BD721A">
            <w:pPr>
              <w:rPr>
                <w:color w:val="000000"/>
                <w:lang w:val="en-US"/>
              </w:rPr>
            </w:pPr>
            <w:r w:rsidRPr="00FA4159">
              <w:rPr>
                <w:color w:val="000000"/>
                <w:lang w:val="en-US"/>
              </w:rPr>
              <w:t xml:space="preserve"> $293.39 </w:t>
            </w:r>
          </w:p>
        </w:tc>
        <w:tc>
          <w:tcPr>
            <w:tcW w:w="1793" w:type="dxa"/>
            <w:shd w:val="clear" w:color="auto" w:fill="FFD8C9"/>
            <w:noWrap/>
            <w:vAlign w:val="bottom"/>
            <w:hideMark/>
          </w:tcPr>
          <w:p w14:paraId="4D6B821A" w14:textId="65C0005D" w:rsidR="00FA4159" w:rsidRPr="00FA4159" w:rsidRDefault="00FA4159" w:rsidP="00BD721A">
            <w:pPr>
              <w:rPr>
                <w:color w:val="000000"/>
                <w:lang w:val="en-US"/>
              </w:rPr>
            </w:pPr>
            <w:r w:rsidRPr="00FA4159">
              <w:rPr>
                <w:color w:val="000000"/>
                <w:lang w:val="en-US"/>
              </w:rPr>
              <w:t xml:space="preserve"> $25.39 </w:t>
            </w:r>
          </w:p>
        </w:tc>
      </w:tr>
      <w:tr w:rsidR="007B5139" w:rsidRPr="00FA4159" w14:paraId="6FF5F001" w14:textId="77777777" w:rsidTr="009436B7">
        <w:tc>
          <w:tcPr>
            <w:tcW w:w="1713" w:type="dxa"/>
            <w:shd w:val="clear" w:color="auto" w:fill="auto"/>
            <w:noWrap/>
            <w:vAlign w:val="bottom"/>
            <w:hideMark/>
          </w:tcPr>
          <w:p w14:paraId="15629ABE" w14:textId="77777777" w:rsidR="00FA4159" w:rsidRPr="0045647D" w:rsidRDefault="00FA4159" w:rsidP="00BD721A">
            <w:pPr>
              <w:rPr>
                <w:b/>
                <w:bCs/>
                <w:color w:val="000000"/>
                <w:lang w:val="en-US"/>
              </w:rPr>
            </w:pPr>
            <w:r w:rsidRPr="0045647D">
              <w:rPr>
                <w:b/>
                <w:bCs/>
                <w:color w:val="000000"/>
                <w:lang w:val="en-US"/>
              </w:rPr>
              <w:t>SLP couple no ch, each</w:t>
            </w:r>
          </w:p>
        </w:tc>
        <w:tc>
          <w:tcPr>
            <w:tcW w:w="2871" w:type="dxa"/>
            <w:shd w:val="clear" w:color="auto" w:fill="auto"/>
            <w:noWrap/>
            <w:vAlign w:val="bottom"/>
            <w:hideMark/>
          </w:tcPr>
          <w:p w14:paraId="02D72C24" w14:textId="3BDD142F" w:rsidR="00FA4159" w:rsidRPr="00FA4159" w:rsidRDefault="00FA4159" w:rsidP="00BD721A">
            <w:pPr>
              <w:rPr>
                <w:color w:val="000000"/>
                <w:lang w:val="en-US"/>
              </w:rPr>
            </w:pPr>
            <w:r w:rsidRPr="00FA4159">
              <w:rPr>
                <w:color w:val="000000"/>
                <w:lang w:val="en-US"/>
              </w:rPr>
              <w:t xml:space="preserve"> $305.00 </w:t>
            </w:r>
          </w:p>
        </w:tc>
        <w:tc>
          <w:tcPr>
            <w:tcW w:w="2600" w:type="dxa"/>
            <w:shd w:val="clear" w:color="auto" w:fill="auto"/>
            <w:noWrap/>
            <w:vAlign w:val="bottom"/>
            <w:hideMark/>
          </w:tcPr>
          <w:p w14:paraId="13C50EA3" w14:textId="0AEB1F69" w:rsidR="00FA4159" w:rsidRPr="00FA4159" w:rsidRDefault="00FA4159" w:rsidP="00BD721A">
            <w:pPr>
              <w:rPr>
                <w:color w:val="000000"/>
                <w:lang w:val="en-US"/>
              </w:rPr>
            </w:pPr>
            <w:r w:rsidRPr="00FA4159">
              <w:rPr>
                <w:color w:val="000000"/>
                <w:lang w:val="en-US"/>
              </w:rPr>
              <w:t xml:space="preserve"> $333.90 </w:t>
            </w:r>
          </w:p>
        </w:tc>
        <w:tc>
          <w:tcPr>
            <w:tcW w:w="1793" w:type="dxa"/>
            <w:shd w:val="clear" w:color="auto" w:fill="FFD8C9"/>
            <w:noWrap/>
            <w:vAlign w:val="bottom"/>
            <w:hideMark/>
          </w:tcPr>
          <w:p w14:paraId="09CF477B" w14:textId="442A5C51" w:rsidR="00FA4159" w:rsidRPr="00FA4159" w:rsidRDefault="00FA4159" w:rsidP="00BD721A">
            <w:pPr>
              <w:rPr>
                <w:color w:val="000000"/>
                <w:lang w:val="en-US"/>
              </w:rPr>
            </w:pPr>
            <w:r w:rsidRPr="00FA4159">
              <w:rPr>
                <w:color w:val="000000"/>
                <w:lang w:val="en-US"/>
              </w:rPr>
              <w:t xml:space="preserve"> $</w:t>
            </w:r>
            <w:r w:rsidR="00BD721A">
              <w:rPr>
                <w:color w:val="000000"/>
                <w:lang w:val="en-US"/>
              </w:rPr>
              <w:t>2</w:t>
            </w:r>
            <w:r w:rsidRPr="00FA4159">
              <w:rPr>
                <w:color w:val="000000"/>
                <w:lang w:val="en-US"/>
              </w:rPr>
              <w:t xml:space="preserve">8.90 </w:t>
            </w:r>
          </w:p>
        </w:tc>
      </w:tr>
    </w:tbl>
    <w:p w14:paraId="28A045AF" w14:textId="77777777" w:rsidR="00C55F14" w:rsidRDefault="00C55F14" w:rsidP="00C55F14">
      <w:bookmarkStart w:id="24" w:name="_Toc89330004"/>
    </w:p>
    <w:p w14:paraId="0673A37C" w14:textId="28178043" w:rsidR="00350E05" w:rsidRPr="00CA2018" w:rsidRDefault="00350E05" w:rsidP="007963BB">
      <w:pPr>
        <w:pStyle w:val="Heading2"/>
        <w:spacing w:line="240" w:lineRule="auto"/>
      </w:pPr>
      <w:r w:rsidRPr="00CA2018">
        <w:t>Working for Families tax credits</w:t>
      </w:r>
      <w:bookmarkEnd w:id="24"/>
    </w:p>
    <w:p w14:paraId="1D536DE1" w14:textId="19B48B97" w:rsidR="00350E05" w:rsidRDefault="00350E05" w:rsidP="007963BB">
      <w:pPr>
        <w:spacing w:line="240" w:lineRule="auto"/>
      </w:pPr>
      <w:r w:rsidRPr="00CA2018">
        <w:t xml:space="preserve">WEAG’s recommendations for improving </w:t>
      </w:r>
      <w:r>
        <w:t xml:space="preserve">family </w:t>
      </w:r>
      <w:r w:rsidRPr="00CA2018">
        <w:t>income</w:t>
      </w:r>
      <w:r>
        <w:t>s</w:t>
      </w:r>
      <w:r w:rsidRPr="00CA2018">
        <w:t xml:space="preserve"> </w:t>
      </w:r>
      <w:r>
        <w:t xml:space="preserve">towards </w:t>
      </w:r>
      <w:r w:rsidRPr="00CA2018">
        <w:t>adequacy included significant increases to W</w:t>
      </w:r>
      <w:r>
        <w:t>FF</w:t>
      </w:r>
      <w:r w:rsidRPr="00CA2018">
        <w:t xml:space="preserve"> tax credit rates (key recommendation 21) and the indexation of </w:t>
      </w:r>
      <w:r w:rsidRPr="00350E05">
        <w:rPr>
          <w:i/>
          <w:iCs/>
        </w:rPr>
        <w:t>all</w:t>
      </w:r>
      <w:r w:rsidRPr="00CA2018">
        <w:t xml:space="preserve"> income support</w:t>
      </w:r>
      <w:r w:rsidR="009C1573">
        <w:t xml:space="preserve"> to wages</w:t>
      </w:r>
      <w:r w:rsidRPr="00CA2018">
        <w:t>, including these tax credits (key recommendation 23)</w:t>
      </w:r>
      <w:r>
        <w:t xml:space="preserve">, as well as increasing benefits. </w:t>
      </w:r>
    </w:p>
    <w:p w14:paraId="24AB17CF" w14:textId="5C75E652" w:rsidR="00350E05" w:rsidRPr="00CA2018" w:rsidRDefault="00350E05" w:rsidP="007963BB">
      <w:pPr>
        <w:spacing w:line="240" w:lineRule="auto"/>
      </w:pPr>
      <w:r w:rsidRPr="00CA2018">
        <w:t xml:space="preserve">As at November 2021, no such changes have been implemented to </w:t>
      </w:r>
      <w:r>
        <w:t>WFF</w:t>
      </w:r>
      <w:r w:rsidRPr="00CA2018">
        <w:t xml:space="preserve"> rates, with no increases rolled out since the Families Package in 2018 (which was </w:t>
      </w:r>
      <w:r>
        <w:t xml:space="preserve">implemented prior to </w:t>
      </w:r>
      <w:r w:rsidRPr="00CA2018">
        <w:t>WEAG’s analysis). Our 2021 analysis suggests that because W</w:t>
      </w:r>
      <w:r>
        <w:t>FF</w:t>
      </w:r>
      <w:r w:rsidRPr="00CA2018">
        <w:t xml:space="preserve"> tax credits are not annually indexed to wages, this 2018 Families Package increase </w:t>
      </w:r>
      <w:r w:rsidR="00D375F9">
        <w:t>largely</w:t>
      </w:r>
      <w:r w:rsidRPr="00CA2018">
        <w:t xml:space="preserve"> reflected a catch-up on erosion in relative value</w:t>
      </w:r>
      <w:r>
        <w:t xml:space="preserve"> and thus did not deliver additional</w:t>
      </w:r>
      <w:r w:rsidR="00EE0F27">
        <w:t xml:space="preserve"> wage-adjusted</w:t>
      </w:r>
      <w:r>
        <w:t xml:space="preserve"> income</w:t>
      </w:r>
      <w:r w:rsidR="00A20B05">
        <w:t xml:space="preserve"> (Neuwelt-Kearns &amp; St John, 2021)</w:t>
      </w:r>
      <w:r>
        <w:t xml:space="preserve">. This </w:t>
      </w:r>
      <w:r w:rsidRPr="00CA2018">
        <w:t>highlight</w:t>
      </w:r>
      <w:r>
        <w:t xml:space="preserve">s </w:t>
      </w:r>
      <w:r w:rsidRPr="00CA2018">
        <w:t xml:space="preserve">the importance of full </w:t>
      </w:r>
      <w:r>
        <w:t xml:space="preserve">annual </w:t>
      </w:r>
      <w:r w:rsidRPr="00CA2018">
        <w:t>indexation of the package as WEAG recommended.</w:t>
      </w:r>
    </w:p>
    <w:p w14:paraId="3F2DA177" w14:textId="002C9607" w:rsidR="00350E05" w:rsidRDefault="00350E05" w:rsidP="007963BB">
      <w:pPr>
        <w:spacing w:line="240" w:lineRule="auto"/>
      </w:pPr>
      <w:r w:rsidRPr="00CA2018">
        <w:t xml:space="preserve">In November 2021, the Government announced that it would be increasing the </w:t>
      </w:r>
      <w:r>
        <w:t xml:space="preserve">WFF </w:t>
      </w:r>
      <w:r w:rsidRPr="00CA2018">
        <w:t xml:space="preserve">Family Tax Credit by an additional $5 per week on top of the </w:t>
      </w:r>
      <w:r>
        <w:t xml:space="preserve">obligatory </w:t>
      </w:r>
      <w:r w:rsidRPr="00CA2018">
        <w:t xml:space="preserve">scheduled inflation </w:t>
      </w:r>
      <w:r>
        <w:t xml:space="preserve">catch-up </w:t>
      </w:r>
      <w:r w:rsidRPr="00CA2018">
        <w:t>of 8.75%</w:t>
      </w:r>
      <w:r>
        <w:t xml:space="preserve"> in April 2022</w:t>
      </w:r>
      <w:r w:rsidR="00375DE5">
        <w:t xml:space="preserve"> (NZ Government, 2021j)</w:t>
      </w:r>
      <w:r w:rsidRPr="00CA2018">
        <w:t xml:space="preserve">. This </w:t>
      </w:r>
      <w:r>
        <w:t xml:space="preserve">$5 </w:t>
      </w:r>
      <w:r w:rsidRPr="00CA2018">
        <w:t>increase falls far</w:t>
      </w:r>
      <w:r w:rsidRPr="00350E05">
        <w:rPr>
          <w:i/>
          <w:iCs/>
        </w:rPr>
        <w:t xml:space="preserve"> </w:t>
      </w:r>
      <w:r w:rsidRPr="00CA2018">
        <w:t xml:space="preserve">short of WEAG’s recommended increases </w:t>
      </w:r>
      <w:r>
        <w:t>of the</w:t>
      </w:r>
      <w:r w:rsidRPr="00CA2018">
        <w:t xml:space="preserve"> Family Tax Credit rates</w:t>
      </w:r>
      <w:r>
        <w:t xml:space="preserve"> (2019) to </w:t>
      </w:r>
      <w:r w:rsidRPr="00CA2018">
        <w:t xml:space="preserve">$170 </w:t>
      </w:r>
      <w:r w:rsidR="00D35295">
        <w:t>per</w:t>
      </w:r>
      <w:r w:rsidRPr="00CA2018">
        <w:t xml:space="preserve"> week for the eldest child and $120 for subsequent children</w:t>
      </w:r>
      <w:r>
        <w:t>; in wage adjusted terms this is $186 and $131 respectively by 2022/23</w:t>
      </w:r>
      <w:r w:rsidR="004B3CB5">
        <w:t xml:space="preserve"> (see Table </w:t>
      </w:r>
      <w:r w:rsidR="00987920">
        <w:t>2</w:t>
      </w:r>
      <w:r w:rsidR="004B3CB5">
        <w:t>)</w:t>
      </w:r>
      <w:r>
        <w:t xml:space="preserve">. </w:t>
      </w:r>
      <w:r w:rsidR="00AF1F26">
        <w:t xml:space="preserve">Note that Table </w:t>
      </w:r>
      <w:r w:rsidR="00987920">
        <w:t>2</w:t>
      </w:r>
      <w:r w:rsidR="00AF1F26">
        <w:t xml:space="preserve"> shows the shortfall for children in benefit families, or those who do not qualify for the In-Work Tax Credit on other grounds; WEAG intended that the In-Work Tax Credit be removed in the context of these Family Tax Credit increases.</w:t>
      </w:r>
      <w:r w:rsidR="00AF1F26">
        <w:rPr>
          <w:rStyle w:val="FootnoteReference"/>
        </w:rPr>
        <w:footnoteReference w:id="4"/>
      </w:r>
    </w:p>
    <w:p w14:paraId="65146C62" w14:textId="384864AA" w:rsidR="004B3CB5" w:rsidRDefault="004B3CB5" w:rsidP="007963BB">
      <w:pPr>
        <w:pStyle w:val="Caption"/>
        <w:keepNext/>
      </w:pPr>
      <w:r w:rsidRPr="004B3CB5">
        <w:t xml:space="preserve">Table </w:t>
      </w:r>
      <w:r w:rsidR="00C55F14">
        <w:t>2</w:t>
      </w:r>
      <w:r w:rsidRPr="004B3CB5">
        <w:t xml:space="preserve">: Family Tax Credit full </w:t>
      </w:r>
      <w:r w:rsidR="00330A48">
        <w:t xml:space="preserve">weekly </w:t>
      </w:r>
      <w:r w:rsidRPr="004B3CB5">
        <w:t>rates</w:t>
      </w:r>
      <w:r w:rsidR="00B71ED6">
        <w:t xml:space="preserve"> for benefit recipients</w:t>
      </w:r>
      <w:r>
        <w:t>, a</w:t>
      </w:r>
      <w:r w:rsidRPr="004B3CB5">
        <w:t>ctual vs WEAG (wage adjusted for April 2022</w:t>
      </w:r>
      <w:r w:rsidR="00E24ABC">
        <w:t>/23</w:t>
      </w:r>
      <w:r w:rsidRPr="004B3CB5">
        <w:t>)</w:t>
      </w:r>
    </w:p>
    <w:tbl>
      <w:tblPr>
        <w:tblStyle w:val="TableGrid"/>
        <w:tblW w:w="0" w:type="auto"/>
        <w:tblLook w:val="04A0" w:firstRow="1" w:lastRow="0" w:firstColumn="1" w:lastColumn="0" w:noHBand="0" w:noVBand="1"/>
      </w:tblPr>
      <w:tblGrid>
        <w:gridCol w:w="1814"/>
        <w:gridCol w:w="1128"/>
        <w:gridCol w:w="1132"/>
        <w:gridCol w:w="1155"/>
        <w:gridCol w:w="1129"/>
        <w:gridCol w:w="1146"/>
        <w:gridCol w:w="1517"/>
      </w:tblGrid>
      <w:tr w:rsidR="00350E05" w14:paraId="33DE9242" w14:textId="77777777" w:rsidTr="00BD721A">
        <w:tc>
          <w:tcPr>
            <w:tcW w:w="1814" w:type="dxa"/>
            <w:tcBorders>
              <w:top w:val="nil"/>
              <w:left w:val="nil"/>
              <w:bottom w:val="nil"/>
              <w:right w:val="single" w:sz="4" w:space="0" w:color="auto"/>
            </w:tcBorders>
          </w:tcPr>
          <w:p w14:paraId="549835BC" w14:textId="77777777" w:rsidR="00350E05" w:rsidRDefault="00350E05" w:rsidP="007963BB"/>
        </w:tc>
        <w:tc>
          <w:tcPr>
            <w:tcW w:w="341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524F86" w14:textId="77777777" w:rsidR="00350E05" w:rsidRPr="00B524BD" w:rsidRDefault="00350E05" w:rsidP="007963BB">
            <w:pPr>
              <w:jc w:val="center"/>
              <w:rPr>
                <w:b/>
                <w:bCs/>
              </w:rPr>
            </w:pPr>
            <w:r w:rsidRPr="00B524BD">
              <w:rPr>
                <w:b/>
                <w:bCs/>
              </w:rPr>
              <w:t>Eldest child</w:t>
            </w:r>
          </w:p>
        </w:tc>
        <w:tc>
          <w:tcPr>
            <w:tcW w:w="3792" w:type="dxa"/>
            <w:gridSpan w:val="3"/>
            <w:tcBorders>
              <w:top w:val="single" w:sz="4" w:space="0" w:color="auto"/>
              <w:left w:val="single" w:sz="4" w:space="0" w:color="auto"/>
              <w:bottom w:val="single" w:sz="4" w:space="0" w:color="auto"/>
            </w:tcBorders>
            <w:shd w:val="clear" w:color="auto" w:fill="E7E6E6" w:themeFill="background2"/>
          </w:tcPr>
          <w:p w14:paraId="66C1CCE6" w14:textId="77777777" w:rsidR="00350E05" w:rsidRPr="00B524BD" w:rsidRDefault="00350E05" w:rsidP="007963BB">
            <w:pPr>
              <w:jc w:val="center"/>
              <w:rPr>
                <w:b/>
                <w:bCs/>
              </w:rPr>
            </w:pPr>
            <w:r w:rsidRPr="00B524BD">
              <w:rPr>
                <w:b/>
                <w:bCs/>
              </w:rPr>
              <w:t>Subsequent child</w:t>
            </w:r>
          </w:p>
        </w:tc>
      </w:tr>
      <w:tr w:rsidR="00350E05" w14:paraId="1747B063" w14:textId="77777777" w:rsidTr="00BD721A">
        <w:tc>
          <w:tcPr>
            <w:tcW w:w="1814" w:type="dxa"/>
            <w:tcBorders>
              <w:top w:val="nil"/>
              <w:left w:val="nil"/>
              <w:bottom w:val="single" w:sz="4" w:space="0" w:color="auto"/>
              <w:right w:val="single" w:sz="4" w:space="0" w:color="auto"/>
            </w:tcBorders>
          </w:tcPr>
          <w:p w14:paraId="7C9DCDBB" w14:textId="77777777" w:rsidR="00350E05" w:rsidRDefault="00350E05" w:rsidP="007963BB"/>
        </w:tc>
        <w:tc>
          <w:tcPr>
            <w:tcW w:w="1128" w:type="dxa"/>
            <w:tcBorders>
              <w:top w:val="single" w:sz="4" w:space="0" w:color="auto"/>
              <w:left w:val="single" w:sz="4" w:space="0" w:color="auto"/>
              <w:bottom w:val="single" w:sz="4" w:space="0" w:color="auto"/>
              <w:right w:val="single" w:sz="4" w:space="0" w:color="auto"/>
            </w:tcBorders>
            <w:shd w:val="clear" w:color="auto" w:fill="E7E6E6" w:themeFill="background2"/>
          </w:tcPr>
          <w:p w14:paraId="4CEA8461" w14:textId="77777777" w:rsidR="00350E05" w:rsidRPr="00B524BD" w:rsidRDefault="00350E05" w:rsidP="007963BB">
            <w:pPr>
              <w:rPr>
                <w:b/>
                <w:bCs/>
              </w:rPr>
            </w:pPr>
            <w:r w:rsidRPr="00B524BD">
              <w:rPr>
                <w:b/>
                <w:bCs/>
              </w:rPr>
              <w:t>Actual</w:t>
            </w:r>
          </w:p>
        </w:tc>
        <w:tc>
          <w:tcPr>
            <w:tcW w:w="1132" w:type="dxa"/>
            <w:tcBorders>
              <w:top w:val="single" w:sz="4" w:space="0" w:color="auto"/>
              <w:left w:val="single" w:sz="4" w:space="0" w:color="auto"/>
              <w:bottom w:val="single" w:sz="4" w:space="0" w:color="auto"/>
              <w:right w:val="single" w:sz="4" w:space="0" w:color="auto"/>
            </w:tcBorders>
            <w:shd w:val="clear" w:color="auto" w:fill="E7E6E6" w:themeFill="background2"/>
          </w:tcPr>
          <w:p w14:paraId="5BE56A68" w14:textId="77777777" w:rsidR="00350E05" w:rsidRPr="00B524BD" w:rsidRDefault="00350E05" w:rsidP="007963BB">
            <w:pPr>
              <w:rPr>
                <w:b/>
                <w:bCs/>
              </w:rPr>
            </w:pPr>
            <w:r w:rsidRPr="00B524BD">
              <w:rPr>
                <w:b/>
                <w:bCs/>
              </w:rPr>
              <w:t>WEAG</w:t>
            </w:r>
          </w:p>
        </w:tc>
        <w:tc>
          <w:tcPr>
            <w:tcW w:w="1155" w:type="dxa"/>
            <w:tcBorders>
              <w:top w:val="single" w:sz="4" w:space="0" w:color="auto"/>
              <w:left w:val="single" w:sz="4" w:space="0" w:color="auto"/>
              <w:bottom w:val="single" w:sz="4" w:space="0" w:color="auto"/>
              <w:right w:val="single" w:sz="4" w:space="0" w:color="auto"/>
            </w:tcBorders>
            <w:shd w:val="clear" w:color="auto" w:fill="E7E6E6" w:themeFill="background2"/>
          </w:tcPr>
          <w:p w14:paraId="0B300A93" w14:textId="77777777" w:rsidR="00350E05" w:rsidRPr="00B524BD" w:rsidRDefault="00350E05" w:rsidP="007963BB">
            <w:pPr>
              <w:rPr>
                <w:b/>
                <w:bCs/>
              </w:rPr>
            </w:pPr>
            <w:r w:rsidRPr="00B524BD">
              <w:rPr>
                <w:b/>
                <w:bCs/>
              </w:rPr>
              <w:t>Shortfall</w:t>
            </w:r>
          </w:p>
        </w:tc>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tcPr>
          <w:p w14:paraId="4D12675E" w14:textId="77777777" w:rsidR="00350E05" w:rsidRPr="00B524BD" w:rsidRDefault="00350E05" w:rsidP="007963BB">
            <w:pPr>
              <w:rPr>
                <w:b/>
                <w:bCs/>
              </w:rPr>
            </w:pPr>
            <w:r w:rsidRPr="00B524BD">
              <w:rPr>
                <w:b/>
                <w:bCs/>
              </w:rPr>
              <w:t>Actual</w:t>
            </w:r>
          </w:p>
        </w:tc>
        <w:tc>
          <w:tcPr>
            <w:tcW w:w="1146" w:type="dxa"/>
            <w:tcBorders>
              <w:top w:val="single" w:sz="4" w:space="0" w:color="auto"/>
              <w:left w:val="single" w:sz="4" w:space="0" w:color="auto"/>
              <w:bottom w:val="single" w:sz="4" w:space="0" w:color="auto"/>
              <w:right w:val="single" w:sz="4" w:space="0" w:color="auto"/>
            </w:tcBorders>
            <w:shd w:val="clear" w:color="auto" w:fill="E7E6E6" w:themeFill="background2"/>
          </w:tcPr>
          <w:p w14:paraId="5614634E" w14:textId="77777777" w:rsidR="00350E05" w:rsidRPr="00B524BD" w:rsidRDefault="00350E05" w:rsidP="007963BB">
            <w:pPr>
              <w:ind w:left="102" w:firstLine="6"/>
              <w:rPr>
                <w:b/>
                <w:bCs/>
              </w:rPr>
            </w:pPr>
            <w:r w:rsidRPr="00B524BD">
              <w:rPr>
                <w:b/>
                <w:bCs/>
              </w:rPr>
              <w:t xml:space="preserve">WEAG </w:t>
            </w:r>
          </w:p>
        </w:tc>
        <w:tc>
          <w:tcPr>
            <w:tcW w:w="1517" w:type="dxa"/>
            <w:tcBorders>
              <w:top w:val="single" w:sz="4" w:space="0" w:color="auto"/>
              <w:left w:val="single" w:sz="4" w:space="0" w:color="auto"/>
              <w:bottom w:val="single" w:sz="4" w:space="0" w:color="auto"/>
            </w:tcBorders>
            <w:shd w:val="clear" w:color="auto" w:fill="E7E6E6" w:themeFill="background2"/>
          </w:tcPr>
          <w:p w14:paraId="67327F3A" w14:textId="77777777" w:rsidR="00350E05" w:rsidRPr="00B524BD" w:rsidRDefault="00350E05" w:rsidP="007963BB">
            <w:pPr>
              <w:ind w:left="102" w:firstLine="6"/>
              <w:rPr>
                <w:b/>
                <w:bCs/>
              </w:rPr>
            </w:pPr>
            <w:r w:rsidRPr="00B524BD">
              <w:rPr>
                <w:b/>
                <w:bCs/>
              </w:rPr>
              <w:t>Shortfall</w:t>
            </w:r>
          </w:p>
        </w:tc>
      </w:tr>
      <w:tr w:rsidR="00350E05" w14:paraId="5DD65B49" w14:textId="77777777" w:rsidTr="004B3CB5">
        <w:tc>
          <w:tcPr>
            <w:tcW w:w="1814" w:type="dxa"/>
            <w:tcBorders>
              <w:top w:val="single" w:sz="4" w:space="0" w:color="auto"/>
              <w:right w:val="single" w:sz="4" w:space="0" w:color="auto"/>
            </w:tcBorders>
          </w:tcPr>
          <w:p w14:paraId="3446710D" w14:textId="3B95A01C" w:rsidR="00350E05" w:rsidRPr="00B524BD" w:rsidRDefault="00350E05" w:rsidP="007963BB">
            <w:pPr>
              <w:rPr>
                <w:b/>
                <w:bCs/>
              </w:rPr>
            </w:pPr>
            <w:r>
              <w:rPr>
                <w:b/>
                <w:bCs/>
              </w:rPr>
              <w:t xml:space="preserve">April </w:t>
            </w:r>
            <w:r w:rsidRPr="00B524BD">
              <w:rPr>
                <w:b/>
                <w:bCs/>
              </w:rPr>
              <w:t>2019</w:t>
            </w:r>
            <w:r w:rsidR="00E24ABC">
              <w:rPr>
                <w:b/>
                <w:bCs/>
              </w:rPr>
              <w:t>/20</w:t>
            </w:r>
          </w:p>
        </w:tc>
        <w:tc>
          <w:tcPr>
            <w:tcW w:w="1128" w:type="dxa"/>
            <w:tcBorders>
              <w:top w:val="single" w:sz="4" w:space="0" w:color="auto"/>
              <w:left w:val="single" w:sz="4" w:space="0" w:color="auto"/>
              <w:right w:val="single" w:sz="4" w:space="0" w:color="auto"/>
            </w:tcBorders>
          </w:tcPr>
          <w:p w14:paraId="0D6BC436" w14:textId="77777777" w:rsidR="00350E05" w:rsidRDefault="00350E05" w:rsidP="007963BB">
            <w:r>
              <w:t>$113</w:t>
            </w:r>
          </w:p>
        </w:tc>
        <w:tc>
          <w:tcPr>
            <w:tcW w:w="1132" w:type="dxa"/>
            <w:tcBorders>
              <w:top w:val="single" w:sz="4" w:space="0" w:color="auto"/>
              <w:left w:val="single" w:sz="4" w:space="0" w:color="auto"/>
              <w:right w:val="single" w:sz="4" w:space="0" w:color="auto"/>
            </w:tcBorders>
          </w:tcPr>
          <w:p w14:paraId="7A52FFD7" w14:textId="77777777" w:rsidR="00350E05" w:rsidRDefault="00350E05" w:rsidP="007963BB">
            <w:r>
              <w:t>$170</w:t>
            </w:r>
          </w:p>
        </w:tc>
        <w:tc>
          <w:tcPr>
            <w:tcW w:w="1155" w:type="dxa"/>
            <w:tcBorders>
              <w:top w:val="single" w:sz="4" w:space="0" w:color="auto"/>
              <w:left w:val="single" w:sz="4" w:space="0" w:color="auto"/>
              <w:right w:val="single" w:sz="4" w:space="0" w:color="auto"/>
            </w:tcBorders>
          </w:tcPr>
          <w:p w14:paraId="5D2DCC19" w14:textId="77777777" w:rsidR="00350E05" w:rsidRDefault="00350E05" w:rsidP="007963BB">
            <w:r>
              <w:t>$57</w:t>
            </w:r>
          </w:p>
        </w:tc>
        <w:tc>
          <w:tcPr>
            <w:tcW w:w="1129" w:type="dxa"/>
            <w:tcBorders>
              <w:top w:val="single" w:sz="4" w:space="0" w:color="auto"/>
              <w:left w:val="single" w:sz="4" w:space="0" w:color="auto"/>
              <w:right w:val="single" w:sz="4" w:space="0" w:color="auto"/>
            </w:tcBorders>
          </w:tcPr>
          <w:p w14:paraId="40FBB1A0" w14:textId="77777777" w:rsidR="00350E05" w:rsidRDefault="00350E05" w:rsidP="007963BB">
            <w:r>
              <w:t>$91</w:t>
            </w:r>
          </w:p>
        </w:tc>
        <w:tc>
          <w:tcPr>
            <w:tcW w:w="1146" w:type="dxa"/>
            <w:tcBorders>
              <w:top w:val="single" w:sz="4" w:space="0" w:color="auto"/>
              <w:left w:val="single" w:sz="4" w:space="0" w:color="auto"/>
              <w:right w:val="single" w:sz="4" w:space="0" w:color="auto"/>
            </w:tcBorders>
          </w:tcPr>
          <w:p w14:paraId="12DA191A" w14:textId="77777777" w:rsidR="00350E05" w:rsidRDefault="00350E05" w:rsidP="007963BB">
            <w:r>
              <w:t>$120</w:t>
            </w:r>
          </w:p>
        </w:tc>
        <w:tc>
          <w:tcPr>
            <w:tcW w:w="1517" w:type="dxa"/>
            <w:tcBorders>
              <w:top w:val="single" w:sz="4" w:space="0" w:color="auto"/>
              <w:left w:val="single" w:sz="4" w:space="0" w:color="auto"/>
            </w:tcBorders>
          </w:tcPr>
          <w:p w14:paraId="5401A2FB" w14:textId="77777777" w:rsidR="00350E05" w:rsidRDefault="00350E05" w:rsidP="007963BB">
            <w:r>
              <w:t>$29</w:t>
            </w:r>
          </w:p>
        </w:tc>
      </w:tr>
      <w:tr w:rsidR="00350E05" w14:paraId="3503833E" w14:textId="77777777" w:rsidTr="004B3CB5">
        <w:tc>
          <w:tcPr>
            <w:tcW w:w="1814" w:type="dxa"/>
            <w:tcBorders>
              <w:right w:val="single" w:sz="4" w:space="0" w:color="auto"/>
            </w:tcBorders>
          </w:tcPr>
          <w:p w14:paraId="0378F323" w14:textId="655CE3C8" w:rsidR="00350E05" w:rsidRPr="00B524BD" w:rsidRDefault="00350E05" w:rsidP="007963BB">
            <w:pPr>
              <w:rPr>
                <w:b/>
                <w:bCs/>
              </w:rPr>
            </w:pPr>
            <w:r w:rsidRPr="00B524BD">
              <w:rPr>
                <w:b/>
                <w:bCs/>
              </w:rPr>
              <w:t>April 2022</w:t>
            </w:r>
            <w:r w:rsidR="00E24ABC">
              <w:rPr>
                <w:b/>
                <w:bCs/>
              </w:rPr>
              <w:t>/23</w:t>
            </w:r>
            <w:r w:rsidRPr="00B524BD">
              <w:rPr>
                <w:b/>
                <w:bCs/>
              </w:rPr>
              <w:t xml:space="preserve"> </w:t>
            </w:r>
          </w:p>
        </w:tc>
        <w:tc>
          <w:tcPr>
            <w:tcW w:w="1128" w:type="dxa"/>
            <w:tcBorders>
              <w:left w:val="single" w:sz="4" w:space="0" w:color="auto"/>
              <w:right w:val="single" w:sz="4" w:space="0" w:color="auto"/>
            </w:tcBorders>
          </w:tcPr>
          <w:p w14:paraId="5214439B" w14:textId="77777777" w:rsidR="00350E05" w:rsidRDefault="00350E05" w:rsidP="007963BB">
            <w:r>
              <w:t>$128</w:t>
            </w:r>
          </w:p>
        </w:tc>
        <w:tc>
          <w:tcPr>
            <w:tcW w:w="1132" w:type="dxa"/>
            <w:tcBorders>
              <w:left w:val="single" w:sz="4" w:space="0" w:color="auto"/>
              <w:right w:val="single" w:sz="4" w:space="0" w:color="auto"/>
            </w:tcBorders>
          </w:tcPr>
          <w:p w14:paraId="6E726C7E" w14:textId="77777777" w:rsidR="00350E05" w:rsidRDefault="00350E05" w:rsidP="007963BB">
            <w:r>
              <w:t>$186</w:t>
            </w:r>
          </w:p>
        </w:tc>
        <w:tc>
          <w:tcPr>
            <w:tcW w:w="1155" w:type="dxa"/>
            <w:tcBorders>
              <w:left w:val="single" w:sz="4" w:space="0" w:color="auto"/>
              <w:right w:val="single" w:sz="4" w:space="0" w:color="auto"/>
            </w:tcBorders>
          </w:tcPr>
          <w:p w14:paraId="36B92026" w14:textId="77777777" w:rsidR="00350E05" w:rsidRDefault="00350E05" w:rsidP="007963BB">
            <w:r w:rsidRPr="00D044A9">
              <w:t>$58</w:t>
            </w:r>
          </w:p>
        </w:tc>
        <w:tc>
          <w:tcPr>
            <w:tcW w:w="1129" w:type="dxa"/>
            <w:tcBorders>
              <w:left w:val="single" w:sz="4" w:space="0" w:color="auto"/>
              <w:right w:val="single" w:sz="4" w:space="0" w:color="auto"/>
            </w:tcBorders>
          </w:tcPr>
          <w:p w14:paraId="77132DBD" w14:textId="77777777" w:rsidR="00350E05" w:rsidRDefault="00350E05" w:rsidP="007963BB">
            <w:r>
              <w:t>$104</w:t>
            </w:r>
          </w:p>
        </w:tc>
        <w:tc>
          <w:tcPr>
            <w:tcW w:w="1146" w:type="dxa"/>
            <w:tcBorders>
              <w:left w:val="single" w:sz="4" w:space="0" w:color="auto"/>
              <w:right w:val="single" w:sz="4" w:space="0" w:color="auto"/>
            </w:tcBorders>
          </w:tcPr>
          <w:p w14:paraId="35CEA6FE" w14:textId="77777777" w:rsidR="00350E05" w:rsidRDefault="00350E05" w:rsidP="007963BB">
            <w:r>
              <w:t>$131</w:t>
            </w:r>
          </w:p>
        </w:tc>
        <w:tc>
          <w:tcPr>
            <w:tcW w:w="1517" w:type="dxa"/>
            <w:tcBorders>
              <w:left w:val="single" w:sz="4" w:space="0" w:color="auto"/>
            </w:tcBorders>
          </w:tcPr>
          <w:p w14:paraId="53E93783" w14:textId="77777777" w:rsidR="00350E05" w:rsidRDefault="00350E05" w:rsidP="007963BB">
            <w:r w:rsidRPr="00D044A9">
              <w:t>$27</w:t>
            </w:r>
          </w:p>
        </w:tc>
      </w:tr>
    </w:tbl>
    <w:p w14:paraId="62CEB584" w14:textId="77777777" w:rsidR="00350E05" w:rsidRDefault="00350E05" w:rsidP="007963BB">
      <w:pPr>
        <w:spacing w:line="240" w:lineRule="auto"/>
      </w:pPr>
    </w:p>
    <w:p w14:paraId="2F167A8C" w14:textId="77777777" w:rsidR="00350E05" w:rsidRPr="00C40A1F" w:rsidRDefault="00350E05" w:rsidP="007963BB">
      <w:pPr>
        <w:pStyle w:val="Heading2"/>
        <w:spacing w:line="240" w:lineRule="auto"/>
      </w:pPr>
      <w:bookmarkStart w:id="25" w:name="_Toc89330005"/>
      <w:r>
        <w:t>Impact of income support settings on different household types</w:t>
      </w:r>
      <w:bookmarkEnd w:id="25"/>
    </w:p>
    <w:p w14:paraId="0C680E6D" w14:textId="2156002B" w:rsidR="00350E05" w:rsidRDefault="00350E05" w:rsidP="007963BB">
      <w:pPr>
        <w:pStyle w:val="Heading3"/>
        <w:spacing w:line="240" w:lineRule="auto"/>
      </w:pPr>
      <w:bookmarkStart w:id="26" w:name="_Toc89330006"/>
      <w:r>
        <w:t xml:space="preserve">Main </w:t>
      </w:r>
      <w:r w:rsidR="00FE2E1F">
        <w:t>b</w:t>
      </w:r>
      <w:r>
        <w:t xml:space="preserve">enefit rates </w:t>
      </w:r>
      <w:r w:rsidRPr="001A2AEA">
        <w:t>for people without children</w:t>
      </w:r>
      <w:bookmarkEnd w:id="26"/>
    </w:p>
    <w:p w14:paraId="5C2D0162" w14:textId="5E0EE7B4" w:rsidR="00583B10" w:rsidRDefault="00350E05" w:rsidP="007963BB">
      <w:pPr>
        <w:spacing w:line="240" w:lineRule="auto"/>
      </w:pPr>
      <w:r>
        <w:t xml:space="preserve">The fully implemented April 2022 benefit increases for people without dependent children will </w:t>
      </w:r>
      <w:r w:rsidRPr="00350E05">
        <w:rPr>
          <w:b/>
          <w:bCs/>
        </w:rPr>
        <w:t>not</w:t>
      </w:r>
      <w:r>
        <w:t xml:space="preserve"> fully meet wage-adjusted WEAG recommendations. </w:t>
      </w:r>
      <w:r w:rsidR="00B32812">
        <w:t>Figure</w:t>
      </w:r>
      <w:r w:rsidR="00140751">
        <w:t xml:space="preserve"> 1</w:t>
      </w:r>
      <w:r w:rsidR="00B32812">
        <w:rPr>
          <w:color w:val="FF0000"/>
        </w:rPr>
        <w:t xml:space="preserve"> </w:t>
      </w:r>
      <w:r w:rsidR="00B32812">
        <w:t>illustrates the shortfall between wage-adjusted WEAG rates and actual benefit rates</w:t>
      </w:r>
      <w:r w:rsidR="002C7646">
        <w:t xml:space="preserve"> for four types of benefit recipients without children. </w:t>
      </w:r>
      <w:r w:rsidR="003C7E71">
        <w:t>In the three years to April 2022, the weekly shortfall will have decreased (</w:t>
      </w:r>
      <w:r>
        <w:t>from 31%-47% of actual benefits in 2019 to 9% in 2022</w:t>
      </w:r>
      <w:r w:rsidR="003C7E71">
        <w:t xml:space="preserve">), however a sizeable </w:t>
      </w:r>
      <w:r w:rsidR="00396042">
        <w:t>shortfall of between $25 and $34 per week will still remain in 2022 (see Supplementary Table 1 in Appendix C for full details).</w:t>
      </w:r>
    </w:p>
    <w:p w14:paraId="4277D55E" w14:textId="7B7916DA" w:rsidR="00740B1F" w:rsidRPr="009B7F26" w:rsidRDefault="00740B1F" w:rsidP="007963BB">
      <w:pPr>
        <w:pStyle w:val="Caption"/>
        <w:ind w:left="360"/>
      </w:pPr>
      <w:r>
        <w:t xml:space="preserve">Figure 1: </w:t>
      </w:r>
      <w:r w:rsidRPr="006C03DF">
        <w:t>The shortfall between actual benefit rates, and wage-adjusted WEAG recommended benefit rates, as a percentage of actual benefit rates, individual basis (SLP - Supported Living Payment; JSS - JobSeeker; ch - children)</w:t>
      </w:r>
    </w:p>
    <w:p w14:paraId="459C11D8" w14:textId="4C71EB47" w:rsidR="00350E05" w:rsidRDefault="001047F3" w:rsidP="007963BB">
      <w:pPr>
        <w:pStyle w:val="ListParagraph"/>
        <w:keepNext/>
        <w:ind w:firstLine="0"/>
        <w:jc w:val="center"/>
      </w:pPr>
      <w:r>
        <w:rPr>
          <w:noProof/>
          <w:lang w:eastAsia="en-NZ"/>
        </w:rPr>
        <mc:AlternateContent>
          <mc:Choice Requires="wps">
            <w:drawing>
              <wp:anchor distT="45720" distB="45720" distL="114300" distR="114300" simplePos="0" relativeHeight="251660288" behindDoc="0" locked="0" layoutInCell="1" allowOverlap="1" wp14:anchorId="710DA260" wp14:editId="4D3621A1">
                <wp:simplePos x="0" y="0"/>
                <wp:positionH relativeFrom="margin">
                  <wp:posOffset>4171950</wp:posOffset>
                </wp:positionH>
                <wp:positionV relativeFrom="paragraph">
                  <wp:posOffset>885825</wp:posOffset>
                </wp:positionV>
                <wp:extent cx="781050" cy="7143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14375"/>
                        </a:xfrm>
                        <a:prstGeom prst="rect">
                          <a:avLst/>
                        </a:prstGeom>
                        <a:solidFill>
                          <a:srgbClr val="FFFFFF"/>
                        </a:solidFill>
                        <a:ln w="9525">
                          <a:solidFill>
                            <a:schemeClr val="bg1"/>
                          </a:solidFill>
                          <a:miter lim="800000"/>
                          <a:headEnd/>
                          <a:tailEnd/>
                        </a:ln>
                      </wps:spPr>
                      <wps:txbx>
                        <w:txbxContent>
                          <w:p w14:paraId="05B96226" w14:textId="1B1ECF7C" w:rsidR="00E84D61" w:rsidRDefault="00E84D61" w:rsidP="001047F3">
                            <w:pPr>
                              <w:spacing w:after="120"/>
                              <w:rPr>
                                <w:color w:val="595959" w:themeColor="text1" w:themeTint="A6"/>
                                <w:sz w:val="18"/>
                                <w:szCs w:val="16"/>
                              </w:rPr>
                            </w:pPr>
                            <w:r>
                              <w:rPr>
                                <w:color w:val="595959" w:themeColor="text1" w:themeTint="A6"/>
                                <w:sz w:val="18"/>
                                <w:szCs w:val="16"/>
                              </w:rPr>
                              <w:t>Apr-19</w:t>
                            </w:r>
                          </w:p>
                          <w:p w14:paraId="32327BC2" w14:textId="498482A4" w:rsidR="00E84D61" w:rsidRDefault="00E84D61" w:rsidP="001047F3">
                            <w:pPr>
                              <w:spacing w:after="120"/>
                              <w:rPr>
                                <w:color w:val="595959" w:themeColor="text1" w:themeTint="A6"/>
                                <w:sz w:val="18"/>
                                <w:szCs w:val="16"/>
                              </w:rPr>
                            </w:pPr>
                            <w:r>
                              <w:rPr>
                                <w:color w:val="595959" w:themeColor="text1" w:themeTint="A6"/>
                                <w:sz w:val="18"/>
                                <w:szCs w:val="16"/>
                              </w:rPr>
                              <w:t>Nov-21</w:t>
                            </w:r>
                          </w:p>
                          <w:p w14:paraId="37CAC2DB" w14:textId="0FE7B10E" w:rsidR="00E84D61" w:rsidRDefault="00E84D61" w:rsidP="001047F3">
                            <w:pPr>
                              <w:spacing w:after="120"/>
                              <w:rPr>
                                <w:color w:val="595959" w:themeColor="text1" w:themeTint="A6"/>
                                <w:sz w:val="18"/>
                                <w:szCs w:val="16"/>
                              </w:rPr>
                            </w:pPr>
                            <w:r>
                              <w:rPr>
                                <w:color w:val="595959" w:themeColor="text1" w:themeTint="A6"/>
                                <w:sz w:val="18"/>
                                <w:szCs w:val="16"/>
                              </w:rPr>
                              <w:t>Apr-22 (est)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DA260" id="_x0000_s1029" type="#_x0000_t202" style="position:absolute;left:0;text-align:left;margin-left:328.5pt;margin-top:69.75pt;width:61.5pt;height:5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" strokecolor="white [3212]">
                <v:textbox>
                  <w:txbxContent>
                    <w:p w14:paraId="05B96226" w14:textId="1B1ECF7C" w:rsidR="00E84D61" w:rsidRDefault="00E84D61" w:rsidP="001047F3">
                      <w:pPr>
                        <w:spacing w:after="120"/>
                        <w:rPr>
                          <w:color w:val="595959" w:themeColor="text1" w:themeTint="A6"/>
                          <w:sz w:val="18"/>
                          <w:szCs w:val="16"/>
                        </w:rPr>
                      </w:pPr>
                      <w:r>
                        <w:rPr>
                          <w:color w:val="595959" w:themeColor="text1" w:themeTint="A6"/>
                          <w:sz w:val="18"/>
                          <w:szCs w:val="16"/>
                        </w:rPr>
                        <w:t>Apr-19</w:t>
                      </w:r>
                    </w:p>
                    <w:p w14:paraId="32327BC2" w14:textId="498482A4" w:rsidR="00E84D61" w:rsidRDefault="00E84D61" w:rsidP="001047F3">
                      <w:pPr>
                        <w:spacing w:after="120"/>
                        <w:rPr>
                          <w:color w:val="595959" w:themeColor="text1" w:themeTint="A6"/>
                          <w:sz w:val="18"/>
                          <w:szCs w:val="16"/>
                        </w:rPr>
                      </w:pPr>
                      <w:r>
                        <w:rPr>
                          <w:color w:val="595959" w:themeColor="text1" w:themeTint="A6"/>
                          <w:sz w:val="18"/>
                          <w:szCs w:val="16"/>
                        </w:rPr>
                        <w:t>Nov-21</w:t>
                      </w:r>
                    </w:p>
                    <w:p w14:paraId="37CAC2DB" w14:textId="0FE7B10E" w:rsidR="00E84D61" w:rsidRDefault="00E84D61" w:rsidP="001047F3">
                      <w:pPr>
                        <w:spacing w:after="120"/>
                        <w:rPr>
                          <w:color w:val="595959" w:themeColor="text1" w:themeTint="A6"/>
                          <w:sz w:val="18"/>
                          <w:szCs w:val="16"/>
                        </w:rPr>
                      </w:pPr>
                      <w:r>
                        <w:rPr>
                          <w:color w:val="595959" w:themeColor="text1" w:themeTint="A6"/>
                          <w:sz w:val="18"/>
                          <w:szCs w:val="16"/>
                        </w:rPr>
                        <w:t>Apr-22 (est)</w:t>
                      </w:r>
                    </w:p>
                  </w:txbxContent>
                </v:textbox>
                <w10:wrap anchorx="margin"/>
              </v:shape>
            </w:pict>
          </mc:Fallback>
        </mc:AlternateContent>
      </w:r>
      <w:r w:rsidR="00350E05">
        <w:rPr>
          <w:noProof/>
          <w:lang w:eastAsia="en-NZ"/>
        </w:rPr>
        <w:drawing>
          <wp:inline distT="0" distB="0" distL="0" distR="0" wp14:anchorId="0B7D6B45" wp14:editId="6F1E551F">
            <wp:extent cx="3752850" cy="2495550"/>
            <wp:effectExtent l="0" t="0" r="0" b="0"/>
            <wp:docPr id="1" name="Chart 1">
              <a:extLst xmlns:a="http://schemas.openxmlformats.org/drawingml/2006/main">
                <a:ext uri="{FF2B5EF4-FFF2-40B4-BE49-F238E27FC236}">
                  <a16:creationId xmlns:a16="http://schemas.microsoft.com/office/drawing/2014/main" id="{B0D89D19-1733-4DDC-AC8C-63126A349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E68DB0" w14:textId="143CC402" w:rsidR="00350E05" w:rsidRPr="00350E05" w:rsidRDefault="00350E05" w:rsidP="007963BB">
      <w:pPr>
        <w:spacing w:line="240" w:lineRule="auto"/>
        <w:rPr>
          <w:szCs w:val="24"/>
        </w:rPr>
      </w:pPr>
      <w:r>
        <w:t xml:space="preserve">While young people are included in the benefit increases, the payments for </w:t>
      </w:r>
      <w:r w:rsidR="00240683">
        <w:t xml:space="preserve">younger </w:t>
      </w:r>
      <w:r>
        <w:t xml:space="preserve">single people without children will not be </w:t>
      </w:r>
      <w:r w:rsidRPr="00CA2018">
        <w:t xml:space="preserve">brought </w:t>
      </w:r>
      <w:r>
        <w:t xml:space="preserve">up to the </w:t>
      </w:r>
      <w:r w:rsidRPr="00CA2018">
        <w:t>adult rates</w:t>
      </w:r>
      <w:r>
        <w:t xml:space="preserve"> for 25 years and over</w:t>
      </w:r>
      <w:r w:rsidR="00FE2E1F">
        <w:t>,</w:t>
      </w:r>
      <w:r>
        <w:t xml:space="preserve"> despite </w:t>
      </w:r>
      <w:r w:rsidRPr="00350E05">
        <w:rPr>
          <w:szCs w:val="24"/>
        </w:rPr>
        <w:t xml:space="preserve">WEAG’s </w:t>
      </w:r>
      <w:r w:rsidR="00375DE5">
        <w:rPr>
          <w:szCs w:val="24"/>
        </w:rPr>
        <w:t xml:space="preserve">(2019, pp. 102) </w:t>
      </w:r>
      <w:r w:rsidRPr="00350E05">
        <w:rPr>
          <w:szCs w:val="24"/>
        </w:rPr>
        <w:t>explicit advice that “</w:t>
      </w:r>
      <w:r w:rsidRPr="00350E05">
        <w:rPr>
          <w:rFonts w:cs="Museo Sans 300"/>
          <w:i/>
          <w:color w:val="000000"/>
          <w:szCs w:val="24"/>
        </w:rPr>
        <w:t>there is no evidence that living costs are significantly lower for 16- to 24-year-olds who are living away from home than for people 25 years and over</w:t>
      </w:r>
      <w:r w:rsidRPr="00350E05">
        <w:rPr>
          <w:rFonts w:cs="Museo Sans 300"/>
          <w:color w:val="000000"/>
          <w:szCs w:val="24"/>
        </w:rPr>
        <w:t>.”</w:t>
      </w:r>
    </w:p>
    <w:p w14:paraId="57D69624" w14:textId="77777777" w:rsidR="00350E05" w:rsidRDefault="00350E05" w:rsidP="007963BB">
      <w:pPr>
        <w:pStyle w:val="Heading3"/>
        <w:spacing w:line="240" w:lineRule="auto"/>
      </w:pPr>
      <w:bookmarkStart w:id="27" w:name="_Toc89330007"/>
      <w:r>
        <w:t>Income</w:t>
      </w:r>
      <w:r w:rsidRPr="001A2AEA">
        <w:t xml:space="preserve"> support for people </w:t>
      </w:r>
      <w:r>
        <w:t xml:space="preserve">with </w:t>
      </w:r>
      <w:r w:rsidRPr="001A2AEA">
        <w:t>children</w:t>
      </w:r>
      <w:bookmarkEnd w:id="27"/>
    </w:p>
    <w:p w14:paraId="5E4AD0FF" w14:textId="1ADF33DC" w:rsidR="00350E05" w:rsidRPr="008644C8" w:rsidRDefault="00350E05" w:rsidP="007963BB">
      <w:pPr>
        <w:spacing w:line="240" w:lineRule="auto"/>
      </w:pPr>
      <w:r w:rsidRPr="00350E05">
        <w:rPr>
          <w:bCs/>
        </w:rPr>
        <w:t xml:space="preserve">The package of benefit plus WFF tax credits for </w:t>
      </w:r>
      <w:r w:rsidRPr="00350E05">
        <w:rPr>
          <w:bCs/>
          <w:i/>
          <w:iCs/>
        </w:rPr>
        <w:t>all</w:t>
      </w:r>
      <w:r w:rsidRPr="00350E05">
        <w:rPr>
          <w:bCs/>
        </w:rPr>
        <w:t xml:space="preserve"> families with dependent children will remain lower than WEAG-recommended levels for core income</w:t>
      </w:r>
      <w:r w:rsidRPr="008644C8">
        <w:t>.</w:t>
      </w:r>
      <w:r w:rsidR="00F324B5">
        <w:t xml:space="preserve"> </w:t>
      </w:r>
      <w:r w:rsidR="00F324B5" w:rsidRPr="00F324B5">
        <w:t xml:space="preserve">The fully implemented April 2022 benefit increases will not meet wage-adjusted WEAG benefit-level recommendations for couples with dependent children (the expected shortfall is ~4%), but </w:t>
      </w:r>
      <w:r w:rsidR="00F324B5" w:rsidRPr="00490E1D">
        <w:rPr>
          <w:i/>
          <w:iCs/>
        </w:rPr>
        <w:t>will</w:t>
      </w:r>
      <w:r w:rsidR="00F324B5" w:rsidRPr="00F324B5">
        <w:t xml:space="preserve"> meet them for sole parents. However, </w:t>
      </w:r>
      <w:r w:rsidR="00F324B5" w:rsidRPr="00F14F75">
        <w:t>WEAG benefit-level recommendations for all parents assumed that families would also be receiving Family Tax Credits at WEAG recommended levels</w:t>
      </w:r>
      <w:r w:rsidR="00F02356" w:rsidRPr="00F14F75">
        <w:t>, w</w:t>
      </w:r>
      <w:r w:rsidR="00344186" w:rsidRPr="00F14F75">
        <w:t>hich they are not</w:t>
      </w:r>
      <w:r w:rsidR="00F324B5" w:rsidRPr="00F14F75">
        <w:t>.</w:t>
      </w:r>
      <w:r w:rsidR="00F324B5" w:rsidRPr="00F324B5">
        <w:t xml:space="preserve"> </w:t>
      </w:r>
    </w:p>
    <w:p w14:paraId="2B5DAE4C" w14:textId="38AD2DBA" w:rsidR="000C7944" w:rsidRDefault="006E19CA" w:rsidP="007963BB">
      <w:pPr>
        <w:spacing w:line="240" w:lineRule="auto"/>
      </w:pPr>
      <w:r>
        <w:t>Figure 2</w:t>
      </w:r>
      <w:r w:rsidR="00350E05">
        <w:t xml:space="preserve"> illustrates how a sole-parent family’s package of income support remains lower than the wage-adjusted rates WEAG recommended. A family of three children in 2022 is scheduled to receive </w:t>
      </w:r>
      <w:r w:rsidR="009D1CEC">
        <w:t xml:space="preserve">per week </w:t>
      </w:r>
      <w:r w:rsidR="00350E05">
        <w:t xml:space="preserve">Sole Parent Support of $434 – more than meeting wage-adjusted WEAG recommended SPS levels of $409 – but their Family Tax Credit entitlement will be only $336, rather than the wage-adjusted WEAG rate of $449. This will give them an overall weekly core income entitlement that is $88 less than what WEAG recommended, in wage-adjusted terms ($770 versus $858). </w:t>
      </w:r>
    </w:p>
    <w:p w14:paraId="43F45EC5" w14:textId="7631A0E0" w:rsidR="000C7944" w:rsidRDefault="000C7944" w:rsidP="007963BB">
      <w:pPr>
        <w:pStyle w:val="Caption"/>
        <w:keepNext/>
        <w:jc w:val="center"/>
      </w:pPr>
      <w:r>
        <w:t>Figure 2: Value of Sole Parent Support</w:t>
      </w:r>
      <w:r w:rsidR="006E19CA">
        <w:t xml:space="preserve"> (SPS)</w:t>
      </w:r>
      <w:r>
        <w:t xml:space="preserve"> + Family Tax Credit</w:t>
      </w:r>
      <w:r w:rsidR="006E19CA">
        <w:t xml:space="preserve"> (FTC)</w:t>
      </w:r>
      <w:r>
        <w:t xml:space="preserve"> </w:t>
      </w:r>
      <w:r w:rsidR="008F46F3">
        <w:t xml:space="preserve">per week </w:t>
      </w:r>
      <w:r>
        <w:t>for a family with three children, actual rates vs WEAG wage-adjusted rates (April 2022)</w:t>
      </w:r>
    </w:p>
    <w:p w14:paraId="08083B16" w14:textId="34E1677C" w:rsidR="00350E05" w:rsidRDefault="000C7944" w:rsidP="007963BB">
      <w:pPr>
        <w:pStyle w:val="ListParagraph"/>
        <w:ind w:firstLine="0"/>
        <w:jc w:val="center"/>
      </w:pPr>
      <w:r>
        <w:rPr>
          <w:noProof/>
          <w:lang w:eastAsia="en-NZ"/>
        </w:rPr>
        <mc:AlternateContent>
          <mc:Choice Requires="wps">
            <w:drawing>
              <wp:anchor distT="45720" distB="45720" distL="114300" distR="114300" simplePos="0" relativeHeight="251659264" behindDoc="0" locked="0" layoutInCell="1" allowOverlap="1" wp14:anchorId="6B899AC2" wp14:editId="43A4DF05">
                <wp:simplePos x="0" y="0"/>
                <wp:positionH relativeFrom="column">
                  <wp:posOffset>4229100</wp:posOffset>
                </wp:positionH>
                <wp:positionV relativeFrom="paragraph">
                  <wp:posOffset>1056640</wp:posOffset>
                </wp:positionV>
                <wp:extent cx="809625" cy="4953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solidFill>
                          <a:srgbClr val="FFFFFF"/>
                        </a:solidFill>
                        <a:ln w="9525">
                          <a:solidFill>
                            <a:schemeClr val="bg1"/>
                          </a:solidFill>
                          <a:miter lim="800000"/>
                          <a:headEnd/>
                          <a:tailEnd/>
                        </a:ln>
                      </wps:spPr>
                      <wps:txbx>
                        <w:txbxContent>
                          <w:p w14:paraId="0A499E83" w14:textId="7FA31A18" w:rsidR="00E84D61" w:rsidRDefault="00E84D61">
                            <w:pPr>
                              <w:rPr>
                                <w:color w:val="595959" w:themeColor="text1" w:themeTint="A6"/>
                                <w:sz w:val="18"/>
                                <w:szCs w:val="16"/>
                              </w:rPr>
                            </w:pPr>
                            <w:r w:rsidRPr="007D6DFB">
                              <w:rPr>
                                <w:color w:val="595959" w:themeColor="text1" w:themeTint="A6"/>
                                <w:sz w:val="18"/>
                                <w:szCs w:val="16"/>
                              </w:rPr>
                              <w:t xml:space="preserve">FTC + </w:t>
                            </w:r>
                            <w:r>
                              <w:rPr>
                                <w:color w:val="595959" w:themeColor="text1" w:themeTint="A6"/>
                                <w:sz w:val="18"/>
                                <w:szCs w:val="16"/>
                              </w:rPr>
                              <w:t>SPS</w:t>
                            </w:r>
                          </w:p>
                          <w:p w14:paraId="6DE054C2" w14:textId="1F62666E" w:rsidR="00E84D61" w:rsidRPr="007D6DFB" w:rsidRDefault="00E84D61">
                            <w:pPr>
                              <w:rPr>
                                <w:color w:val="595959" w:themeColor="text1" w:themeTint="A6"/>
                                <w:sz w:val="18"/>
                                <w:szCs w:val="16"/>
                              </w:rPr>
                            </w:pPr>
                            <w:r>
                              <w:rPr>
                                <w:color w:val="595959" w:themeColor="text1" w:themeTint="A6"/>
                                <w:sz w:val="18"/>
                                <w:szCs w:val="16"/>
                              </w:rPr>
                              <w:t>SPS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99AC2" id="_x0000_s1030" type="#_x0000_t202" style="position:absolute;left:0;text-align:left;margin-left:333pt;margin-top:83.2pt;width:63.7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" strokecolor="white [3212]">
                <v:textbox>
                  <w:txbxContent>
                    <w:p w14:paraId="0A499E83" w14:textId="7FA31A18" w:rsidR="00E84D61" w:rsidRDefault="00E84D61">
                      <w:pPr>
                        <w:rPr>
                          <w:color w:val="595959" w:themeColor="text1" w:themeTint="A6"/>
                          <w:sz w:val="18"/>
                          <w:szCs w:val="16"/>
                        </w:rPr>
                      </w:pPr>
                      <w:r w:rsidRPr="007D6DFB">
                        <w:rPr>
                          <w:color w:val="595959" w:themeColor="text1" w:themeTint="A6"/>
                          <w:sz w:val="18"/>
                          <w:szCs w:val="16"/>
                        </w:rPr>
                        <w:t xml:space="preserve">FTC + </w:t>
                      </w:r>
                      <w:r>
                        <w:rPr>
                          <w:color w:val="595959" w:themeColor="text1" w:themeTint="A6"/>
                          <w:sz w:val="18"/>
                          <w:szCs w:val="16"/>
                        </w:rPr>
                        <w:t>SPS</w:t>
                      </w:r>
                    </w:p>
                    <w:p w14:paraId="6DE054C2" w14:textId="1F62666E" w:rsidR="00E84D61" w:rsidRPr="007D6DFB" w:rsidRDefault="00E84D61">
                      <w:pPr>
                        <w:rPr>
                          <w:color w:val="595959" w:themeColor="text1" w:themeTint="A6"/>
                          <w:sz w:val="18"/>
                          <w:szCs w:val="16"/>
                        </w:rPr>
                      </w:pPr>
                      <w:r>
                        <w:rPr>
                          <w:color w:val="595959" w:themeColor="text1" w:themeTint="A6"/>
                          <w:sz w:val="18"/>
                          <w:szCs w:val="16"/>
                        </w:rPr>
                        <w:t>SPS</w:t>
                      </w:r>
                    </w:p>
                  </w:txbxContent>
                </v:textbox>
              </v:shape>
            </w:pict>
          </mc:Fallback>
        </mc:AlternateContent>
      </w:r>
      <w:r w:rsidR="00350E05">
        <w:rPr>
          <w:noProof/>
          <w:lang w:eastAsia="en-NZ"/>
        </w:rPr>
        <w:drawing>
          <wp:inline distT="0" distB="0" distL="0" distR="0" wp14:anchorId="2360D809" wp14:editId="505B13A4">
            <wp:extent cx="3962400" cy="3097530"/>
            <wp:effectExtent l="0" t="0" r="0" b="7620"/>
            <wp:docPr id="4" name="Chart 4">
              <a:extLst xmlns:a="http://schemas.openxmlformats.org/drawingml/2006/main">
                <a:ext uri="{FF2B5EF4-FFF2-40B4-BE49-F238E27FC236}">
                  <a16:creationId xmlns:a16="http://schemas.microsoft.com/office/drawing/2014/main" id="{DFFE63EF-7C66-4A18-9ADB-3C4E9E3E3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615F35" w14:textId="77777777" w:rsidR="00350E05" w:rsidRDefault="00350E05" w:rsidP="007963BB">
      <w:pPr>
        <w:pStyle w:val="ListParagraph"/>
        <w:ind w:firstLine="0"/>
      </w:pPr>
    </w:p>
    <w:p w14:paraId="2D1A1433" w14:textId="07EA5D96" w:rsidR="005F23FA" w:rsidRDefault="00350E05" w:rsidP="007963BB">
      <w:pPr>
        <w:spacing w:line="240" w:lineRule="auto"/>
      </w:pPr>
      <w:r>
        <w:t xml:space="preserve">It is positive that the shortfalls between actual income support rates and wage-adjusted WEAG rates are decreasing over time; however, gaps remain significant. </w:t>
      </w:r>
      <w:r w:rsidR="00DA60A8">
        <w:t>Figures 3 and 4</w:t>
      </w:r>
      <w:r>
        <w:t xml:space="preserve"> illustrate that while the shortfalls between WEAG recommendations and actual income support entitlements (benefits plus </w:t>
      </w:r>
      <w:r w:rsidR="00ED17D2">
        <w:t>Family Tax Credit</w:t>
      </w:r>
      <w:r>
        <w:t xml:space="preserve">) will remain for families in 2022, they will have shrunk considerably since 2019. In 2019, the shortfall was $128-$260 </w:t>
      </w:r>
      <w:r w:rsidR="00D35295">
        <w:t>per</w:t>
      </w:r>
      <w:r>
        <w:t xml:space="preserve"> week for families with three children</w:t>
      </w:r>
      <w:r w:rsidR="008E5AE5">
        <w:t>; i</w:t>
      </w:r>
      <w:r>
        <w:t xml:space="preserve">n 2022, it is likely to be $65-$141 </w:t>
      </w:r>
      <w:r w:rsidR="00D35295">
        <w:t>per</w:t>
      </w:r>
      <w:r>
        <w:t xml:space="preserve"> week – </w:t>
      </w:r>
      <w:r w:rsidR="008E5AE5">
        <w:t xml:space="preserve">reduced, but </w:t>
      </w:r>
      <w:r>
        <w:t>still very substantial</w:t>
      </w:r>
      <w:r w:rsidR="008E5AE5">
        <w:t xml:space="preserve"> nonetheless</w:t>
      </w:r>
      <w:r w:rsidR="00E06A8E">
        <w:t>, leaving families with inadequate funds for essentials</w:t>
      </w:r>
      <w:r w:rsidR="008E5AE5">
        <w:t>.</w:t>
      </w:r>
    </w:p>
    <w:p w14:paraId="1891CB3D" w14:textId="4C49957B" w:rsidR="005F23FA" w:rsidRDefault="005F23FA" w:rsidP="007963BB">
      <w:pPr>
        <w:pStyle w:val="Caption"/>
        <w:ind w:left="720"/>
      </w:pPr>
      <w:r>
        <w:t xml:space="preserve">Figure </w:t>
      </w:r>
      <w:r w:rsidR="004F331E">
        <w:fldChar w:fldCharType="begin"/>
      </w:r>
      <w:r w:rsidR="004F331E">
        <w:instrText xml:space="preserve"> SEQ Figure \* ARABIC </w:instrText>
      </w:r>
      <w:r w:rsidR="004F331E">
        <w:fldChar w:fldCharType="separate"/>
      </w:r>
      <w:r w:rsidR="00223305">
        <w:rPr>
          <w:noProof/>
        </w:rPr>
        <w:t>1</w:t>
      </w:r>
      <w:r w:rsidR="004F331E">
        <w:rPr>
          <w:noProof/>
        </w:rPr>
        <w:fldChar w:fldCharType="end"/>
      </w:r>
      <w:r>
        <w:t>:</w:t>
      </w:r>
      <w:r w:rsidR="00740B1F">
        <w:t xml:space="preserve"> </w:t>
      </w:r>
      <w:r w:rsidRPr="00746B41">
        <w:t xml:space="preserve">Families with 3 children: </w:t>
      </w:r>
      <w:r>
        <w:t xml:space="preserve">weekly </w:t>
      </w:r>
      <w:r w:rsidRPr="00746B41">
        <w:t xml:space="preserve">shortfall between wage-adjusted WEAG-recommended and actual main benefits and Family Tax Credits, household entitlements </w:t>
      </w:r>
      <w:r>
        <w:t>(</w:t>
      </w:r>
      <w:r w:rsidRPr="006C03DF">
        <w:t xml:space="preserve">SLP - Supported Living Payment; </w:t>
      </w:r>
      <w:r>
        <w:t xml:space="preserve">SPS – Sole Parent Support; </w:t>
      </w:r>
      <w:r w:rsidRPr="006C03DF">
        <w:t xml:space="preserve">JSS - </w:t>
      </w:r>
      <w:r w:rsidR="00344186" w:rsidRPr="006C03DF">
        <w:t>Job Seeker</w:t>
      </w:r>
      <w:r w:rsidR="00344186">
        <w:t xml:space="preserve"> Support</w:t>
      </w:r>
      <w:r w:rsidRPr="006C03DF">
        <w:t xml:space="preserve">; ch </w:t>
      </w:r>
      <w:r>
        <w:t>–</w:t>
      </w:r>
      <w:r w:rsidRPr="006C03DF">
        <w:t xml:space="preserve"> children</w:t>
      </w:r>
      <w:r>
        <w:t>)</w:t>
      </w:r>
    </w:p>
    <w:p w14:paraId="389F6E51" w14:textId="2DCAB651" w:rsidR="00350E05" w:rsidRDefault="008E5AE5" w:rsidP="007963BB">
      <w:pPr>
        <w:pStyle w:val="ListParagraph"/>
        <w:keepNext/>
        <w:ind w:firstLine="0"/>
      </w:pPr>
      <w:r>
        <w:rPr>
          <w:noProof/>
          <w:lang w:eastAsia="en-NZ"/>
        </w:rPr>
        <mc:AlternateContent>
          <mc:Choice Requires="wps">
            <w:drawing>
              <wp:anchor distT="45720" distB="45720" distL="114300" distR="114300" simplePos="0" relativeHeight="251661312" behindDoc="0" locked="0" layoutInCell="1" allowOverlap="1" wp14:anchorId="2380FC3E" wp14:editId="51F76FB1">
                <wp:simplePos x="0" y="0"/>
                <wp:positionH relativeFrom="margin">
                  <wp:posOffset>4495800</wp:posOffset>
                </wp:positionH>
                <wp:positionV relativeFrom="paragraph">
                  <wp:posOffset>800100</wp:posOffset>
                </wp:positionV>
                <wp:extent cx="762000" cy="7334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33425"/>
                        </a:xfrm>
                        <a:prstGeom prst="rect">
                          <a:avLst/>
                        </a:prstGeom>
                        <a:solidFill>
                          <a:srgbClr val="FFFFFF"/>
                        </a:solidFill>
                        <a:ln w="9525">
                          <a:solidFill>
                            <a:schemeClr val="bg1"/>
                          </a:solidFill>
                          <a:miter lim="800000"/>
                          <a:headEnd/>
                          <a:tailEnd/>
                        </a:ln>
                      </wps:spPr>
                      <wps:txbx>
                        <w:txbxContent>
                          <w:p w14:paraId="071FCDAE" w14:textId="77777777" w:rsidR="00E84D61" w:rsidRDefault="00E84D61" w:rsidP="008E5AE5">
                            <w:pPr>
                              <w:spacing w:after="120"/>
                              <w:rPr>
                                <w:color w:val="595959" w:themeColor="text1" w:themeTint="A6"/>
                                <w:sz w:val="18"/>
                                <w:szCs w:val="16"/>
                              </w:rPr>
                            </w:pPr>
                            <w:r>
                              <w:rPr>
                                <w:color w:val="595959" w:themeColor="text1" w:themeTint="A6"/>
                                <w:sz w:val="18"/>
                                <w:szCs w:val="16"/>
                              </w:rPr>
                              <w:t>Apr-19</w:t>
                            </w:r>
                          </w:p>
                          <w:p w14:paraId="6A223379" w14:textId="77777777" w:rsidR="00E84D61" w:rsidRDefault="00E84D61" w:rsidP="008E5AE5">
                            <w:pPr>
                              <w:spacing w:after="120"/>
                              <w:rPr>
                                <w:color w:val="595959" w:themeColor="text1" w:themeTint="A6"/>
                                <w:sz w:val="18"/>
                                <w:szCs w:val="16"/>
                              </w:rPr>
                            </w:pPr>
                            <w:r>
                              <w:rPr>
                                <w:color w:val="595959" w:themeColor="text1" w:themeTint="A6"/>
                                <w:sz w:val="18"/>
                                <w:szCs w:val="16"/>
                              </w:rPr>
                              <w:t>Nov-21</w:t>
                            </w:r>
                          </w:p>
                          <w:p w14:paraId="3D1D89B1" w14:textId="77777777" w:rsidR="00E84D61" w:rsidRDefault="00E84D61" w:rsidP="008E5AE5">
                            <w:pPr>
                              <w:spacing w:after="120"/>
                              <w:rPr>
                                <w:color w:val="595959" w:themeColor="text1" w:themeTint="A6"/>
                                <w:sz w:val="18"/>
                                <w:szCs w:val="16"/>
                              </w:rPr>
                            </w:pPr>
                            <w:r>
                              <w:rPr>
                                <w:color w:val="595959" w:themeColor="text1" w:themeTint="A6"/>
                                <w:sz w:val="18"/>
                                <w:szCs w:val="16"/>
                              </w:rPr>
                              <w:t>Apr-22 (est)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0FC3E" id="_x0000_s1031" type="#_x0000_t202" style="position:absolute;left:0;text-align:left;margin-left:354pt;margin-top:63pt;width:60pt;height:5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" strokecolor="white [3212]">
                <v:textbox>
                  <w:txbxContent>
                    <w:p w14:paraId="071FCDAE" w14:textId="77777777" w:rsidR="00E84D61" w:rsidRDefault="00E84D61" w:rsidP="008E5AE5">
                      <w:pPr>
                        <w:spacing w:after="120"/>
                        <w:rPr>
                          <w:color w:val="595959" w:themeColor="text1" w:themeTint="A6"/>
                          <w:sz w:val="18"/>
                          <w:szCs w:val="16"/>
                        </w:rPr>
                      </w:pPr>
                      <w:r>
                        <w:rPr>
                          <w:color w:val="595959" w:themeColor="text1" w:themeTint="A6"/>
                          <w:sz w:val="18"/>
                          <w:szCs w:val="16"/>
                        </w:rPr>
                        <w:t>Apr-19</w:t>
                      </w:r>
                    </w:p>
                    <w:p w14:paraId="6A223379" w14:textId="77777777" w:rsidR="00E84D61" w:rsidRDefault="00E84D61" w:rsidP="008E5AE5">
                      <w:pPr>
                        <w:spacing w:after="120"/>
                        <w:rPr>
                          <w:color w:val="595959" w:themeColor="text1" w:themeTint="A6"/>
                          <w:sz w:val="18"/>
                          <w:szCs w:val="16"/>
                        </w:rPr>
                      </w:pPr>
                      <w:r>
                        <w:rPr>
                          <w:color w:val="595959" w:themeColor="text1" w:themeTint="A6"/>
                          <w:sz w:val="18"/>
                          <w:szCs w:val="16"/>
                        </w:rPr>
                        <w:t>Nov-21</w:t>
                      </w:r>
                    </w:p>
                    <w:p w14:paraId="3D1D89B1" w14:textId="77777777" w:rsidR="00E84D61" w:rsidRDefault="00E84D61" w:rsidP="008E5AE5">
                      <w:pPr>
                        <w:spacing w:after="120"/>
                        <w:rPr>
                          <w:color w:val="595959" w:themeColor="text1" w:themeTint="A6"/>
                          <w:sz w:val="18"/>
                          <w:szCs w:val="16"/>
                        </w:rPr>
                      </w:pPr>
                      <w:r>
                        <w:rPr>
                          <w:color w:val="595959" w:themeColor="text1" w:themeTint="A6"/>
                          <w:sz w:val="18"/>
                          <w:szCs w:val="16"/>
                        </w:rPr>
                        <w:t>Apr-22 (est)</w:t>
                      </w:r>
                    </w:p>
                  </w:txbxContent>
                </v:textbox>
                <w10:wrap anchorx="margin"/>
              </v:shape>
            </w:pict>
          </mc:Fallback>
        </mc:AlternateContent>
      </w:r>
      <w:r w:rsidR="00350E05">
        <w:rPr>
          <w:noProof/>
          <w:lang w:eastAsia="en-NZ"/>
        </w:rPr>
        <w:drawing>
          <wp:inline distT="0" distB="0" distL="0" distR="0" wp14:anchorId="77F4325C" wp14:editId="5B469245">
            <wp:extent cx="4823460" cy="2331720"/>
            <wp:effectExtent l="0" t="0" r="15240" b="11430"/>
            <wp:docPr id="7" name="Chart 7">
              <a:extLst xmlns:a="http://schemas.openxmlformats.org/drawingml/2006/main">
                <a:ext uri="{FF2B5EF4-FFF2-40B4-BE49-F238E27FC236}">
                  <a16:creationId xmlns:a16="http://schemas.microsoft.com/office/drawing/2014/main" id="{FB09CEF7-D667-4CAA-8E54-C6D285781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BCAF3F" w14:textId="77777777" w:rsidR="00BD137F" w:rsidRDefault="00BD137F" w:rsidP="007963BB">
      <w:pPr>
        <w:spacing w:line="240" w:lineRule="auto"/>
      </w:pPr>
    </w:p>
    <w:p w14:paraId="78E7CAF6" w14:textId="156A9AAE" w:rsidR="005F23FA" w:rsidRDefault="00350E05" w:rsidP="007963BB">
      <w:pPr>
        <w:spacing w:line="240" w:lineRule="auto"/>
      </w:pPr>
      <w:r>
        <w:t xml:space="preserve">For families with one child, the shortfall was $70-$202 per week in 2019; in 2022 it is likely to be $10-$86 per week. A shortfall of ten dollars </w:t>
      </w:r>
      <w:r w:rsidR="00D35295">
        <w:t>per</w:t>
      </w:r>
      <w:r>
        <w:t xml:space="preserve"> week (for sole parents with one child on the Supported Living Payment)</w:t>
      </w:r>
      <w:r w:rsidRPr="006D2C44">
        <w:t xml:space="preserve"> </w:t>
      </w:r>
      <w:r>
        <w:t xml:space="preserve">may sound manageable, but once housing and potential disability expenses and assistance are taken into account, the shortfall between WEAG recommendations and actual income support is likely to be even greater. </w:t>
      </w:r>
    </w:p>
    <w:p w14:paraId="6F6237C6" w14:textId="135731C3" w:rsidR="005F23FA" w:rsidRDefault="005F23FA" w:rsidP="007963BB">
      <w:pPr>
        <w:pStyle w:val="Caption"/>
        <w:keepNext/>
      </w:pPr>
      <w:r w:rsidRPr="00B37426">
        <w:t xml:space="preserve">Figure 4: Families with one child: </w:t>
      </w:r>
      <w:r w:rsidR="008F46F3">
        <w:t xml:space="preserve">weekly </w:t>
      </w:r>
      <w:r w:rsidRPr="00B37426">
        <w:t xml:space="preserve">shortfall between wage-adjusted WEAG-recommended and actual weekly main benefits and Family Tax Credits, household entitlements (SLP - Supported Living Payment; SPS – Sole Parent Support; JSS </w:t>
      </w:r>
      <w:r w:rsidR="00F56F09">
        <w:t>–</w:t>
      </w:r>
      <w:r w:rsidRPr="00B37426">
        <w:t xml:space="preserve"> JobSeeker</w:t>
      </w:r>
      <w:r w:rsidR="00F56F09">
        <w:t xml:space="preserve"> Support</w:t>
      </w:r>
      <w:r w:rsidRPr="00B37426">
        <w:t>; ch – children)</w:t>
      </w:r>
    </w:p>
    <w:p w14:paraId="59E81071" w14:textId="7F9E2355" w:rsidR="00350E05" w:rsidRDefault="005F23FA" w:rsidP="007963BB">
      <w:pPr>
        <w:pStyle w:val="ListParagraph"/>
        <w:keepNext/>
        <w:ind w:firstLine="0"/>
      </w:pPr>
      <w:r>
        <w:rPr>
          <w:noProof/>
          <w:lang w:eastAsia="en-NZ"/>
        </w:rPr>
        <mc:AlternateContent>
          <mc:Choice Requires="wps">
            <w:drawing>
              <wp:anchor distT="45720" distB="45720" distL="114300" distR="114300" simplePos="0" relativeHeight="251662336" behindDoc="0" locked="0" layoutInCell="1" allowOverlap="1" wp14:anchorId="10E6CB77" wp14:editId="3316E416">
                <wp:simplePos x="0" y="0"/>
                <wp:positionH relativeFrom="margin">
                  <wp:posOffset>4425315</wp:posOffset>
                </wp:positionH>
                <wp:positionV relativeFrom="paragraph">
                  <wp:posOffset>603250</wp:posOffset>
                </wp:positionV>
                <wp:extent cx="777240" cy="714375"/>
                <wp:effectExtent l="0" t="0" r="2286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714375"/>
                        </a:xfrm>
                        <a:prstGeom prst="rect">
                          <a:avLst/>
                        </a:prstGeom>
                        <a:solidFill>
                          <a:srgbClr val="FFFFFF"/>
                        </a:solidFill>
                        <a:ln w="9525">
                          <a:solidFill>
                            <a:schemeClr val="bg1"/>
                          </a:solidFill>
                          <a:miter lim="800000"/>
                          <a:headEnd/>
                          <a:tailEnd/>
                        </a:ln>
                      </wps:spPr>
                      <wps:txbx>
                        <w:txbxContent>
                          <w:p w14:paraId="0AC75D0C" w14:textId="77777777" w:rsidR="00E84D61" w:rsidRDefault="00E84D61" w:rsidP="008E5AE5">
                            <w:pPr>
                              <w:spacing w:after="120"/>
                              <w:rPr>
                                <w:color w:val="595959" w:themeColor="text1" w:themeTint="A6"/>
                                <w:sz w:val="18"/>
                                <w:szCs w:val="16"/>
                              </w:rPr>
                            </w:pPr>
                            <w:r>
                              <w:rPr>
                                <w:color w:val="595959" w:themeColor="text1" w:themeTint="A6"/>
                                <w:sz w:val="18"/>
                                <w:szCs w:val="16"/>
                              </w:rPr>
                              <w:t>Apr-19</w:t>
                            </w:r>
                          </w:p>
                          <w:p w14:paraId="1D494FF5" w14:textId="77777777" w:rsidR="00E84D61" w:rsidRDefault="00E84D61" w:rsidP="008E5AE5">
                            <w:pPr>
                              <w:spacing w:after="120"/>
                              <w:rPr>
                                <w:color w:val="595959" w:themeColor="text1" w:themeTint="A6"/>
                                <w:sz w:val="18"/>
                                <w:szCs w:val="16"/>
                              </w:rPr>
                            </w:pPr>
                            <w:r>
                              <w:rPr>
                                <w:color w:val="595959" w:themeColor="text1" w:themeTint="A6"/>
                                <w:sz w:val="18"/>
                                <w:szCs w:val="16"/>
                              </w:rPr>
                              <w:t>Nov-21</w:t>
                            </w:r>
                          </w:p>
                          <w:p w14:paraId="208D1F21" w14:textId="77777777" w:rsidR="00E84D61" w:rsidRDefault="00E84D61" w:rsidP="008E5AE5">
                            <w:pPr>
                              <w:spacing w:after="120"/>
                              <w:rPr>
                                <w:color w:val="595959" w:themeColor="text1" w:themeTint="A6"/>
                                <w:sz w:val="18"/>
                                <w:szCs w:val="16"/>
                              </w:rPr>
                            </w:pPr>
                            <w:r>
                              <w:rPr>
                                <w:color w:val="595959" w:themeColor="text1" w:themeTint="A6"/>
                                <w:sz w:val="18"/>
                                <w:szCs w:val="16"/>
                              </w:rPr>
                              <w:t>Apr-22 (est)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6CB77" id="_x0000_s1032" type="#_x0000_t202" style="position:absolute;left:0;text-align:left;margin-left:348.45pt;margin-top:47.5pt;width:61.2pt;height:5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" strokecolor="white [3212]">
                <v:textbox>
                  <w:txbxContent>
                    <w:p w14:paraId="0AC75D0C" w14:textId="77777777" w:rsidR="00E84D61" w:rsidRDefault="00E84D61" w:rsidP="008E5AE5">
                      <w:pPr>
                        <w:spacing w:after="120"/>
                        <w:rPr>
                          <w:color w:val="595959" w:themeColor="text1" w:themeTint="A6"/>
                          <w:sz w:val="18"/>
                          <w:szCs w:val="16"/>
                        </w:rPr>
                      </w:pPr>
                      <w:r>
                        <w:rPr>
                          <w:color w:val="595959" w:themeColor="text1" w:themeTint="A6"/>
                          <w:sz w:val="18"/>
                          <w:szCs w:val="16"/>
                        </w:rPr>
                        <w:t>Apr-19</w:t>
                      </w:r>
                    </w:p>
                    <w:p w14:paraId="1D494FF5" w14:textId="77777777" w:rsidR="00E84D61" w:rsidRDefault="00E84D61" w:rsidP="008E5AE5">
                      <w:pPr>
                        <w:spacing w:after="120"/>
                        <w:rPr>
                          <w:color w:val="595959" w:themeColor="text1" w:themeTint="A6"/>
                          <w:sz w:val="18"/>
                          <w:szCs w:val="16"/>
                        </w:rPr>
                      </w:pPr>
                      <w:r>
                        <w:rPr>
                          <w:color w:val="595959" w:themeColor="text1" w:themeTint="A6"/>
                          <w:sz w:val="18"/>
                          <w:szCs w:val="16"/>
                        </w:rPr>
                        <w:t>Nov-21</w:t>
                      </w:r>
                    </w:p>
                    <w:p w14:paraId="208D1F21" w14:textId="77777777" w:rsidR="00E84D61" w:rsidRDefault="00E84D61" w:rsidP="008E5AE5">
                      <w:pPr>
                        <w:spacing w:after="120"/>
                        <w:rPr>
                          <w:color w:val="595959" w:themeColor="text1" w:themeTint="A6"/>
                          <w:sz w:val="18"/>
                          <w:szCs w:val="16"/>
                        </w:rPr>
                      </w:pPr>
                      <w:r>
                        <w:rPr>
                          <w:color w:val="595959" w:themeColor="text1" w:themeTint="A6"/>
                          <w:sz w:val="18"/>
                          <w:szCs w:val="16"/>
                        </w:rPr>
                        <w:t>Apr-22 (est)</w:t>
                      </w:r>
                    </w:p>
                  </w:txbxContent>
                </v:textbox>
                <w10:wrap anchorx="margin"/>
              </v:shape>
            </w:pict>
          </mc:Fallback>
        </mc:AlternateContent>
      </w:r>
      <w:r w:rsidR="00350E05">
        <w:rPr>
          <w:noProof/>
          <w:lang w:eastAsia="en-NZ"/>
        </w:rPr>
        <w:drawing>
          <wp:inline distT="0" distB="0" distL="0" distR="0" wp14:anchorId="32A8DAE4" wp14:editId="12B581EF">
            <wp:extent cx="4815840" cy="1981200"/>
            <wp:effectExtent l="0" t="0" r="3810" b="0"/>
            <wp:docPr id="8" name="Chart 8">
              <a:extLst xmlns:a="http://schemas.openxmlformats.org/drawingml/2006/main">
                <a:ext uri="{FF2B5EF4-FFF2-40B4-BE49-F238E27FC236}">
                  <a16:creationId xmlns:a16="http://schemas.microsoft.com/office/drawing/2014/main" id="{FAD2647B-E6B5-4B33-B7EF-6EF62EECB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B4FB30" w14:textId="77777777" w:rsidR="005F23FA" w:rsidRDefault="005F23FA" w:rsidP="007963BB">
      <w:pPr>
        <w:pStyle w:val="ListParagraph"/>
        <w:keepNext/>
        <w:ind w:firstLine="0"/>
      </w:pPr>
    </w:p>
    <w:p w14:paraId="25F0F178" w14:textId="77777777" w:rsidR="00350E05" w:rsidRPr="00145CC4" w:rsidRDefault="00350E05" w:rsidP="007963BB">
      <w:pPr>
        <w:pStyle w:val="Heading3"/>
        <w:spacing w:line="240" w:lineRule="auto"/>
        <w:rPr>
          <w:lang w:val="en-US"/>
        </w:rPr>
      </w:pPr>
      <w:bookmarkStart w:id="28" w:name="_Toc89330008"/>
      <w:r>
        <w:t>Income support for couples</w:t>
      </w:r>
      <w:bookmarkEnd w:id="28"/>
      <w:r>
        <w:t xml:space="preserve"> </w:t>
      </w:r>
    </w:p>
    <w:p w14:paraId="276C583F" w14:textId="515F1CFB" w:rsidR="00350E05" w:rsidRPr="00350E05" w:rsidRDefault="00350E05" w:rsidP="007963BB">
      <w:pPr>
        <w:spacing w:line="240" w:lineRule="auto"/>
        <w:rPr>
          <w:rFonts w:ascii="Calibri" w:hAnsi="Calibri" w:cs="Calibri"/>
        </w:rPr>
      </w:pPr>
      <w:r w:rsidRPr="00350E05">
        <w:rPr>
          <w:rFonts w:ascii="Calibri" w:hAnsi="Calibri" w:cs="Calibri"/>
        </w:rPr>
        <w:t xml:space="preserve">There has been recent improvement in the </w:t>
      </w:r>
      <w:r w:rsidRPr="00350E05">
        <w:rPr>
          <w:rFonts w:ascii="Calibri" w:hAnsi="Calibri" w:cs="Calibri"/>
          <w:szCs w:val="24"/>
        </w:rPr>
        <w:t>income support for couples</w:t>
      </w:r>
      <w:r w:rsidR="005F23FA">
        <w:rPr>
          <w:rFonts w:ascii="Calibri" w:hAnsi="Calibri" w:cs="Calibri"/>
          <w:szCs w:val="24"/>
        </w:rPr>
        <w:t xml:space="preserve"> which is welcome </w:t>
      </w:r>
      <w:r w:rsidRPr="00350E05">
        <w:rPr>
          <w:rFonts w:ascii="Calibri" w:hAnsi="Calibri" w:cs="Calibri"/>
          <w:szCs w:val="24"/>
        </w:rPr>
        <w:t xml:space="preserve">as it has been </w:t>
      </w:r>
      <w:r w:rsidR="005F23FA">
        <w:rPr>
          <w:rFonts w:ascii="Calibri" w:hAnsi="Calibri" w:cs="Calibri"/>
          <w:szCs w:val="24"/>
        </w:rPr>
        <w:t>particularly</w:t>
      </w:r>
      <w:r w:rsidRPr="00350E05">
        <w:rPr>
          <w:rFonts w:ascii="Calibri" w:hAnsi="Calibri" w:cs="Calibri"/>
          <w:szCs w:val="24"/>
        </w:rPr>
        <w:t xml:space="preserve"> inadequate. The</w:t>
      </w:r>
      <w:r w:rsidRPr="00350E05">
        <w:rPr>
          <w:rFonts w:ascii="Calibri" w:hAnsi="Calibri" w:cs="Calibri"/>
        </w:rPr>
        <w:t xml:space="preserve"> 2021 and 2022 benefit increases are calculated per individual adult rather than per household as previously done. </w:t>
      </w:r>
      <w:r w:rsidRPr="00350E05">
        <w:rPr>
          <w:rFonts w:ascii="Calibri" w:hAnsi="Calibri" w:cs="Calibri"/>
          <w:szCs w:val="24"/>
        </w:rPr>
        <w:t xml:space="preserve">This </w:t>
      </w:r>
      <w:r w:rsidRPr="00350E05">
        <w:rPr>
          <w:rFonts w:ascii="Calibri" w:hAnsi="Calibri" w:cs="Calibri"/>
        </w:rPr>
        <w:t xml:space="preserve">helps to </w:t>
      </w:r>
      <w:r w:rsidRPr="00034305">
        <w:rPr>
          <w:rFonts w:ascii="Calibri" w:hAnsi="Calibri" w:cs="Calibri"/>
          <w:i/>
          <w:iCs/>
        </w:rPr>
        <w:t>“move income support settings over time to be more neutral on the impact of being in a relationship in the nature of marriage”</w:t>
      </w:r>
      <w:r w:rsidRPr="00350E05">
        <w:rPr>
          <w:rFonts w:ascii="Calibri" w:hAnsi="Calibri" w:cs="Calibri"/>
        </w:rPr>
        <w:t xml:space="preserve"> </w:t>
      </w:r>
      <w:r w:rsidR="00034305">
        <w:rPr>
          <w:rFonts w:ascii="Calibri" w:hAnsi="Calibri" w:cs="Calibri"/>
        </w:rPr>
        <w:t>(k</w:t>
      </w:r>
      <w:r w:rsidRPr="00350E05">
        <w:rPr>
          <w:rFonts w:ascii="Calibri" w:hAnsi="Calibri" w:cs="Calibri"/>
        </w:rPr>
        <w:t xml:space="preserve">ey </w:t>
      </w:r>
      <w:r w:rsidR="00034305">
        <w:rPr>
          <w:rFonts w:ascii="Calibri" w:hAnsi="Calibri" w:cs="Calibri"/>
        </w:rPr>
        <w:t>r</w:t>
      </w:r>
      <w:r w:rsidRPr="00350E05">
        <w:rPr>
          <w:rFonts w:ascii="Calibri" w:hAnsi="Calibri" w:cs="Calibri"/>
        </w:rPr>
        <w:t>ecommendation 28)</w:t>
      </w:r>
      <w:r w:rsidRPr="00350E05">
        <w:rPr>
          <w:rFonts w:ascii="Calibri" w:hAnsi="Calibri" w:cs="Calibri"/>
          <w:szCs w:val="24"/>
        </w:rPr>
        <w:t xml:space="preserve">. For example, the benefit increase between April 2021 and April 2022 for couples receiving JobSeeker </w:t>
      </w:r>
      <w:r w:rsidR="00F56F09">
        <w:rPr>
          <w:rFonts w:ascii="Calibri" w:hAnsi="Calibri" w:cs="Calibri"/>
          <w:szCs w:val="24"/>
        </w:rPr>
        <w:t xml:space="preserve">Support </w:t>
      </w:r>
      <w:r w:rsidRPr="00350E05">
        <w:rPr>
          <w:rFonts w:ascii="Calibri" w:hAnsi="Calibri" w:cs="Calibri"/>
          <w:szCs w:val="24"/>
        </w:rPr>
        <w:t xml:space="preserve">with or without children, will be around $55 </w:t>
      </w:r>
      <w:r w:rsidR="00D35295">
        <w:rPr>
          <w:rFonts w:ascii="Calibri" w:hAnsi="Calibri" w:cs="Calibri"/>
          <w:szCs w:val="24"/>
        </w:rPr>
        <w:t>per</w:t>
      </w:r>
      <w:r w:rsidRPr="00350E05">
        <w:rPr>
          <w:rFonts w:ascii="Calibri" w:hAnsi="Calibri" w:cs="Calibri"/>
          <w:szCs w:val="24"/>
        </w:rPr>
        <w:t xml:space="preserve"> week each, or over $110 per household. This treatment is more aligned to WEAG recommendations compared to the April 2020 “$25” benefit increase which was only $12.50 for each person in a couple. </w:t>
      </w:r>
    </w:p>
    <w:p w14:paraId="02821F97" w14:textId="77777777" w:rsidR="00350E05" w:rsidRPr="00385BF9" w:rsidRDefault="00350E05" w:rsidP="007963BB">
      <w:pPr>
        <w:pStyle w:val="Heading3"/>
        <w:spacing w:line="240" w:lineRule="auto"/>
      </w:pPr>
      <w:bookmarkStart w:id="29" w:name="_Toc89330009"/>
      <w:r>
        <w:t>Income support for families</w:t>
      </w:r>
      <w:r w:rsidRPr="00385BF9">
        <w:t xml:space="preserve"> receiving paid-work incomes</w:t>
      </w:r>
      <w:bookmarkEnd w:id="29"/>
    </w:p>
    <w:p w14:paraId="550287E5" w14:textId="0DE4001C" w:rsidR="00350E05" w:rsidRDefault="00350E05" w:rsidP="007963BB">
      <w:pPr>
        <w:spacing w:line="240" w:lineRule="auto"/>
      </w:pPr>
      <w:r>
        <w:t>In November 2021, the Government announced the WFF abatement rate would rise from 25% to 27%</w:t>
      </w:r>
      <w:r w:rsidR="001D72DF">
        <w:t xml:space="preserve"> in April 2022</w:t>
      </w:r>
      <w:r w:rsidR="00586118">
        <w:t xml:space="preserve"> (New Zealand Government, 2021m)</w:t>
      </w:r>
      <w:r>
        <w:t xml:space="preserve">. </w:t>
      </w:r>
      <w:r w:rsidR="00053799">
        <w:t>This will increase e</w:t>
      </w:r>
      <w:r>
        <w:t xml:space="preserve">ffective marginal tax rates further even though they were already nearing 100% in some cases (17.5-30% </w:t>
      </w:r>
      <w:r w:rsidR="00CF4781">
        <w:t xml:space="preserve">PAYE </w:t>
      </w:r>
      <w:r>
        <w:t xml:space="preserve">tax; plus 27% abatement </w:t>
      </w:r>
      <w:r w:rsidR="00CF4781">
        <w:t xml:space="preserve">of </w:t>
      </w:r>
      <w:r>
        <w:t xml:space="preserve">WFF; plus 25% </w:t>
      </w:r>
      <w:r w:rsidR="00CF4781">
        <w:t xml:space="preserve">abatement of </w:t>
      </w:r>
      <w:r>
        <w:t xml:space="preserve">Accommodation Supplement; plus </w:t>
      </w:r>
      <w:r w:rsidR="00CF4781">
        <w:t>deductions for</w:t>
      </w:r>
      <w:r>
        <w:t xml:space="preserve"> ACC and </w:t>
      </w:r>
      <w:r w:rsidR="00292BE7">
        <w:t xml:space="preserve">12% </w:t>
      </w:r>
      <w:r>
        <w:t xml:space="preserve">student loans). </w:t>
      </w:r>
    </w:p>
    <w:p w14:paraId="5D244431" w14:textId="1ACD7574" w:rsidR="00350E05" w:rsidRDefault="00350E05" w:rsidP="007963BB">
      <w:pPr>
        <w:spacing w:line="240" w:lineRule="auto"/>
      </w:pPr>
      <w:r>
        <w:t xml:space="preserve">Frustratingly, these announcements, which ignored the WEAG recommendations, were made without public consultation and ahead of the </w:t>
      </w:r>
      <w:r w:rsidRPr="00CA2018">
        <w:t xml:space="preserve">review of Working for Families </w:t>
      </w:r>
      <w:r>
        <w:t xml:space="preserve">that </w:t>
      </w:r>
      <w:r w:rsidRPr="00CA2018">
        <w:t>has been signalled by the Government</w:t>
      </w:r>
      <w:r>
        <w:t xml:space="preserve"> to occur in 2022</w:t>
      </w:r>
      <w:r w:rsidR="00565729">
        <w:t xml:space="preserve"> (RNZ, 2021</w:t>
      </w:r>
      <w:r w:rsidR="009068E6">
        <w:t>a</w:t>
      </w:r>
      <w:r w:rsidR="00565729">
        <w:t>)</w:t>
      </w:r>
      <w:r>
        <w:t>.</w:t>
      </w:r>
      <w:r w:rsidRPr="00CA2018">
        <w:t xml:space="preserve"> </w:t>
      </w:r>
      <w:r>
        <w:t xml:space="preserve">There </w:t>
      </w:r>
      <w:r w:rsidRPr="00CA2018">
        <w:t xml:space="preserve">are no publicly </w:t>
      </w:r>
      <w:r>
        <w:t xml:space="preserve">announced </w:t>
      </w:r>
      <w:r w:rsidRPr="00CA2018">
        <w:t xml:space="preserve">timeframes, scope or terms of reference </w:t>
      </w:r>
      <w:r>
        <w:t xml:space="preserve">for </w:t>
      </w:r>
      <w:r w:rsidRPr="00CA2018">
        <w:t>this review at present, leaving children in low-income households waiting</w:t>
      </w:r>
      <w:r>
        <w:t xml:space="preserve"> for </w:t>
      </w:r>
      <w:r w:rsidR="003218C6">
        <w:t xml:space="preserve">greater resources to come from </w:t>
      </w:r>
      <w:r>
        <w:t>the needed reforms</w:t>
      </w:r>
      <w:r w:rsidRPr="00CA2018">
        <w:t xml:space="preserve">. </w:t>
      </w:r>
    </w:p>
    <w:p w14:paraId="53590123" w14:textId="1312AEBE" w:rsidR="00350E05" w:rsidRDefault="00B85A63" w:rsidP="007963BB">
      <w:pPr>
        <w:pStyle w:val="Heading2"/>
        <w:spacing w:line="240" w:lineRule="auto"/>
      </w:pPr>
      <w:bookmarkStart w:id="30" w:name="_Toc89330010"/>
      <w:r>
        <w:t>S</w:t>
      </w:r>
      <w:r w:rsidR="00350E05">
        <w:t>low roll-out of income increases</w:t>
      </w:r>
      <w:bookmarkEnd w:id="30"/>
    </w:p>
    <w:p w14:paraId="188D86CA" w14:textId="681BAF42" w:rsidR="00350E05" w:rsidRPr="00CA2018" w:rsidRDefault="00350E05" w:rsidP="007963BB">
      <w:pPr>
        <w:spacing w:line="240" w:lineRule="auto"/>
      </w:pPr>
      <w:r>
        <w:t xml:space="preserve">In </w:t>
      </w:r>
      <w:r w:rsidRPr="00CA2018">
        <w:t>discussing their recommendations for achieving income adequacy, WEAG</w:t>
      </w:r>
      <w:r w:rsidR="00C00A05">
        <w:t xml:space="preserve"> (2019, p. 111)</w:t>
      </w:r>
      <w:r w:rsidRPr="00CA2018">
        <w:t xml:space="preserve"> explained:</w:t>
      </w:r>
    </w:p>
    <w:p w14:paraId="0878BC84" w14:textId="22888D3D" w:rsidR="00350E05" w:rsidRPr="00CA2018" w:rsidRDefault="00350E05" w:rsidP="007963BB">
      <w:pPr>
        <w:spacing w:line="240" w:lineRule="auto"/>
        <w:ind w:left="720"/>
      </w:pPr>
      <w:r w:rsidRPr="00350E05">
        <w:rPr>
          <w:i/>
          <w:iCs/>
        </w:rPr>
        <w:t xml:space="preserve">“[These recommendations] should be seen as a </w:t>
      </w:r>
      <w:r w:rsidRPr="00350E05">
        <w:rPr>
          <w:b/>
          <w:bCs/>
          <w:i/>
          <w:iCs/>
        </w:rPr>
        <w:t>minimum, immediate first step</w:t>
      </w:r>
      <w:r w:rsidRPr="00350E05">
        <w:rPr>
          <w:i/>
          <w:iCs/>
        </w:rPr>
        <w:t xml:space="preserve"> in an overhaul of the system of income support.”</w:t>
      </w:r>
      <w:r w:rsidRPr="00CA2018">
        <w:t xml:space="preserve"> (emphasis added)</w:t>
      </w:r>
    </w:p>
    <w:p w14:paraId="1AE4D239" w14:textId="091F742F" w:rsidR="00350E05" w:rsidRPr="00CA2018" w:rsidRDefault="00350E05" w:rsidP="007963BB">
      <w:pPr>
        <w:spacing w:line="240" w:lineRule="auto"/>
      </w:pPr>
      <w:r>
        <w:t>It is nearly three year</w:t>
      </w:r>
      <w:r w:rsidR="003218C6">
        <w:t>s</w:t>
      </w:r>
      <w:r>
        <w:t xml:space="preserve"> since the</w:t>
      </w:r>
      <w:r w:rsidRPr="00CA2018">
        <w:t xml:space="preserve"> Government initially received WEAG’s advice in February 2019.</w:t>
      </w:r>
      <w:r>
        <w:t xml:space="preserve"> Delays in implementing WEAG’s comprehensive package </w:t>
      </w:r>
      <w:r w:rsidRPr="00CA2018">
        <w:t>comes at the expense of the wellbeing of children in benefit-receiving households. WEAG costed improvements to the adequacy and design of income support at around $5.2 billion per year (though over $1 billion of this is the Earned Income Tax Credit, which CPAG does not support).</w:t>
      </w:r>
      <w:r w:rsidRPr="00CA2018">
        <w:rPr>
          <w:rStyle w:val="FootnoteReference"/>
        </w:rPr>
        <w:footnoteReference w:id="5"/>
      </w:r>
      <w:r w:rsidRPr="00CA2018">
        <w:t xml:space="preserve"> This spending reflects an investment in children and families, and as WEAG</w:t>
      </w:r>
      <w:r w:rsidR="004A648F">
        <w:t xml:space="preserve"> (2019, p. 8)</w:t>
      </w:r>
      <w:r w:rsidRPr="00CA2018">
        <w:t xml:space="preserve"> aptly points out:</w:t>
      </w:r>
    </w:p>
    <w:p w14:paraId="57618602" w14:textId="1F3671E7" w:rsidR="00350E05" w:rsidRPr="00350E05" w:rsidRDefault="00350E05" w:rsidP="007963BB">
      <w:pPr>
        <w:spacing w:line="240" w:lineRule="auto"/>
        <w:ind w:left="720"/>
        <w:rPr>
          <w:i/>
          <w:iCs/>
        </w:rPr>
      </w:pPr>
      <w:r w:rsidRPr="00350E05">
        <w:rPr>
          <w:i/>
          <w:iCs/>
        </w:rPr>
        <w:t>“It is important to recognize that the current system has costs of its own – those associated with the broader negative effects of poverty including lower educational attainment, imprisonment and poorer health.”</w:t>
      </w:r>
    </w:p>
    <w:p w14:paraId="535EE87F" w14:textId="6FB2277C" w:rsidR="00350E05" w:rsidRPr="00CA2018" w:rsidRDefault="00350E05" w:rsidP="007963BB">
      <w:pPr>
        <w:spacing w:line="240" w:lineRule="auto"/>
      </w:pPr>
      <w:r w:rsidRPr="00CA2018">
        <w:t>This slow roll</w:t>
      </w:r>
      <w:r>
        <w:t>-</w:t>
      </w:r>
      <w:r w:rsidRPr="00CA2018">
        <w:t xml:space="preserve">out of </w:t>
      </w:r>
      <w:r>
        <w:t xml:space="preserve">income </w:t>
      </w:r>
      <w:r w:rsidRPr="00CA2018">
        <w:t>increases is likely to be exacerbating the debt burden for many families and whānau. MSD data</w:t>
      </w:r>
      <w:r>
        <w:t xml:space="preserve"> (</w:t>
      </w:r>
      <w:r w:rsidRPr="00CA2018">
        <w:t>accessed under OIA</w:t>
      </w:r>
      <w:r>
        <w:t xml:space="preserve">) showed the </w:t>
      </w:r>
      <w:r w:rsidRPr="00CA2018">
        <w:t>number of clients with debt to MSD increased by 19% between June 2019 and 2021, with an increase of 24% in the median amount of debt owed</w:t>
      </w:r>
      <w:r w:rsidR="00671F9D">
        <w:t xml:space="preserve"> (MSD, 2021</w:t>
      </w:r>
      <w:r w:rsidR="000A0D5D">
        <w:t>f</w:t>
      </w:r>
      <w:r w:rsidR="00671F9D">
        <w:t>)</w:t>
      </w:r>
      <w:r w:rsidRPr="00CA2018">
        <w:t>. This growth in household debt has been exacerbated by the financial strains of Covid-19 lockdowns</w:t>
      </w:r>
      <w:r w:rsidR="00140F2A">
        <w:t>. A</w:t>
      </w:r>
      <w:r w:rsidRPr="00CA2018">
        <w:t>necdotal evidence from service providers suggests that lockdowns have also compounded challenges for families facing unmanageable debt from high-interest, predatory lenders</w:t>
      </w:r>
      <w:r w:rsidR="00C9392B">
        <w:t xml:space="preserve"> (Ngā Tangata Microfinance, 2021)</w:t>
      </w:r>
      <w:r w:rsidRPr="00CA2018">
        <w:t xml:space="preserve">. By leaving benefit-receiving families and whānau with unliveable incomes in order to ‘cost-save’, the Government is essentially transferring the debt burden </w:t>
      </w:r>
      <w:r>
        <w:t xml:space="preserve">from Government </w:t>
      </w:r>
      <w:r w:rsidRPr="00CA2018">
        <w:t xml:space="preserve">onto these low-income families who </w:t>
      </w:r>
      <w:r>
        <w:t xml:space="preserve">then </w:t>
      </w:r>
      <w:r w:rsidRPr="00CA2018">
        <w:t>must find ways to make up for their income inadequacy, including by taking o</w:t>
      </w:r>
      <w:r w:rsidR="00140F2A">
        <w:t>ut</w:t>
      </w:r>
      <w:r w:rsidRPr="00CA2018">
        <w:t xml:space="preserve"> loans</w:t>
      </w:r>
      <w:r w:rsidR="00140F2A">
        <w:t>, often at high interest rates</w:t>
      </w:r>
      <w:r w:rsidRPr="00CA2018">
        <w:t>.</w:t>
      </w:r>
    </w:p>
    <w:p w14:paraId="7B0A2DF2" w14:textId="5025D524" w:rsidR="00350E05" w:rsidRDefault="003218C6" w:rsidP="007963BB">
      <w:pPr>
        <w:spacing w:line="240" w:lineRule="auto"/>
      </w:pPr>
      <w:r>
        <w:t>The</w:t>
      </w:r>
      <w:r w:rsidR="00350E05">
        <w:t xml:space="preserve"> inadequate </w:t>
      </w:r>
      <w:r w:rsidR="00350E05" w:rsidRPr="00CA2018">
        <w:t>implementation of income increases has a cumulative impact on household incomes</w:t>
      </w:r>
      <w:r w:rsidR="00CC6F06">
        <w:t xml:space="preserve"> which impacts the wellbeing of the children</w:t>
      </w:r>
      <w:r w:rsidR="00350E05" w:rsidRPr="00CA2018">
        <w:t xml:space="preserve">. Table </w:t>
      </w:r>
      <w:r w:rsidR="00E00F17">
        <w:rPr>
          <w:color w:val="44546A" w:themeColor="text2"/>
        </w:rPr>
        <w:t>3</w:t>
      </w:r>
      <w:r w:rsidR="00350E05" w:rsidRPr="00350E05">
        <w:rPr>
          <w:color w:val="FF0000"/>
        </w:rPr>
        <w:t xml:space="preserve"> </w:t>
      </w:r>
      <w:r w:rsidR="00350E05" w:rsidRPr="00CA2018">
        <w:t>presents the cumulative loss of core benefit and Family Tax Credit income in the three years to April 2022, comparing actual rates to WEAG’s recommended rates, had they been implemented and wage-indexed in April 2019</w:t>
      </w:r>
      <w:r w:rsidR="00587112">
        <w:t xml:space="preserve"> (see Supplementary Table 3 in Appendix C for more detail)</w:t>
      </w:r>
      <w:r w:rsidR="00350E05" w:rsidRPr="00CA2018">
        <w:t xml:space="preserve">. A Sole Parent Support recipient with one child will have missed out a cumulative $11,850 in the three years to April 2022 due to lack of full implementation of WEAG’s income support recommendations during that period. A Sole Parent Support recipient with three children will have missed out on over $22,000 during that same period. </w:t>
      </w:r>
    </w:p>
    <w:p w14:paraId="2E3853E6" w14:textId="459AE534" w:rsidR="00C9392B" w:rsidRDefault="00C9392B" w:rsidP="007963BB">
      <w:pPr>
        <w:spacing w:line="240" w:lineRule="auto"/>
      </w:pPr>
    </w:p>
    <w:p w14:paraId="6257E0E4" w14:textId="605B8556" w:rsidR="00583B10" w:rsidRDefault="00583B10" w:rsidP="007963BB">
      <w:pPr>
        <w:spacing w:line="240" w:lineRule="auto"/>
      </w:pPr>
    </w:p>
    <w:p w14:paraId="32170D68" w14:textId="396A2E77" w:rsidR="00583B10" w:rsidRDefault="00583B10" w:rsidP="007963BB">
      <w:pPr>
        <w:spacing w:line="240" w:lineRule="auto"/>
      </w:pPr>
    </w:p>
    <w:p w14:paraId="39856359" w14:textId="4D41182F" w:rsidR="00583B10" w:rsidRDefault="00583B10" w:rsidP="007963BB">
      <w:pPr>
        <w:spacing w:line="240" w:lineRule="auto"/>
      </w:pPr>
    </w:p>
    <w:p w14:paraId="5549AE85" w14:textId="77777777" w:rsidR="00583B10" w:rsidRPr="00CA2018" w:rsidRDefault="00583B10" w:rsidP="007963BB">
      <w:pPr>
        <w:spacing w:line="240" w:lineRule="auto"/>
      </w:pPr>
    </w:p>
    <w:p w14:paraId="509186A3" w14:textId="72F17855" w:rsidR="00350E05" w:rsidRPr="00CA2018" w:rsidRDefault="00350E05" w:rsidP="007963BB">
      <w:pPr>
        <w:pStyle w:val="Caption"/>
        <w:keepNext/>
      </w:pPr>
      <w:r w:rsidRPr="00CA2018">
        <w:t>Table</w:t>
      </w:r>
      <w:r w:rsidR="00E00F17">
        <w:t xml:space="preserve"> 3</w:t>
      </w:r>
      <w:r w:rsidRPr="00CA2018">
        <w:t>: C</w:t>
      </w:r>
      <w:r w:rsidR="00F054C6">
        <w:t xml:space="preserve">omparing </w:t>
      </w:r>
      <w:r w:rsidR="001C468A">
        <w:t>wage-adjusted WEAG rates with actual rates: c</w:t>
      </w:r>
      <w:r w:rsidRPr="00CA2018">
        <w:t xml:space="preserve">umulative loss </w:t>
      </w:r>
      <w:r w:rsidR="00F054C6">
        <w:t xml:space="preserve">in </w:t>
      </w:r>
      <w:r w:rsidRPr="00CA2018">
        <w:t xml:space="preserve">income between April 2019-March 2022 for </w:t>
      </w:r>
      <w:r w:rsidR="00F054C6">
        <w:t xml:space="preserve">families receiving full </w:t>
      </w:r>
      <w:r w:rsidRPr="00CA2018">
        <w:t>core benefit + Family Tax Credit</w:t>
      </w:r>
      <w:r w:rsidR="00F054C6">
        <w:t xml:space="preserve"> entitlements</w:t>
      </w:r>
      <w:r w:rsidR="001C468A">
        <w:t xml:space="preserve"> (see Supplementary Table 3, Appendix C for full detail</w:t>
      </w:r>
      <w:r w:rsidR="000219B4">
        <w:t>s</w:t>
      </w:r>
      <w:r w:rsidR="001C468A">
        <w:t>)</w:t>
      </w:r>
      <w:r w:rsidR="00174D52">
        <w:t xml:space="preserve"> </w:t>
      </w:r>
    </w:p>
    <w:tbl>
      <w:tblPr>
        <w:tblStyle w:val="PlainTable1"/>
        <w:tblW w:w="9526" w:type="dxa"/>
        <w:tblLook w:val="04A0" w:firstRow="1" w:lastRow="0" w:firstColumn="1" w:lastColumn="0" w:noHBand="0" w:noVBand="1"/>
      </w:tblPr>
      <w:tblGrid>
        <w:gridCol w:w="4579"/>
        <w:gridCol w:w="4947"/>
      </w:tblGrid>
      <w:tr w:rsidR="00174D52" w:rsidRPr="00CA2018" w14:paraId="74F77526" w14:textId="77777777" w:rsidTr="00F054C6">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79E70071" w14:textId="77777777" w:rsidR="00174D52" w:rsidRPr="000219B4" w:rsidRDefault="00174D52" w:rsidP="007963BB">
            <w:pPr>
              <w:rPr>
                <w:rFonts w:ascii="Calibri" w:eastAsia="Times New Roman" w:hAnsi="Calibri" w:cs="Calibri"/>
                <w:sz w:val="20"/>
                <w:szCs w:val="20"/>
              </w:rPr>
            </w:pPr>
            <w:r w:rsidRPr="000219B4">
              <w:rPr>
                <w:rFonts w:ascii="Calibri" w:eastAsia="Times New Roman" w:hAnsi="Calibri" w:cs="Calibri"/>
                <w:sz w:val="20"/>
                <w:szCs w:val="20"/>
              </w:rPr>
              <w:t>Benefit type, # ch</w:t>
            </w:r>
          </w:p>
        </w:tc>
        <w:tc>
          <w:tcPr>
            <w:tcW w:w="4947" w:type="dxa"/>
            <w:noWrap/>
            <w:hideMark/>
          </w:tcPr>
          <w:p w14:paraId="5747B4FF" w14:textId="3B4E47C2" w:rsidR="00174D52" w:rsidRPr="000219B4" w:rsidRDefault="00174D52" w:rsidP="007963B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219B4">
              <w:rPr>
                <w:rFonts w:ascii="Calibri" w:eastAsia="Times New Roman" w:hAnsi="Calibri" w:cs="Calibri"/>
                <w:sz w:val="20"/>
                <w:szCs w:val="20"/>
              </w:rPr>
              <w:t xml:space="preserve">Cumulative loss in income from </w:t>
            </w:r>
            <w:r w:rsidR="00F054C6" w:rsidRPr="000219B4">
              <w:rPr>
                <w:rFonts w:ascii="Calibri" w:eastAsia="Times New Roman" w:hAnsi="Calibri" w:cs="Calibri"/>
                <w:sz w:val="20"/>
                <w:szCs w:val="20"/>
              </w:rPr>
              <w:t>core benefit + Family Tax Credit,</w:t>
            </w:r>
            <w:r w:rsidRPr="000219B4">
              <w:rPr>
                <w:rFonts w:ascii="Calibri" w:eastAsia="Times New Roman" w:hAnsi="Calibri" w:cs="Calibri"/>
                <w:sz w:val="20"/>
                <w:szCs w:val="20"/>
              </w:rPr>
              <w:t xml:space="preserve"> </w:t>
            </w:r>
            <w:r w:rsidR="00E24ABC">
              <w:rPr>
                <w:rFonts w:ascii="Calibri" w:eastAsia="Times New Roman" w:hAnsi="Calibri" w:cs="Calibri"/>
                <w:sz w:val="20"/>
                <w:szCs w:val="20"/>
              </w:rPr>
              <w:t xml:space="preserve">three years </w:t>
            </w:r>
            <w:r w:rsidRPr="000219B4">
              <w:rPr>
                <w:rFonts w:ascii="Calibri" w:eastAsia="Times New Roman" w:hAnsi="Calibri" w:cs="Calibri"/>
                <w:sz w:val="20"/>
                <w:szCs w:val="20"/>
              </w:rPr>
              <w:t>April 2019</w:t>
            </w:r>
            <w:r w:rsidR="00E24ABC">
              <w:rPr>
                <w:rFonts w:ascii="Calibri" w:eastAsia="Times New Roman" w:hAnsi="Calibri" w:cs="Calibri"/>
                <w:sz w:val="20"/>
                <w:szCs w:val="20"/>
              </w:rPr>
              <w:t>/20 to April 21/22</w:t>
            </w:r>
          </w:p>
        </w:tc>
      </w:tr>
      <w:tr w:rsidR="00174D52" w:rsidRPr="00CA2018" w14:paraId="3C5E20EB" w14:textId="77777777" w:rsidTr="00F054C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54561CD4"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SPS 1 child</w:t>
            </w:r>
          </w:p>
        </w:tc>
        <w:tc>
          <w:tcPr>
            <w:tcW w:w="4947" w:type="dxa"/>
            <w:noWrap/>
            <w:hideMark/>
          </w:tcPr>
          <w:p w14:paraId="13CD0C50" w14:textId="77777777" w:rsidR="00174D52" w:rsidRPr="00D6281A" w:rsidRDefault="00174D52" w:rsidP="007963B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281A">
              <w:rPr>
                <w:rFonts w:ascii="Calibri" w:eastAsia="Times New Roman" w:hAnsi="Calibri" w:cs="Calibri"/>
                <w:color w:val="000000"/>
                <w:sz w:val="20"/>
                <w:szCs w:val="20"/>
              </w:rPr>
              <w:t xml:space="preserve"> $11,854.80 </w:t>
            </w:r>
          </w:p>
        </w:tc>
      </w:tr>
      <w:tr w:rsidR="00174D52" w:rsidRPr="00CA2018" w14:paraId="7B61882A" w14:textId="77777777" w:rsidTr="00F054C6">
        <w:trPr>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0221B8A2"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SPS 3 child</w:t>
            </w:r>
          </w:p>
        </w:tc>
        <w:tc>
          <w:tcPr>
            <w:tcW w:w="4947" w:type="dxa"/>
            <w:noWrap/>
            <w:hideMark/>
          </w:tcPr>
          <w:p w14:paraId="5188779C" w14:textId="77777777" w:rsidR="00174D52" w:rsidRPr="00D6281A" w:rsidRDefault="00174D52" w:rsidP="007963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281A">
              <w:rPr>
                <w:rFonts w:ascii="Calibri" w:eastAsia="Times New Roman" w:hAnsi="Calibri" w:cs="Calibri"/>
                <w:color w:val="000000"/>
                <w:sz w:val="20"/>
                <w:szCs w:val="20"/>
              </w:rPr>
              <w:t xml:space="preserve"> $22,100.38 </w:t>
            </w:r>
          </w:p>
        </w:tc>
      </w:tr>
      <w:tr w:rsidR="00174D52" w:rsidRPr="00CA2018" w14:paraId="16B0AFDF" w14:textId="77777777" w:rsidTr="00F054C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67B1B40F"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SP 1 child</w:t>
            </w:r>
          </w:p>
        </w:tc>
        <w:tc>
          <w:tcPr>
            <w:tcW w:w="4947" w:type="dxa"/>
            <w:noWrap/>
            <w:hideMark/>
          </w:tcPr>
          <w:p w14:paraId="39AF5730" w14:textId="77777777" w:rsidR="00174D52" w:rsidRPr="00D6281A" w:rsidRDefault="00174D52" w:rsidP="007963B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281A">
              <w:rPr>
                <w:rFonts w:ascii="Calibri" w:eastAsia="Times New Roman" w:hAnsi="Calibri" w:cs="Calibri"/>
                <w:color w:val="000000"/>
                <w:sz w:val="20"/>
                <w:szCs w:val="20"/>
              </w:rPr>
              <w:t xml:space="preserve"> $8,481.52 </w:t>
            </w:r>
          </w:p>
        </w:tc>
      </w:tr>
      <w:tr w:rsidR="00174D52" w:rsidRPr="00CA2018" w14:paraId="6B7008F3" w14:textId="77777777" w:rsidTr="00F054C6">
        <w:trPr>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1357B2EA"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SP 3 child</w:t>
            </w:r>
          </w:p>
        </w:tc>
        <w:tc>
          <w:tcPr>
            <w:tcW w:w="4947" w:type="dxa"/>
            <w:noWrap/>
            <w:hideMark/>
          </w:tcPr>
          <w:p w14:paraId="57657CC2" w14:textId="77777777" w:rsidR="00174D52" w:rsidRPr="00D6281A" w:rsidRDefault="00174D52" w:rsidP="007963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281A">
              <w:rPr>
                <w:rFonts w:ascii="Calibri" w:eastAsia="Times New Roman" w:hAnsi="Calibri" w:cs="Calibri"/>
                <w:color w:val="000000"/>
                <w:sz w:val="20"/>
                <w:szCs w:val="20"/>
              </w:rPr>
              <w:t xml:space="preserve">$18,727.13 </w:t>
            </w:r>
          </w:p>
        </w:tc>
      </w:tr>
      <w:tr w:rsidR="00174D52" w:rsidRPr="00CA2018" w14:paraId="6D97BA71" w14:textId="77777777" w:rsidTr="00F054C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44143063"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JSS couple w/1ch, per household</w:t>
            </w:r>
          </w:p>
        </w:tc>
        <w:tc>
          <w:tcPr>
            <w:tcW w:w="4947" w:type="dxa"/>
            <w:noWrap/>
            <w:hideMark/>
          </w:tcPr>
          <w:p w14:paraId="2F1C5939" w14:textId="77777777" w:rsidR="00174D52" w:rsidRPr="00D6281A" w:rsidRDefault="00174D52" w:rsidP="007963B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281A">
              <w:rPr>
                <w:sz w:val="20"/>
                <w:szCs w:val="20"/>
              </w:rPr>
              <w:t xml:space="preserve"> $28,668.30 </w:t>
            </w:r>
          </w:p>
        </w:tc>
      </w:tr>
      <w:tr w:rsidR="00174D52" w:rsidRPr="00CA2018" w14:paraId="71A8E7B5" w14:textId="77777777" w:rsidTr="00F054C6">
        <w:trPr>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70D87FFA"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JSS couple w/3ch, per household</w:t>
            </w:r>
          </w:p>
        </w:tc>
        <w:tc>
          <w:tcPr>
            <w:tcW w:w="4947" w:type="dxa"/>
            <w:noWrap/>
            <w:hideMark/>
          </w:tcPr>
          <w:p w14:paraId="41E7B8CA" w14:textId="77777777" w:rsidR="00174D52" w:rsidRPr="00D6281A" w:rsidRDefault="00174D52" w:rsidP="007963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281A">
              <w:rPr>
                <w:sz w:val="20"/>
                <w:szCs w:val="20"/>
              </w:rPr>
              <w:t xml:space="preserve"> $38,913.91 </w:t>
            </w:r>
          </w:p>
        </w:tc>
      </w:tr>
      <w:tr w:rsidR="00174D52" w:rsidRPr="00CA2018" w14:paraId="6EF44469" w14:textId="77777777" w:rsidTr="00F054C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77CE1225"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couple w/1ch, per household</w:t>
            </w:r>
          </w:p>
        </w:tc>
        <w:tc>
          <w:tcPr>
            <w:tcW w:w="4947" w:type="dxa"/>
            <w:noWrap/>
            <w:hideMark/>
          </w:tcPr>
          <w:p w14:paraId="14F7513D" w14:textId="77777777" w:rsidR="00174D52" w:rsidRPr="00D6281A" w:rsidRDefault="00174D52" w:rsidP="007963B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281A">
              <w:rPr>
                <w:sz w:val="20"/>
                <w:szCs w:val="20"/>
              </w:rPr>
              <w:t xml:space="preserve"> $25,893.31 </w:t>
            </w:r>
          </w:p>
        </w:tc>
      </w:tr>
      <w:tr w:rsidR="00174D52" w:rsidRPr="00CA2018" w14:paraId="1B83DA11" w14:textId="77777777" w:rsidTr="00F054C6">
        <w:trPr>
          <w:trHeight w:val="363"/>
        </w:trPr>
        <w:tc>
          <w:tcPr>
            <w:cnfStyle w:val="001000000000" w:firstRow="0" w:lastRow="0" w:firstColumn="1" w:lastColumn="0" w:oddVBand="0" w:evenVBand="0" w:oddHBand="0" w:evenHBand="0" w:firstRowFirstColumn="0" w:firstRowLastColumn="0" w:lastRowFirstColumn="0" w:lastRowLastColumn="0"/>
            <w:tcW w:w="4579" w:type="dxa"/>
            <w:noWrap/>
            <w:hideMark/>
          </w:tcPr>
          <w:p w14:paraId="2BF15347" w14:textId="77777777" w:rsidR="00174D52" w:rsidRPr="00D678E7" w:rsidRDefault="00174D52" w:rsidP="007963BB">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couple w/3ch, per household</w:t>
            </w:r>
          </w:p>
        </w:tc>
        <w:tc>
          <w:tcPr>
            <w:tcW w:w="4947" w:type="dxa"/>
            <w:noWrap/>
            <w:hideMark/>
          </w:tcPr>
          <w:p w14:paraId="2BCABB65" w14:textId="77777777" w:rsidR="00174D52" w:rsidRPr="00D6281A" w:rsidRDefault="00174D52" w:rsidP="007963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281A">
              <w:rPr>
                <w:sz w:val="20"/>
                <w:szCs w:val="20"/>
              </w:rPr>
              <w:t xml:space="preserve"> $36,138.91 </w:t>
            </w:r>
          </w:p>
        </w:tc>
      </w:tr>
    </w:tbl>
    <w:p w14:paraId="4BE510E1" w14:textId="77777777" w:rsidR="00350E05" w:rsidRPr="00CA2018" w:rsidRDefault="00350E05" w:rsidP="007963BB">
      <w:pPr>
        <w:pStyle w:val="Heading2"/>
        <w:spacing w:line="240" w:lineRule="auto"/>
      </w:pPr>
      <w:bookmarkStart w:id="31" w:name="_Toc89330011"/>
      <w:r w:rsidRPr="00CA2018">
        <w:t>Incomes are still not liveable</w:t>
      </w:r>
      <w:bookmarkEnd w:id="31"/>
      <w:r w:rsidRPr="00CA2018">
        <w:t xml:space="preserve"> </w:t>
      </w:r>
    </w:p>
    <w:p w14:paraId="2DC55939" w14:textId="7E537361" w:rsidR="00350E05" w:rsidRPr="00CA2018" w:rsidRDefault="00350E05" w:rsidP="007963BB">
      <w:pPr>
        <w:spacing w:line="240" w:lineRule="auto"/>
      </w:pPr>
      <w:r>
        <w:rPr>
          <w:noProof/>
          <w:lang w:eastAsia="en-NZ"/>
        </w:rPr>
        <mc:AlternateContent>
          <mc:Choice Requires="wps">
            <w:drawing>
              <wp:anchor distT="45720" distB="45720" distL="114300" distR="114300" simplePos="0" relativeHeight="251655168" behindDoc="0" locked="0" layoutInCell="1" allowOverlap="1" wp14:anchorId="0A60DAEB" wp14:editId="40BB258A">
                <wp:simplePos x="0" y="0"/>
                <wp:positionH relativeFrom="margin">
                  <wp:posOffset>3658235</wp:posOffset>
                </wp:positionH>
                <wp:positionV relativeFrom="paragraph">
                  <wp:posOffset>32385</wp:posOffset>
                </wp:positionV>
                <wp:extent cx="3545205" cy="2101215"/>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2101215"/>
                        </a:xfrm>
                        <a:prstGeom prst="rect">
                          <a:avLst/>
                        </a:prstGeom>
                        <a:solidFill>
                          <a:schemeClr val="accent5">
                            <a:lumMod val="20000"/>
                            <a:lumOff val="80000"/>
                          </a:schemeClr>
                        </a:solidFill>
                        <a:ln w="9525">
                          <a:noFill/>
                          <a:miter lim="800000"/>
                          <a:headEnd/>
                          <a:tailEnd/>
                        </a:ln>
                      </wps:spPr>
                      <wps:txbx>
                        <w:txbxContent>
                          <w:p w14:paraId="350DD763" w14:textId="77777777" w:rsidR="00E84D61" w:rsidRPr="006E30CF" w:rsidRDefault="00E84D61" w:rsidP="00350E05">
                            <w:pPr>
                              <w:rPr>
                                <w:i/>
                                <w:iCs/>
                              </w:rPr>
                            </w:pPr>
                            <w:r w:rsidRPr="006E30CF">
                              <w:rPr>
                                <w:i/>
                                <w:iCs/>
                              </w:rPr>
                              <w:t xml:space="preserve">“With all the food [costs] and things that have gone up especially with Covid it seems, it’s not equal [the rate of benefit increase vs cost of living]. It’s not like anything’s really changed at all. Food and all that, it’s gone up, and that’s what I find I struggle with. It just seems like it’s always been that way for me. I don’t find I benefit any more than I ever did since those July increases.” </w:t>
                            </w:r>
                          </w:p>
                          <w:p w14:paraId="6F0CC508" w14:textId="77777777" w:rsidR="00E84D61" w:rsidRDefault="00E84D61" w:rsidP="00350E05">
                            <w:r>
                              <w:t>– Sole Parent Support recipient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60DAEB" id="Text Box 23" o:spid="_x0000_s1033" type="#_x0000_t202" style="position:absolute;margin-left:288.05pt;margin-top:2.55pt;width:279.15pt;height:165.45pt;z-index:2516551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" fillcolor="#deeaf6 [664]" stroked="f">
                <v:textbox style="mso-fit-shape-to-text:t">
                  <w:txbxContent>
                    <w:p w14:paraId="350DD763" w14:textId="77777777" w:rsidR="00E84D61" w:rsidRPr="006E30CF" w:rsidRDefault="00E84D61" w:rsidP="00350E05">
                      <w:pPr>
                        <w:rPr>
                          <w:i/>
                          <w:iCs/>
                        </w:rPr>
                      </w:pPr>
                      <w:r w:rsidRPr="006E30CF">
                        <w:rPr>
                          <w:i/>
                          <w:iCs/>
                        </w:rPr>
                        <w:t xml:space="preserve">“With all the food [costs] and things that have gone up especially with Covid it seems, it’s not equal [the rate of benefit increase vs cost of living]. It’s not like anything’s really changed at all. Food and all that, it’s gone up, and that’s what I find I struggle with. It just seems like it’s always been that way for me. I don’t find I benefit any more than I ever did since those July increases.” </w:t>
                      </w:r>
                    </w:p>
                    <w:p w14:paraId="6F0CC508" w14:textId="77777777" w:rsidR="00E84D61" w:rsidRDefault="00E84D61" w:rsidP="00350E05">
                      <w:r>
                        <w:t>– Sole Parent Support recipient</w:t>
                      </w:r>
                    </w:p>
                  </w:txbxContent>
                </v:textbox>
                <w10:wrap type="square" anchorx="margin"/>
              </v:shape>
            </w:pict>
          </mc:Fallback>
        </mc:AlternateContent>
      </w:r>
      <w:r>
        <w:t>T</w:t>
      </w:r>
      <w:r w:rsidRPr="00CA2018">
        <w:t xml:space="preserve">he </w:t>
      </w:r>
      <w:r>
        <w:t>G</w:t>
      </w:r>
      <w:r w:rsidRPr="00CA2018">
        <w:t xml:space="preserve">overnment’s vision and WEAG’s goal, </w:t>
      </w:r>
      <w:r>
        <w:t xml:space="preserve">to reach </w:t>
      </w:r>
      <w:r w:rsidRPr="00CA2018">
        <w:t xml:space="preserve">incomes that are </w:t>
      </w:r>
      <w:r w:rsidRPr="00350E05">
        <w:rPr>
          <w:b/>
          <w:bCs/>
          <w:i/>
          <w:iCs/>
        </w:rPr>
        <w:t>liveable</w:t>
      </w:r>
      <w:r w:rsidRPr="00CA2018">
        <w:t xml:space="preserve"> for all families and </w:t>
      </w:r>
      <w:r w:rsidR="00A90E36">
        <w:t>wh</w:t>
      </w:r>
      <w:r w:rsidR="00053799">
        <w:t>ā</w:t>
      </w:r>
      <w:r w:rsidR="00A90E36">
        <w:t>nau,</w:t>
      </w:r>
      <w:r w:rsidRPr="00CA2018">
        <w:t xml:space="preserve"> will not be achieved </w:t>
      </w:r>
      <w:r w:rsidR="00A90E36">
        <w:t>with current policies</w:t>
      </w:r>
      <w:r w:rsidRPr="00CA2018">
        <w:t>. Recent analysis by Kore Hiakai – which modelled income relative to outgoing costs for three household types across four urban locations in Aotearoa – concluded that while</w:t>
      </w:r>
      <w:r w:rsidR="00AA5FFA">
        <w:t xml:space="preserve"> benefit</w:t>
      </w:r>
      <w:r w:rsidRPr="00CA2018">
        <w:t xml:space="preserve"> increases will reduce weekly deficits, they are not enough to secure meaningful participation in the community</w:t>
      </w:r>
      <w:r w:rsidR="006E73DF">
        <w:t xml:space="preserve"> (Kore Hiakai, 2021)</w:t>
      </w:r>
      <w:r w:rsidRPr="00CA2018">
        <w:t>. Ever-growing demand for emergency food assistance at foodbanks demonstrates that gradual increases are not translating into any significant easing of the financial burden of poverty for families and whānau</w:t>
      </w:r>
      <w:r>
        <w:t>, particularly not in lockdown</w:t>
      </w:r>
      <w:r w:rsidR="006E73DF">
        <w:t xml:space="preserve"> (CPAG, n.d.).</w:t>
      </w:r>
    </w:p>
    <w:p w14:paraId="2897DF56" w14:textId="4AA4453B" w:rsidR="00350E05" w:rsidRPr="00CA2018" w:rsidRDefault="00350E05" w:rsidP="007963BB">
      <w:pPr>
        <w:spacing w:line="240" w:lineRule="auto"/>
      </w:pPr>
      <w:r w:rsidRPr="00CA2018">
        <w:t xml:space="preserve">It is crucial that the Government rapidly reviews income support settings in light of the rising cost of living, and particularly housing (see next section), to ensure that families and whānau </w:t>
      </w:r>
      <w:r w:rsidR="00140F2A">
        <w:t>see</w:t>
      </w:r>
      <w:r w:rsidRPr="00CA2018">
        <w:t xml:space="preserve"> the gains from these increases – in other words, that their income to cover essentials is increasing. As Jen Deben, </w:t>
      </w:r>
      <w:hyperlink r:id="rId26" w:history="1">
        <w:r w:rsidRPr="00BE6953">
          <w:rPr>
            <w:rStyle w:val="Hyperlink"/>
          </w:rPr>
          <w:t>Te Matapihi</w:t>
        </w:r>
      </w:hyperlink>
      <w:r w:rsidRPr="00CA2018">
        <w:t>, put it:</w:t>
      </w:r>
    </w:p>
    <w:p w14:paraId="655F9FEF" w14:textId="77777777" w:rsidR="00350E05" w:rsidRPr="00CA2018" w:rsidRDefault="00350E05" w:rsidP="007963BB">
      <w:pPr>
        <w:spacing w:line="240" w:lineRule="auto"/>
        <w:ind w:left="720"/>
      </w:pPr>
      <w:r w:rsidRPr="00350E05">
        <w:rPr>
          <w:i/>
          <w:iCs/>
        </w:rPr>
        <w:t xml:space="preserve">“There needs to be discussion around increasing disposable income. It doesn’t make a difference to … increase the benefit by $20 a week if the household deficit is $150 a week. It’s not enough of a shift to make enough of a difference. I can see tunnel vision with the Government when they’re looking at benefits [rates], they’re overlooking tino rangatiratanga. ... </w:t>
      </w:r>
      <w:r w:rsidRPr="00350E05">
        <w:rPr>
          <w:b/>
          <w:bCs/>
          <w:i/>
          <w:iCs/>
        </w:rPr>
        <w:t>When we’re looking at disposable income, we’re heading towards tino rangatiratanga</w:t>
      </w:r>
      <w:r w:rsidRPr="00350E05">
        <w:rPr>
          <w:i/>
          <w:iCs/>
        </w:rPr>
        <w:t xml:space="preserve">.” </w:t>
      </w:r>
      <w:r w:rsidRPr="00CA2018">
        <w:t>(emphasis added)</w:t>
      </w:r>
    </w:p>
    <w:p w14:paraId="5304F07D" w14:textId="392B9478" w:rsidR="00350E05" w:rsidRPr="00350E05" w:rsidRDefault="00207A5A" w:rsidP="007963BB">
      <w:pPr>
        <w:spacing w:line="240" w:lineRule="auto"/>
        <w:rPr>
          <w:lang w:val="en-US"/>
        </w:rPr>
      </w:pPr>
      <w:r w:rsidRPr="00CA2018">
        <w:t xml:space="preserve">Benefit </w:t>
      </w:r>
      <w:r w:rsidRPr="008D637A">
        <w:t>increases have been an important welcome step, but a modest one. These increases alone are insufficient to provide adequate income</w:t>
      </w:r>
      <w:r w:rsidRPr="00CA2018">
        <w:t xml:space="preserve"> for all </w:t>
      </w:r>
      <w:r>
        <w:t xml:space="preserve">families </w:t>
      </w:r>
      <w:r w:rsidRPr="00CA2018">
        <w:t xml:space="preserve">within the welfare system. </w:t>
      </w:r>
      <w:r w:rsidR="00350E05" w:rsidRPr="00CA2018">
        <w:t xml:space="preserve">We urge the Government to formulate and utilise the Working for Families review, delayed until 2022, to ensure that family incomes are further lifted among those in the severest poverty. CPAG has long advocated that extending the In-Work Tax Credit to all families irrespective of their source of income </w:t>
      </w:r>
      <w:r w:rsidR="00350E05">
        <w:t xml:space="preserve">is </w:t>
      </w:r>
      <w:r w:rsidR="00350E05" w:rsidRPr="00CA2018">
        <w:t>an efficient and targeted mechanism with which to achieve this</w:t>
      </w:r>
      <w:r w:rsidR="007E4139">
        <w:t xml:space="preserve"> (the effect of WEAG key recommendation 23).</w:t>
      </w:r>
    </w:p>
    <w:p w14:paraId="46F3279C" w14:textId="564CBC29" w:rsidR="001C5A41" w:rsidRPr="00CA2018" w:rsidRDefault="001C5A41" w:rsidP="007C7C6B">
      <w:pPr>
        <w:pStyle w:val="Heading1"/>
        <w:numPr>
          <w:ilvl w:val="0"/>
          <w:numId w:val="40"/>
        </w:numPr>
        <w:spacing w:line="240" w:lineRule="auto"/>
        <w:ind w:left="426"/>
      </w:pPr>
      <w:bookmarkStart w:id="32" w:name="_Toc89330012"/>
      <w:r w:rsidRPr="00CA2018">
        <w:t>Housing affordability, supply and immediate needs</w:t>
      </w:r>
      <w:bookmarkEnd w:id="32"/>
    </w:p>
    <w:p w14:paraId="0D0F864B" w14:textId="10BFBC0E" w:rsidR="00410B70" w:rsidRDefault="001C5A41" w:rsidP="007963BB">
      <w:pPr>
        <w:spacing w:line="240" w:lineRule="auto"/>
      </w:pPr>
      <w:r w:rsidRPr="00CA2018">
        <w:t>The harm to children, families and young people from having insecure</w:t>
      </w:r>
      <w:r w:rsidR="00A77B80">
        <w:t>,</w:t>
      </w:r>
      <w:r w:rsidRPr="00CA2018">
        <w:t xml:space="preserve"> unaffordable unhealthy and unsafe housing </w:t>
      </w:r>
      <w:r w:rsidR="00913B69">
        <w:t>has been</w:t>
      </w:r>
      <w:r w:rsidRPr="00CA2018">
        <w:t xml:space="preserve"> well documented</w:t>
      </w:r>
      <w:r w:rsidR="00616EDE">
        <w:t xml:space="preserve"> (CPAG, 2021).</w:t>
      </w:r>
      <w:r w:rsidRPr="00CA2018">
        <w:t xml:space="preserve"> Their mental, physical, emotional, social and educational development is put at high risk. </w:t>
      </w:r>
      <w:r>
        <w:t xml:space="preserve">WEAG </w:t>
      </w:r>
      <w:r w:rsidR="00616EDE">
        <w:t xml:space="preserve">(2019, pp. 120) </w:t>
      </w:r>
      <w:r>
        <w:t>acknowledged housing</w:t>
      </w:r>
      <w:r w:rsidR="009C5F94">
        <w:t xml:space="preserve"> in Aotearoa New Zealand</w:t>
      </w:r>
      <w:r>
        <w:t xml:space="preserve"> as a crisis, a conundrum and “</w:t>
      </w:r>
      <w:r w:rsidRPr="00616EDE">
        <w:rPr>
          <w:i/>
          <w:iCs/>
        </w:rPr>
        <w:t>a critical component of good welfare policy</w:t>
      </w:r>
      <w:r>
        <w:t xml:space="preserve">”. Among its five directly-housing-related recommendations, </w:t>
      </w:r>
      <w:r w:rsidR="00E3201E">
        <w:t>it</w:t>
      </w:r>
      <w:r>
        <w:t xml:space="preserve"> urged the Government to “urgently expand and accelerate [its] efforts to substantially increase public housing on an industrial scale and continue urgent efforts to end homelessness”; increase affordable “home ownership and tenure options for people on low and low– middle incomes” including papakāinga housing; increase capacity of community housing providers; and ensure “healthy homes and housing security, decent standards of housing quality, universal design, and accessibility”.</w:t>
      </w:r>
      <w:r w:rsidR="00006269">
        <w:t xml:space="preserve"> </w:t>
      </w:r>
      <w:r w:rsidR="009C5F94">
        <w:t>D</w:t>
      </w:r>
      <w:r w:rsidR="00006269">
        <w:t xml:space="preserve">espite some positive developments since WEAG’s report, the </w:t>
      </w:r>
      <w:r w:rsidR="00AC0766">
        <w:t xml:space="preserve">Government’s approach to addressing the </w:t>
      </w:r>
      <w:r w:rsidR="00006269">
        <w:t xml:space="preserve">housing </w:t>
      </w:r>
      <w:r w:rsidR="00410B70">
        <w:t>crisis</w:t>
      </w:r>
      <w:r w:rsidR="00AC0766">
        <w:t xml:space="preserve"> remains modest, and housing deprivation has only accelerated </w:t>
      </w:r>
      <w:r w:rsidR="00CA6FA7">
        <w:t>over time.</w:t>
      </w:r>
      <w:r w:rsidR="00410B70">
        <w:t xml:space="preserve"> </w:t>
      </w:r>
    </w:p>
    <w:p w14:paraId="42579613" w14:textId="258EEC82" w:rsidR="001C5A41" w:rsidRPr="00CA2018" w:rsidRDefault="00FB48F7" w:rsidP="007963BB">
      <w:pPr>
        <w:pStyle w:val="Heading2"/>
        <w:spacing w:line="240" w:lineRule="auto"/>
      </w:pPr>
      <w:bookmarkStart w:id="33" w:name="_Toc89330013"/>
      <w:r>
        <w:t>Rent unaffordability and growing demand for social housing</w:t>
      </w:r>
      <w:bookmarkEnd w:id="33"/>
    </w:p>
    <w:p w14:paraId="35253EC1" w14:textId="02F74256" w:rsidR="001C5A41" w:rsidRPr="00CA2018" w:rsidRDefault="001C5A41" w:rsidP="007963BB">
      <w:pPr>
        <w:spacing w:line="240" w:lineRule="auto"/>
      </w:pPr>
      <w:r w:rsidRPr="00CA2018">
        <w:t xml:space="preserve">The lack of action </w:t>
      </w:r>
      <w:r w:rsidR="008018C5">
        <w:t>to</w:t>
      </w:r>
      <w:r w:rsidRPr="00CA2018">
        <w:t xml:space="preserve"> address the increasingly high cost of housing continues to leave too many families and whānau hamstrung</w:t>
      </w:r>
      <w:r w:rsidR="007E4BC7">
        <w:t xml:space="preserve"> for funds</w:t>
      </w:r>
      <w:r w:rsidRPr="00CA2018">
        <w:t>, unable to afford other necessities</w:t>
      </w:r>
      <w:r w:rsidR="007E4BC7">
        <w:t>.</w:t>
      </w:r>
      <w:r w:rsidRPr="00CA2018">
        <w:t xml:space="preserve"> As Jake Lilley, policy advisor at FinCap, an umbrella organisation for financial mentors, explained to us: </w:t>
      </w:r>
    </w:p>
    <w:p w14:paraId="70E54282" w14:textId="77777777" w:rsidR="001C5A41" w:rsidRPr="00CA2018" w:rsidRDefault="001C5A41" w:rsidP="007963BB">
      <w:pPr>
        <w:spacing w:line="240" w:lineRule="auto"/>
        <w:ind w:left="720"/>
      </w:pPr>
      <w:r w:rsidRPr="00CA2018">
        <w:rPr>
          <w:i/>
          <w:iCs/>
        </w:rPr>
        <w:t xml:space="preserve">“It’s quite common to hear that people are </w:t>
      </w:r>
      <w:r w:rsidRPr="00CA2018">
        <w:rPr>
          <w:b/>
          <w:bCs/>
          <w:i/>
          <w:iCs/>
        </w:rPr>
        <w:t>accessing food from foodbanks in order to pay rent</w:t>
      </w:r>
      <w:r w:rsidRPr="00CA2018">
        <w:rPr>
          <w:i/>
          <w:iCs/>
        </w:rPr>
        <w:t xml:space="preserve">. A lot of financial mentors are coming to us saying that they’re shocked, that in someone’s budget, 80% of the income goes to rent.” </w:t>
      </w:r>
      <w:r w:rsidRPr="00CA2018">
        <w:t>(emphasis added)</w:t>
      </w:r>
    </w:p>
    <w:p w14:paraId="2635719C" w14:textId="659553F1" w:rsidR="001C5A41" w:rsidRPr="00CA2018" w:rsidRDefault="001C5A41" w:rsidP="007963BB">
      <w:pPr>
        <w:spacing w:line="240" w:lineRule="auto"/>
      </w:pPr>
      <w:r w:rsidRPr="00CA2018">
        <w:t xml:space="preserve">The financial value of </w:t>
      </w:r>
      <w:r w:rsidR="002D3416">
        <w:t>income</w:t>
      </w:r>
      <w:r w:rsidRPr="00CA2018">
        <w:t xml:space="preserve"> increases is</w:t>
      </w:r>
      <w:r w:rsidR="001309C3">
        <w:t xml:space="preserve"> likely</w:t>
      </w:r>
      <w:r w:rsidRPr="00CA2018">
        <w:t xml:space="preserve"> being eroded by significant increases in private sector rents</w:t>
      </w:r>
      <w:r w:rsidR="00054C22">
        <w:t xml:space="preserve">, </w:t>
      </w:r>
      <w:r w:rsidR="002D3416">
        <w:t xml:space="preserve">muting the impact of stepwise </w:t>
      </w:r>
      <w:r w:rsidR="00B150F9">
        <w:t>benefit increases</w:t>
      </w:r>
      <w:r w:rsidR="001954C8">
        <w:t xml:space="preserve"> and undermini</w:t>
      </w:r>
      <w:r w:rsidR="00AF7212">
        <w:t>ng achieving WEAG recommendations around income adequacy (</w:t>
      </w:r>
      <w:r w:rsidR="00EC494A">
        <w:t>key recommendation</w:t>
      </w:r>
      <w:r w:rsidR="00E83D48">
        <w:t>s</w:t>
      </w:r>
      <w:r w:rsidR="00EC494A">
        <w:t xml:space="preserve"> 2</w:t>
      </w:r>
      <w:r w:rsidR="00E83D48">
        <w:t xml:space="preserve"> and 19</w:t>
      </w:r>
      <w:r w:rsidR="00AF7212">
        <w:t>) and housing affordability (key recommendation</w:t>
      </w:r>
      <w:r w:rsidR="004E5B81">
        <w:t>s 2 and</w:t>
      </w:r>
      <w:r w:rsidR="00AF7212">
        <w:t xml:space="preserve"> 34</w:t>
      </w:r>
      <w:r w:rsidR="0061658B">
        <w:t>)</w:t>
      </w:r>
      <w:r w:rsidR="0068561F">
        <w:t xml:space="preserve">. </w:t>
      </w:r>
      <w:r w:rsidRPr="00CA2018">
        <w:t>Figure</w:t>
      </w:r>
      <w:r w:rsidR="00815B0B" w:rsidRPr="00815B0B">
        <w:rPr>
          <w:color w:val="44546A" w:themeColor="text2"/>
        </w:rPr>
        <w:t xml:space="preserve"> 5</w:t>
      </w:r>
      <w:r w:rsidR="001309C3" w:rsidRPr="00815B0B">
        <w:rPr>
          <w:color w:val="44546A" w:themeColor="text2"/>
        </w:rPr>
        <w:t xml:space="preserve"> </w:t>
      </w:r>
      <w:r w:rsidRPr="00CA2018">
        <w:t>shows changes in incomes and rents over the ten years to June 2021.</w:t>
      </w:r>
      <w:r w:rsidR="001E70BF">
        <w:rPr>
          <w:rStyle w:val="FootnoteReference"/>
        </w:rPr>
        <w:footnoteReference w:id="6"/>
      </w:r>
      <w:r w:rsidRPr="00CA2018">
        <w:t xml:space="preserve"> The lower quartile rents</w:t>
      </w:r>
      <w:r w:rsidR="00815B0B">
        <w:t xml:space="preserve"> (a more reliable indicator of rental costs)</w:t>
      </w:r>
      <w:r w:rsidRPr="00CA2018">
        <w:t xml:space="preserve"> show increases of 6.8% over the year to June 2021 and 12.4% over the two years to June 2021</w:t>
      </w:r>
      <w:r w:rsidR="00EE1BB4">
        <w:t xml:space="preserve">, meanwhile </w:t>
      </w:r>
      <w:r w:rsidRPr="00CA2018">
        <w:t>corresponding increases for weekly wages/salaries received by employees were 5.7% and 8.5%.</w:t>
      </w:r>
      <w:r w:rsidR="00B85A63">
        <w:rPr>
          <w:rStyle w:val="FootnoteReference"/>
        </w:rPr>
        <w:footnoteReference w:id="7"/>
      </w:r>
      <w:r w:rsidRPr="00CA2018">
        <w:t xml:space="preserve"> </w:t>
      </w:r>
    </w:p>
    <w:p w14:paraId="188ADDD2" w14:textId="57457A6C" w:rsidR="001C5A41" w:rsidRPr="00AD1527" w:rsidRDefault="00B85A63" w:rsidP="007963BB">
      <w:pPr>
        <w:pStyle w:val="Caption"/>
        <w:keepNext/>
        <w:rPr>
          <w:sz w:val="20"/>
          <w:szCs w:val="20"/>
        </w:rPr>
      </w:pPr>
      <w:r>
        <w:rPr>
          <w:sz w:val="22"/>
          <w:szCs w:val="22"/>
        </w:rPr>
        <w:t>F</w:t>
      </w:r>
      <w:r w:rsidR="001C5A41" w:rsidRPr="00AD1527">
        <w:rPr>
          <w:sz w:val="22"/>
          <w:szCs w:val="22"/>
        </w:rPr>
        <w:t xml:space="preserve">igure </w:t>
      </w:r>
      <w:r w:rsidR="001C5A41" w:rsidRPr="00AD1527">
        <w:rPr>
          <w:sz w:val="22"/>
          <w:szCs w:val="22"/>
        </w:rPr>
        <w:fldChar w:fldCharType="begin"/>
      </w:r>
      <w:r w:rsidR="001C5A41" w:rsidRPr="00AD1527">
        <w:rPr>
          <w:sz w:val="22"/>
          <w:szCs w:val="22"/>
        </w:rPr>
        <w:instrText xml:space="preserve"> SEQ Figure \* ARABIC </w:instrText>
      </w:r>
      <w:r w:rsidR="001C5A41" w:rsidRPr="00AD1527">
        <w:rPr>
          <w:sz w:val="22"/>
          <w:szCs w:val="22"/>
        </w:rPr>
        <w:fldChar w:fldCharType="separate"/>
      </w:r>
      <w:r w:rsidR="00223305">
        <w:rPr>
          <w:noProof/>
          <w:sz w:val="22"/>
          <w:szCs w:val="22"/>
        </w:rPr>
        <w:t>2</w:t>
      </w:r>
      <w:r w:rsidR="001C5A41" w:rsidRPr="00AD1527">
        <w:rPr>
          <w:sz w:val="22"/>
          <w:szCs w:val="22"/>
        </w:rPr>
        <w:fldChar w:fldCharType="end"/>
      </w:r>
      <w:r w:rsidR="001C5A41" w:rsidRPr="00AD1527">
        <w:rPr>
          <w:sz w:val="22"/>
          <w:szCs w:val="22"/>
        </w:rPr>
        <w:t xml:space="preserve">: Changes in rent and income indicators 2011 to 2021. </w:t>
      </w:r>
      <w:r w:rsidR="001C5A41">
        <w:rPr>
          <w:sz w:val="22"/>
          <w:szCs w:val="22"/>
        </w:rPr>
        <w:br/>
      </w:r>
      <w:r w:rsidR="001C5A41" w:rsidRPr="00AD1527">
        <w:rPr>
          <w:sz w:val="20"/>
          <w:szCs w:val="20"/>
        </w:rPr>
        <w:t>Sources: Ministry of Business Innovation and Employment’s Tenancy Bond dataset and Statistics New Zealand’s Quarterly Employment Survey and Consumer Price Index</w:t>
      </w:r>
    </w:p>
    <w:p w14:paraId="36F3476D" w14:textId="67925398" w:rsidR="001C5A41" w:rsidRPr="00CA2018" w:rsidRDefault="001C5A41" w:rsidP="007963BB">
      <w:pPr>
        <w:spacing w:line="240" w:lineRule="auto"/>
      </w:pPr>
      <w:r>
        <w:rPr>
          <w:noProof/>
          <w:lang w:eastAsia="en-NZ"/>
        </w:rPr>
        <w:drawing>
          <wp:anchor distT="0" distB="0" distL="114300" distR="114300" simplePos="0" relativeHeight="251658240" behindDoc="0" locked="0" layoutInCell="1" allowOverlap="1" wp14:anchorId="494A273A" wp14:editId="3CCFAA5F">
            <wp:simplePos x="0" y="0"/>
            <wp:positionH relativeFrom="column">
              <wp:posOffset>480060</wp:posOffset>
            </wp:positionH>
            <wp:positionV relativeFrom="paragraph">
              <wp:posOffset>8890</wp:posOffset>
            </wp:positionV>
            <wp:extent cx="2209800" cy="823259"/>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09800" cy="823259"/>
                    </a:xfrm>
                    <a:prstGeom prst="rect">
                      <a:avLst/>
                    </a:prstGeom>
                  </pic:spPr>
                </pic:pic>
              </a:graphicData>
            </a:graphic>
            <wp14:sizeRelH relativeFrom="page">
              <wp14:pctWidth>0</wp14:pctWidth>
            </wp14:sizeRelH>
            <wp14:sizeRelV relativeFrom="page">
              <wp14:pctHeight>0</wp14:pctHeight>
            </wp14:sizeRelV>
          </wp:anchor>
        </w:drawing>
      </w:r>
      <w:r w:rsidRPr="00CA2018">
        <w:rPr>
          <w:noProof/>
          <w:lang w:eastAsia="en-NZ"/>
        </w:rPr>
        <w:drawing>
          <wp:inline distT="0" distB="0" distL="0" distR="0" wp14:anchorId="05C7D13D" wp14:editId="5D12E6FE">
            <wp:extent cx="6134100" cy="3200382"/>
            <wp:effectExtent l="0" t="0" r="0" b="635"/>
            <wp:docPr id="6" name="Picture 6" descr="Indices all start at 1000 in June 2011 for all three indicators: Lower quartile rent (MBIE), CPI rent index, and Average weekly wage for employees. Lower quartile rent has the steepest line (most change/increase), slightly wobbly but reasonably straight, ending above 1600 in June 2021. Average weekly wage is second steepest, ending around 1400 in June 2021. CPI rent index is flattest line, although it still shows change, ending at just below 1200 in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dices all start at 1000 in June 2011 for all three indicators: Lower quartile rent (MBIE), CPI rent index, and Average weekly wage for employees. Lower quartile rent has the steepest line (most change/increase), slightly wobbly but reasonably straight, ending above 1600 in June 2021. Average weekly wage is second steepest, ending around 1400 in June 2021. CPI rent index is flattest line, although it still shows change, ending at just below 1200 in June 2021."/>
                    <pic:cNvPicPr>
                      <a:picLocks noChangeAspect="1" noChangeArrowheads="1"/>
                    </pic:cNvPicPr>
                  </pic:nvPicPr>
                  <pic:blipFill rotWithShape="1">
                    <a:blip r:embed="rId28">
                      <a:extLst>
                        <a:ext uri="{28A0092B-C50C-407E-A947-70E740481C1C}">
                          <a14:useLocalDpi xmlns:a14="http://schemas.microsoft.com/office/drawing/2010/main" val="0"/>
                        </a:ext>
                      </a:extLst>
                    </a:blip>
                    <a:srcRect b="47470"/>
                    <a:stretch/>
                  </pic:blipFill>
                  <pic:spPr bwMode="auto">
                    <a:xfrm>
                      <a:off x="0" y="0"/>
                      <a:ext cx="6181842" cy="3225291"/>
                    </a:xfrm>
                    <a:prstGeom prst="rect">
                      <a:avLst/>
                    </a:prstGeom>
                    <a:noFill/>
                    <a:ln>
                      <a:noFill/>
                    </a:ln>
                    <a:extLst>
                      <a:ext uri="{53640926-AAD7-44D8-BBD7-CCE9431645EC}">
                        <a14:shadowObscured xmlns:a14="http://schemas.microsoft.com/office/drawing/2010/main"/>
                      </a:ext>
                    </a:extLst>
                  </pic:spPr>
                </pic:pic>
              </a:graphicData>
            </a:graphic>
          </wp:inline>
        </w:drawing>
      </w:r>
    </w:p>
    <w:p w14:paraId="3020DF8B" w14:textId="7A29073B" w:rsidR="00CB4B07" w:rsidRPr="00A2495A" w:rsidRDefault="00CB4B07" w:rsidP="007F4485">
      <w:pPr>
        <w:spacing w:line="240" w:lineRule="auto"/>
        <w:rPr>
          <w:lang w:val="mi-NZ"/>
        </w:rPr>
      </w:pPr>
      <w:r w:rsidRPr="00CA2018">
        <w:t>WEAG recommended that ‘urgent efforts’ be continued to end homelessness (key recommendation 29), and while the Government has continued to progress its Homelessness Action Plan</w:t>
      </w:r>
      <w:r w:rsidR="00051D28">
        <w:t xml:space="preserve"> (MSD, 2021d)</w:t>
      </w:r>
      <w:r w:rsidRPr="00CA2018">
        <w:t>, challenges in the broader housing system are such that the number of severely housing deprived New Zealanders, and particularly children, is only growing with time. In October 2021, RNZ reported that there were over 4,500 children living in motels throughout the country, an increase of nearly 6% in the space of three months</w:t>
      </w:r>
      <w:r w:rsidR="00AF3E6A">
        <w:t xml:space="preserve"> (Blake-Person, 2021</w:t>
      </w:r>
      <w:r w:rsidR="003B7EA0">
        <w:t>a</w:t>
      </w:r>
      <w:r w:rsidR="00AF3E6A">
        <w:t>)</w:t>
      </w:r>
      <w:r w:rsidRPr="00CA2018">
        <w:t xml:space="preserve">. Through the Covid-19 delta outbreak, some areas have not had sufficient emergency </w:t>
      </w:r>
      <w:r w:rsidR="00A77B80">
        <w:t>h</w:t>
      </w:r>
      <w:r w:rsidRPr="00CA2018">
        <w:t>ousing capacity to keep pace with demand</w:t>
      </w:r>
      <w:r w:rsidR="00213976">
        <w:t xml:space="preserve"> of increasing numbers of </w:t>
      </w:r>
      <w:r w:rsidRPr="00CA2018">
        <w:t xml:space="preserve">families and </w:t>
      </w:r>
      <w:r w:rsidR="00213976">
        <w:t>wh</w:t>
      </w:r>
      <w:r w:rsidR="00053799">
        <w:t>ā</w:t>
      </w:r>
      <w:r w:rsidR="00213976">
        <w:t>nau.</w:t>
      </w:r>
      <w:r w:rsidR="00E216D4">
        <w:t xml:space="preserve"> T</w:t>
      </w:r>
      <w:r w:rsidRPr="00CA2018">
        <w:t xml:space="preserve">hat New Zealand has reached the point where families and whānau are turned away even from emergency accommodation – a bottom-of-the-cliff </w:t>
      </w:r>
      <w:r w:rsidR="008018C5">
        <w:t>response</w:t>
      </w:r>
      <w:r w:rsidRPr="00CA2018">
        <w:t xml:space="preserve"> – is an indictment that necessitates bold and brave policy response.</w:t>
      </w:r>
    </w:p>
    <w:p w14:paraId="0F17EB1A" w14:textId="221D1767" w:rsidR="001C5A41" w:rsidRDefault="00B85116" w:rsidP="007963BB">
      <w:pPr>
        <w:spacing w:line="240" w:lineRule="auto"/>
        <w:rPr>
          <w:rFonts w:cstheme="minorHAnsi"/>
        </w:rPr>
      </w:pPr>
      <w:r>
        <w:t>Indeed t</w:t>
      </w:r>
      <w:r w:rsidR="001C5A41" w:rsidRPr="00CA2018">
        <w:t xml:space="preserve">he numbers of people </w:t>
      </w:r>
      <w:r w:rsidR="00974A3A">
        <w:t>classified as being in</w:t>
      </w:r>
      <w:r w:rsidR="00017891">
        <w:t xml:space="preserve"> severe</w:t>
      </w:r>
      <w:r w:rsidR="001C5A41" w:rsidRPr="00CA2018">
        <w:t xml:space="preserve"> </w:t>
      </w:r>
      <w:r w:rsidR="008018C5">
        <w:t xml:space="preserve">immediate </w:t>
      </w:r>
      <w:r w:rsidR="001C5A41" w:rsidRPr="00CA2018">
        <w:t xml:space="preserve">need on the social housing waitlist </w:t>
      </w:r>
      <w:r w:rsidR="008018C5">
        <w:t xml:space="preserve">(Priority A) </w:t>
      </w:r>
      <w:r w:rsidR="00017891">
        <w:t>continues to grow</w:t>
      </w:r>
      <w:r w:rsidR="00017891">
        <w:rPr>
          <w:rFonts w:cstheme="minorHAnsi"/>
        </w:rPr>
        <w:t>.</w:t>
      </w:r>
      <w:r w:rsidR="008379B3">
        <w:rPr>
          <w:rFonts w:cstheme="minorHAnsi"/>
        </w:rPr>
        <w:t xml:space="preserve"> Demand for social housing </w:t>
      </w:r>
      <w:r w:rsidR="00964BBE">
        <w:rPr>
          <w:rFonts w:cstheme="minorHAnsi"/>
        </w:rPr>
        <w:t>has grown exponentially since 2016</w:t>
      </w:r>
      <w:r w:rsidR="00123CAA">
        <w:rPr>
          <w:rFonts w:cstheme="minorHAnsi"/>
        </w:rPr>
        <w:t xml:space="preserve">, in part due to a change in needs assessment processes introduced by the Labour-led Government, but </w:t>
      </w:r>
      <w:r w:rsidR="008018C5">
        <w:rPr>
          <w:rFonts w:cstheme="minorHAnsi"/>
        </w:rPr>
        <w:t xml:space="preserve">more recently </w:t>
      </w:r>
      <w:r w:rsidR="00123CAA">
        <w:rPr>
          <w:rFonts w:cstheme="minorHAnsi"/>
        </w:rPr>
        <w:t xml:space="preserve">reflecting </w:t>
      </w:r>
      <w:r w:rsidR="000177F1">
        <w:rPr>
          <w:rFonts w:cstheme="minorHAnsi"/>
        </w:rPr>
        <w:t>growing housing deprivation.</w:t>
      </w:r>
      <w:r w:rsidR="00536802" w:rsidRPr="00CA2018">
        <w:t xml:space="preserve"> </w:t>
      </w:r>
      <w:r w:rsidR="000177F1">
        <w:rPr>
          <w:rFonts w:cstheme="minorHAnsi"/>
        </w:rPr>
        <w:t xml:space="preserve">In the last year this </w:t>
      </w:r>
      <w:r w:rsidR="008018C5">
        <w:rPr>
          <w:rFonts w:cstheme="minorHAnsi"/>
        </w:rPr>
        <w:t xml:space="preserve">adverse </w:t>
      </w:r>
      <w:r w:rsidR="000177F1">
        <w:rPr>
          <w:rFonts w:cstheme="minorHAnsi"/>
        </w:rPr>
        <w:t xml:space="preserve">trend has continued; </w:t>
      </w:r>
      <w:r w:rsidR="008E034B">
        <w:t xml:space="preserve">during </w:t>
      </w:r>
      <w:r w:rsidR="001C5A41" w:rsidRPr="00CA2018">
        <w:t xml:space="preserve">the 12 months to June 2021 the waiting list </w:t>
      </w:r>
      <w:r w:rsidR="00BE03EA">
        <w:t xml:space="preserve">overall </w:t>
      </w:r>
      <w:r w:rsidR="001C5A41" w:rsidRPr="00CA2018">
        <w:t>grew 32%</w:t>
      </w:r>
      <w:r w:rsidR="00E0379F">
        <w:t>,</w:t>
      </w:r>
      <w:r w:rsidR="001C5A41" w:rsidRPr="00CA2018">
        <w:t xml:space="preserve"> or by almost 6,000 households to 24,474, with the proportion of Priority A rising from just under 90% to over 93%</w:t>
      </w:r>
      <w:r w:rsidR="008E5B38">
        <w:t xml:space="preserve"> (MSD, 2021g)</w:t>
      </w:r>
      <w:r w:rsidR="001C5A41" w:rsidRPr="00CA2018">
        <w:t>.</w:t>
      </w:r>
      <w:r w:rsidR="00E0379F">
        <w:rPr>
          <w:b/>
          <w:bCs/>
        </w:rPr>
        <w:t xml:space="preserve"> </w:t>
      </w:r>
      <w:r w:rsidR="001C5A41">
        <w:rPr>
          <w:rFonts w:cstheme="minorHAnsi"/>
        </w:rPr>
        <w:t xml:space="preserve">The </w:t>
      </w:r>
      <w:r w:rsidR="001C5A41" w:rsidRPr="00CA2018">
        <w:rPr>
          <w:rFonts w:cstheme="minorHAnsi"/>
        </w:rPr>
        <w:t xml:space="preserve">social housing waiting list is growing at almost twice the rate of </w:t>
      </w:r>
      <w:r w:rsidR="008018C5">
        <w:rPr>
          <w:rFonts w:cstheme="minorHAnsi"/>
        </w:rPr>
        <w:t xml:space="preserve">the </w:t>
      </w:r>
      <w:r w:rsidR="001C5A41" w:rsidRPr="00CA2018">
        <w:rPr>
          <w:rFonts w:cstheme="minorHAnsi"/>
        </w:rPr>
        <w:t>building of additional social housing</w:t>
      </w:r>
      <w:r w:rsidR="000429CA">
        <w:rPr>
          <w:rFonts w:cstheme="minorHAnsi"/>
        </w:rPr>
        <w:t xml:space="preserve"> (K</w:t>
      </w:r>
      <w:r w:rsidR="000429CA">
        <w:rPr>
          <w:rFonts w:cstheme="minorHAnsi"/>
          <w:lang w:val="mi-NZ"/>
        </w:rPr>
        <w:t>āinga Ora, 2021)</w:t>
      </w:r>
      <w:r w:rsidR="001C5A41">
        <w:rPr>
          <w:rFonts w:cstheme="minorHAnsi"/>
        </w:rPr>
        <w:t>,</w:t>
      </w:r>
      <w:r w:rsidR="001C5A41" w:rsidRPr="00CA2018">
        <w:rPr>
          <w:rFonts w:cstheme="minorHAnsi"/>
        </w:rPr>
        <w:t xml:space="preserve"> and 4,400 households are living in transitional housing</w:t>
      </w:r>
      <w:r w:rsidR="008E5B38">
        <w:rPr>
          <w:rFonts w:cstheme="minorHAnsi"/>
        </w:rPr>
        <w:t xml:space="preserve"> (MHUD, 2021</w:t>
      </w:r>
      <w:r w:rsidR="00FA5A34">
        <w:rPr>
          <w:rFonts w:cstheme="minorHAnsi"/>
        </w:rPr>
        <w:t>a</w:t>
      </w:r>
      <w:r w:rsidR="008E5B38">
        <w:rPr>
          <w:rFonts w:cstheme="minorHAnsi"/>
        </w:rPr>
        <w:t>, pp. 5)</w:t>
      </w:r>
      <w:r w:rsidR="001C5A41">
        <w:rPr>
          <w:rFonts w:cstheme="minorHAnsi"/>
        </w:rPr>
        <w:t>,</w:t>
      </w:r>
      <w:r w:rsidR="001C5A41" w:rsidRPr="00CA2018">
        <w:rPr>
          <w:rFonts w:cstheme="minorHAnsi"/>
        </w:rPr>
        <w:t xml:space="preserve"> illustrat</w:t>
      </w:r>
      <w:r w:rsidR="001C5A41">
        <w:rPr>
          <w:rFonts w:cstheme="minorHAnsi"/>
        </w:rPr>
        <w:t>ing</w:t>
      </w:r>
      <w:r w:rsidR="001C5A41" w:rsidRPr="00CA2018">
        <w:rPr>
          <w:rFonts w:cstheme="minorHAnsi"/>
        </w:rPr>
        <w:t xml:space="preserve"> that current efforts are inadequate</w:t>
      </w:r>
      <w:r w:rsidR="001C5A41">
        <w:rPr>
          <w:rFonts w:cstheme="minorHAnsi"/>
        </w:rPr>
        <w:t xml:space="preserve"> to reduce homelessness</w:t>
      </w:r>
      <w:r w:rsidR="001C5A41" w:rsidRPr="00CA2018">
        <w:rPr>
          <w:rFonts w:cstheme="minorHAnsi"/>
        </w:rPr>
        <w:t xml:space="preserve">. </w:t>
      </w:r>
    </w:p>
    <w:p w14:paraId="7B61BADC" w14:textId="28E523B8" w:rsidR="00CF24F3" w:rsidRPr="00FE03EF" w:rsidRDefault="00480409" w:rsidP="007963BB">
      <w:pPr>
        <w:pStyle w:val="Heading2"/>
        <w:spacing w:line="240" w:lineRule="auto"/>
        <w:rPr>
          <w:lang w:val="mi-NZ"/>
        </w:rPr>
      </w:pPr>
      <w:bookmarkStart w:id="34" w:name="_Toc89330014"/>
      <w:r>
        <w:t>Increasing supply of social housing – on an ‘industrial scale’?</w:t>
      </w:r>
      <w:bookmarkEnd w:id="34"/>
    </w:p>
    <w:p w14:paraId="4BA74A7C" w14:textId="51178F0D" w:rsidR="001C19A3" w:rsidRDefault="007F4485" w:rsidP="007963BB">
      <w:pPr>
        <w:spacing w:line="240" w:lineRule="auto"/>
        <w:rPr>
          <w:rFonts w:cstheme="minorHAnsi"/>
          <w:szCs w:val="24"/>
        </w:rPr>
      </w:pPr>
      <w:r>
        <w:rPr>
          <w:noProof/>
          <w:lang w:eastAsia="en-NZ"/>
        </w:rPr>
        <mc:AlternateContent>
          <mc:Choice Requires="wps">
            <w:drawing>
              <wp:anchor distT="45720" distB="45720" distL="114300" distR="114300" simplePos="0" relativeHeight="251654144" behindDoc="0" locked="0" layoutInCell="1" allowOverlap="1" wp14:anchorId="782CAC50" wp14:editId="0FD7CE40">
                <wp:simplePos x="0" y="0"/>
                <wp:positionH relativeFrom="margin">
                  <wp:align>right</wp:align>
                </wp:positionH>
                <wp:positionV relativeFrom="paragraph">
                  <wp:posOffset>76835</wp:posOffset>
                </wp:positionV>
                <wp:extent cx="2537460" cy="47396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739640"/>
                        </a:xfrm>
                        <a:prstGeom prst="rect">
                          <a:avLst/>
                        </a:prstGeom>
                        <a:solidFill>
                          <a:schemeClr val="accent5">
                            <a:lumMod val="20000"/>
                            <a:lumOff val="80000"/>
                          </a:schemeClr>
                        </a:solidFill>
                        <a:ln w="9525">
                          <a:noFill/>
                          <a:miter lim="800000"/>
                          <a:headEnd/>
                          <a:tailEnd/>
                        </a:ln>
                      </wps:spPr>
                      <wps:txbx>
                        <w:txbxContent>
                          <w:p w14:paraId="3EDF5778" w14:textId="77777777" w:rsidR="00E84D61" w:rsidRPr="002546F7" w:rsidRDefault="00E84D61" w:rsidP="00CB4B07">
                            <w:pPr>
                              <w:rPr>
                                <w:i/>
                                <w:iCs/>
                              </w:rPr>
                            </w:pPr>
                            <w:r w:rsidRPr="002546F7">
                              <w:rPr>
                                <w:i/>
                                <w:iCs/>
                              </w:rPr>
                              <w:t xml:space="preserve">“It’s very hard raising children [in emergency accommodation]. Especially when you don’t have cooking facilities, just trying to provide those basic needs. A real cost if you’ve gotta buy takeaways. Also there’s all different types of people – addicts, people under the influence. There’s always people fighting, drinking – and it doesn’t look good for the kids. With me, with my kids, it was really hard. I had to beg my ex-partner to take them in for a week or two. They’re not able to go to school because we were moving, the travel, the expense of traveling – you have to go back to WINZ and say ‘hey, you’ve put me out in the middle of nowhere, how do you expect me to travel around and also feed my kids at the same time?’” </w:t>
                            </w:r>
                          </w:p>
                          <w:p w14:paraId="192B607A" w14:textId="77777777" w:rsidR="00E84D61" w:rsidRDefault="00E84D61" w:rsidP="00CB4B07">
                            <w:r w:rsidRPr="00EC5D73">
                              <w:t>– Sole Parent Support rec</w:t>
                            </w:r>
                            <w:r>
                              <w:t>ipient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AC50" id="_x0000_s1034" type="#_x0000_t202" style="position:absolute;margin-left:148.6pt;margin-top:6.05pt;width:199.8pt;height:373.2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" fillcolor="#deeaf6 [664]" stroked="f">
                <v:textbox>
                  <w:txbxContent>
                    <w:p w14:paraId="3EDF5778" w14:textId="77777777" w:rsidR="00E84D61" w:rsidRPr="002546F7" w:rsidRDefault="00E84D61" w:rsidP="00CB4B07">
                      <w:pPr>
                        <w:rPr>
                          <w:i/>
                          <w:iCs/>
                        </w:rPr>
                      </w:pPr>
                      <w:r w:rsidRPr="002546F7">
                        <w:rPr>
                          <w:i/>
                          <w:iCs/>
                        </w:rPr>
                        <w:t xml:space="preserve">“It’s very hard raising children [in emergency accommodation]. Especially when you don’t have cooking facilities, just trying to provide those basic needs. A real cost if you’ve gotta buy takeaways. Also there’s all different types of people – addicts, people under the influence. There’s always people fighting, drinking – and it doesn’t look good for the kids. With me, with my kids, it was really hard. I had to beg my ex-partner to take them in for a week or two. They’re not able to go to school because we were moving, the travel, the expense of traveling – you have to go back to WINZ and say ‘hey, you’ve put me out in the middle of nowhere, how do you expect me to travel around and also feed my kids at the same time?’” </w:t>
                      </w:r>
                    </w:p>
                    <w:p w14:paraId="192B607A" w14:textId="77777777" w:rsidR="00E84D61" w:rsidRDefault="00E84D61" w:rsidP="00CB4B07">
                      <w:r w:rsidRPr="00EC5D73">
                        <w:t>– Sole Parent Support rec</w:t>
                      </w:r>
                      <w:r>
                        <w:t>ipient</w:t>
                      </w:r>
                    </w:p>
                  </w:txbxContent>
                </v:textbox>
                <w10:wrap type="square" anchorx="margin"/>
              </v:shape>
            </w:pict>
          </mc:Fallback>
        </mc:AlternateContent>
      </w:r>
      <w:r w:rsidR="00EC4941" w:rsidRPr="001C19A3">
        <w:rPr>
          <w:rFonts w:cstheme="minorHAnsi"/>
          <w:szCs w:val="24"/>
        </w:rPr>
        <w:t xml:space="preserve">WEAG </w:t>
      </w:r>
      <w:r w:rsidR="000429CA">
        <w:rPr>
          <w:rFonts w:cstheme="minorHAnsi"/>
          <w:szCs w:val="24"/>
        </w:rPr>
        <w:t xml:space="preserve">(2019, pp. 11) </w:t>
      </w:r>
      <w:r w:rsidR="00EC4941" w:rsidRPr="001C19A3">
        <w:rPr>
          <w:rFonts w:cstheme="minorHAnsi"/>
          <w:szCs w:val="24"/>
        </w:rPr>
        <w:t xml:space="preserve">recommended </w:t>
      </w:r>
      <w:r w:rsidR="000429CA">
        <w:rPr>
          <w:rFonts w:cstheme="minorHAnsi"/>
          <w:szCs w:val="24"/>
        </w:rPr>
        <w:t>that the Government</w:t>
      </w:r>
      <w:r w:rsidR="001C19A3" w:rsidRPr="001C19A3">
        <w:rPr>
          <w:rFonts w:cs="Museo Sans 300"/>
          <w:color w:val="000000"/>
          <w:szCs w:val="24"/>
        </w:rPr>
        <w:t xml:space="preserve"> </w:t>
      </w:r>
      <w:r w:rsidR="000429CA" w:rsidRPr="006B623B">
        <w:rPr>
          <w:rFonts w:cs="Museo Sans 300"/>
          <w:i/>
          <w:iCs/>
          <w:color w:val="000000"/>
          <w:szCs w:val="24"/>
        </w:rPr>
        <w:t>“</w:t>
      </w:r>
      <w:r w:rsidR="000429CA" w:rsidRPr="006B623B">
        <w:rPr>
          <w:i/>
          <w:iCs/>
        </w:rPr>
        <w:t>expand and accelerate efforts to substantially increase public housing on an industrial scale.”</w:t>
      </w:r>
      <w:r w:rsidR="00EC4941" w:rsidRPr="006B623B">
        <w:rPr>
          <w:rFonts w:cstheme="minorHAnsi"/>
          <w:i/>
          <w:iCs/>
          <w:szCs w:val="24"/>
        </w:rPr>
        <w:t xml:space="preserve"> </w:t>
      </w:r>
      <w:r w:rsidR="001C19A3">
        <w:rPr>
          <w:rFonts w:cstheme="minorHAnsi"/>
          <w:szCs w:val="24"/>
        </w:rPr>
        <w:t xml:space="preserve">How has that been progressed? </w:t>
      </w:r>
    </w:p>
    <w:p w14:paraId="23A3039D" w14:textId="10D9010A" w:rsidR="001C5A41" w:rsidRDefault="001C5A41" w:rsidP="007963BB">
      <w:pPr>
        <w:spacing w:line="240" w:lineRule="auto"/>
        <w:rPr>
          <w:rFonts w:cstheme="minorHAnsi"/>
        </w:rPr>
      </w:pPr>
      <w:r w:rsidRPr="001C19A3">
        <w:rPr>
          <w:rFonts w:cstheme="minorHAnsi"/>
          <w:szCs w:val="24"/>
        </w:rPr>
        <w:t xml:space="preserve">Low-income households’ access to affordable housing is mainly facilitated through social </w:t>
      </w:r>
      <w:r w:rsidR="001C19A3">
        <w:rPr>
          <w:rFonts w:cstheme="minorHAnsi"/>
          <w:szCs w:val="24"/>
        </w:rPr>
        <w:t xml:space="preserve">(“public”) </w:t>
      </w:r>
      <w:r w:rsidRPr="001C19A3">
        <w:rPr>
          <w:rFonts w:cstheme="minorHAnsi"/>
          <w:szCs w:val="24"/>
        </w:rPr>
        <w:t>housing provided by</w:t>
      </w:r>
      <w:r w:rsidRPr="00CA2018">
        <w:rPr>
          <w:rFonts w:cstheme="minorHAnsi"/>
        </w:rPr>
        <w:t xml:space="preserve"> the Government’s housing agency Kāinga Ora and community housing organisations (CHOs)</w:t>
      </w:r>
      <w:r w:rsidR="00054384">
        <w:rPr>
          <w:rFonts w:cstheme="minorHAnsi"/>
        </w:rPr>
        <w:t>,</w:t>
      </w:r>
      <w:r w:rsidRPr="00CA2018">
        <w:rPr>
          <w:rFonts w:cstheme="minorHAnsi"/>
        </w:rPr>
        <w:t xml:space="preserve"> which include iwi/hapū providers. </w:t>
      </w:r>
      <w:r w:rsidR="002C280D" w:rsidRPr="00CA2018">
        <w:rPr>
          <w:rFonts w:cstheme="minorHAnsi"/>
        </w:rPr>
        <w:t>However,</w:t>
      </w:r>
      <w:r w:rsidRPr="00CA2018">
        <w:rPr>
          <w:rFonts w:cstheme="minorHAnsi"/>
        </w:rPr>
        <w:t xml:space="preserve"> the picture of this provision of social housing is somewhat confusing with at least three indicators available: (i) the total stock of social housing provided by Kāinga Ora and CHOs</w:t>
      </w:r>
      <w:r w:rsidR="00B11A65">
        <w:rPr>
          <w:rFonts w:cstheme="minorHAnsi"/>
        </w:rPr>
        <w:t>;</w:t>
      </w:r>
      <w:r w:rsidRPr="00CA2018">
        <w:rPr>
          <w:rFonts w:cstheme="minorHAnsi"/>
        </w:rPr>
        <w:t xml:space="preserve"> (ii) the stock of housing provided just by Kāinga Ora</w:t>
      </w:r>
      <w:r w:rsidR="00B11A65">
        <w:rPr>
          <w:rFonts w:cstheme="minorHAnsi"/>
        </w:rPr>
        <w:t>;</w:t>
      </w:r>
      <w:r w:rsidRPr="00CA2018">
        <w:rPr>
          <w:rFonts w:cstheme="minorHAnsi"/>
        </w:rPr>
        <w:t xml:space="preserve"> </w:t>
      </w:r>
      <w:r>
        <w:rPr>
          <w:rFonts w:cstheme="minorHAnsi"/>
        </w:rPr>
        <w:t xml:space="preserve">and </w:t>
      </w:r>
      <w:r w:rsidRPr="00CA2018">
        <w:rPr>
          <w:rFonts w:cstheme="minorHAnsi"/>
        </w:rPr>
        <w:t xml:space="preserve">(iii) the numbers of low-income households living in affordable rental accommodation through income-related rent subsidy (IRRS) tenancies. While all of these have increased, the numbers are nowhere near what is </w:t>
      </w:r>
      <w:r w:rsidR="003A55ED">
        <w:rPr>
          <w:rFonts w:cstheme="minorHAnsi"/>
        </w:rPr>
        <w:t xml:space="preserve">actually </w:t>
      </w:r>
      <w:r w:rsidRPr="00CA2018">
        <w:rPr>
          <w:rFonts w:cstheme="minorHAnsi"/>
        </w:rPr>
        <w:t>needed</w:t>
      </w:r>
      <w:r w:rsidR="003A55ED">
        <w:rPr>
          <w:rFonts w:cstheme="minorHAnsi"/>
        </w:rPr>
        <w:t xml:space="preserve"> – </w:t>
      </w:r>
      <w:r w:rsidR="0067101E">
        <w:rPr>
          <w:rFonts w:cstheme="minorHAnsi"/>
        </w:rPr>
        <w:t xml:space="preserve">estimated at </w:t>
      </w:r>
      <w:r w:rsidR="003A55ED">
        <w:rPr>
          <w:rFonts w:cstheme="minorHAnsi"/>
        </w:rPr>
        <w:t xml:space="preserve">around </w:t>
      </w:r>
      <w:r w:rsidR="00EC4941">
        <w:rPr>
          <w:rFonts w:cstheme="minorHAnsi"/>
        </w:rPr>
        <w:t>5</w:t>
      </w:r>
      <w:r w:rsidR="00054384">
        <w:rPr>
          <w:rFonts w:cstheme="minorHAnsi"/>
        </w:rPr>
        <w:t>,</w:t>
      </w:r>
      <w:r w:rsidR="003A55ED">
        <w:rPr>
          <w:rFonts w:cstheme="minorHAnsi"/>
        </w:rPr>
        <w:t>000 houses per year</w:t>
      </w:r>
      <w:r w:rsidR="0006569B">
        <w:rPr>
          <w:rFonts w:cstheme="minorHAnsi"/>
        </w:rPr>
        <w:t xml:space="preserve"> (CPAG, 2021)</w:t>
      </w:r>
    </w:p>
    <w:p w14:paraId="3FCE563B" w14:textId="0B6465B6" w:rsidR="001C5A41" w:rsidRPr="00CA2018" w:rsidRDefault="001C19A3" w:rsidP="007963BB">
      <w:pPr>
        <w:spacing w:line="240" w:lineRule="auto"/>
        <w:rPr>
          <w:rFonts w:cstheme="minorHAnsi"/>
        </w:rPr>
      </w:pPr>
      <w:r>
        <w:rPr>
          <w:rFonts w:cstheme="minorHAnsi"/>
        </w:rPr>
        <w:t xml:space="preserve">However all </w:t>
      </w:r>
      <w:r w:rsidR="007E76F1">
        <w:rPr>
          <w:rFonts w:cstheme="minorHAnsi"/>
        </w:rPr>
        <w:t xml:space="preserve">available </w:t>
      </w:r>
      <w:r>
        <w:rPr>
          <w:rFonts w:cstheme="minorHAnsi"/>
        </w:rPr>
        <w:t xml:space="preserve">data sources demonstrate that the </w:t>
      </w:r>
      <w:r w:rsidR="008D637A">
        <w:rPr>
          <w:rFonts w:cstheme="minorHAnsi"/>
        </w:rPr>
        <w:t>number</w:t>
      </w:r>
      <w:r>
        <w:rPr>
          <w:rFonts w:cstheme="minorHAnsi"/>
        </w:rPr>
        <w:t xml:space="preserve"> is not even half of what is needed</w:t>
      </w:r>
      <w:r w:rsidR="007E76F1">
        <w:rPr>
          <w:rFonts w:cstheme="minorHAnsi"/>
        </w:rPr>
        <w:t>, by any measure</w:t>
      </w:r>
      <w:r>
        <w:rPr>
          <w:rFonts w:cstheme="minorHAnsi"/>
        </w:rPr>
        <w:t>.</w:t>
      </w:r>
      <w:r w:rsidR="007E76F1">
        <w:rPr>
          <w:rFonts w:cstheme="minorHAnsi"/>
        </w:rPr>
        <w:t xml:space="preserve"> Between July 2020 and </w:t>
      </w:r>
      <w:r w:rsidR="001C5A41" w:rsidRPr="00CA2018">
        <w:rPr>
          <w:rFonts w:cstheme="minorHAnsi"/>
        </w:rPr>
        <w:t xml:space="preserve">June </w:t>
      </w:r>
      <w:r w:rsidR="00974A3A" w:rsidRPr="00CA2018">
        <w:rPr>
          <w:rFonts w:cstheme="minorHAnsi"/>
        </w:rPr>
        <w:t>2021, the</w:t>
      </w:r>
      <w:r w:rsidR="001C5A41" w:rsidRPr="00CA2018">
        <w:rPr>
          <w:rFonts w:cstheme="minorHAnsi"/>
        </w:rPr>
        <w:t xml:space="preserve"> total stock of social housing grew </w:t>
      </w:r>
      <w:r>
        <w:rPr>
          <w:rFonts w:cstheme="minorHAnsi"/>
        </w:rPr>
        <w:t xml:space="preserve">by </w:t>
      </w:r>
      <w:r w:rsidR="000429CA">
        <w:rPr>
          <w:rFonts w:cstheme="minorHAnsi"/>
        </w:rPr>
        <w:t>10,382</w:t>
      </w:r>
      <w:r>
        <w:rPr>
          <w:rFonts w:cstheme="minorHAnsi"/>
        </w:rPr>
        <w:t xml:space="preserve"> (</w:t>
      </w:r>
      <w:r w:rsidR="001C5A41" w:rsidRPr="00CA2018">
        <w:rPr>
          <w:rFonts w:cstheme="minorHAnsi"/>
        </w:rPr>
        <w:t>4.2%</w:t>
      </w:r>
      <w:r>
        <w:rPr>
          <w:rFonts w:cstheme="minorHAnsi"/>
        </w:rPr>
        <w:t>)</w:t>
      </w:r>
      <w:r w:rsidR="001C5A41" w:rsidRPr="00CA2018">
        <w:rPr>
          <w:rFonts w:cstheme="minorHAnsi"/>
        </w:rPr>
        <w:t xml:space="preserve"> to 74,377 dwellings, the stock of housing </w:t>
      </w:r>
      <w:r w:rsidR="00E61829">
        <w:rPr>
          <w:rFonts w:cstheme="minorHAnsi"/>
        </w:rPr>
        <w:t>tenancy-</w:t>
      </w:r>
      <w:r w:rsidR="001C5A41" w:rsidRPr="00CA2018">
        <w:rPr>
          <w:rFonts w:cstheme="minorHAnsi"/>
        </w:rPr>
        <w:t xml:space="preserve">managed by Kainga Ora grew </w:t>
      </w:r>
      <w:r>
        <w:rPr>
          <w:rFonts w:cstheme="minorHAnsi"/>
        </w:rPr>
        <w:t>by</w:t>
      </w:r>
      <w:r w:rsidR="00054384">
        <w:rPr>
          <w:rFonts w:cstheme="minorHAnsi"/>
        </w:rPr>
        <w:t xml:space="preserve"> 406 </w:t>
      </w:r>
      <w:r>
        <w:rPr>
          <w:rFonts w:cstheme="minorHAnsi"/>
        </w:rPr>
        <w:t>(</w:t>
      </w:r>
      <w:r w:rsidR="001C5A41" w:rsidRPr="00CA2018">
        <w:rPr>
          <w:rFonts w:cstheme="minorHAnsi"/>
        </w:rPr>
        <w:t>0.6%</w:t>
      </w:r>
      <w:r>
        <w:rPr>
          <w:rFonts w:cstheme="minorHAnsi"/>
        </w:rPr>
        <w:t>)</w:t>
      </w:r>
      <w:r w:rsidR="001C5A41" w:rsidRPr="00CA2018">
        <w:rPr>
          <w:rFonts w:cstheme="minorHAnsi"/>
        </w:rPr>
        <w:t xml:space="preserve"> to 63,995 units while the number of households with IRRS tenancies increased 4.5% to 71,738</w:t>
      </w:r>
      <w:r w:rsidR="00054384">
        <w:rPr>
          <w:rFonts w:cstheme="minorHAnsi"/>
        </w:rPr>
        <w:t xml:space="preserve"> (M</w:t>
      </w:r>
      <w:r w:rsidR="00FC1727">
        <w:rPr>
          <w:rFonts w:cstheme="minorHAnsi"/>
        </w:rPr>
        <w:t>HUD, 2021a</w:t>
      </w:r>
      <w:r w:rsidR="00054384">
        <w:rPr>
          <w:rFonts w:cstheme="minorHAnsi"/>
        </w:rPr>
        <w:t>)</w:t>
      </w:r>
      <w:r w:rsidR="001C5A41" w:rsidRPr="00CA2018">
        <w:rPr>
          <w:rFonts w:cstheme="minorHAnsi"/>
        </w:rPr>
        <w:t>.</w:t>
      </w:r>
      <w:r w:rsidR="00054384">
        <w:rPr>
          <w:rStyle w:val="FootnoteReference"/>
          <w:rFonts w:cstheme="minorHAnsi"/>
        </w:rPr>
        <w:footnoteReference w:id="8"/>
      </w:r>
      <w:r w:rsidR="001C5A41" w:rsidRPr="00CA2018">
        <w:rPr>
          <w:rFonts w:cstheme="minorHAnsi"/>
        </w:rPr>
        <w:t xml:space="preserve"> </w:t>
      </w:r>
    </w:p>
    <w:p w14:paraId="67A3E7EE" w14:textId="797A713F" w:rsidR="001C5A41" w:rsidRPr="00CA2018" w:rsidRDefault="00CB739F" w:rsidP="007963BB">
      <w:pPr>
        <w:spacing w:after="240" w:line="240" w:lineRule="auto"/>
        <w:rPr>
          <w:rFonts w:cstheme="minorHAnsi"/>
        </w:rPr>
      </w:pPr>
      <w:r>
        <w:rPr>
          <w:rFonts w:cstheme="minorHAnsi"/>
        </w:rPr>
        <w:t>The</w:t>
      </w:r>
      <w:r w:rsidR="001C5A41" w:rsidRPr="00CA2018">
        <w:rPr>
          <w:rFonts w:cstheme="minorHAnsi"/>
        </w:rPr>
        <w:t xml:space="preserve"> total stock of housing under</w:t>
      </w:r>
      <w:r>
        <w:rPr>
          <w:rFonts w:cstheme="minorHAnsi"/>
        </w:rPr>
        <w:t xml:space="preserve"> K</w:t>
      </w:r>
      <w:r>
        <w:rPr>
          <w:rFonts w:cstheme="minorHAnsi"/>
          <w:lang w:val="mi-NZ"/>
        </w:rPr>
        <w:t>āinga Ora</w:t>
      </w:r>
      <w:r>
        <w:rPr>
          <w:rFonts w:cstheme="minorHAnsi"/>
        </w:rPr>
        <w:t xml:space="preserve"> management</w:t>
      </w:r>
      <w:r w:rsidR="001C5A41" w:rsidRPr="00CA2018">
        <w:rPr>
          <w:rFonts w:cstheme="minorHAnsi"/>
        </w:rPr>
        <w:t xml:space="preserve"> </w:t>
      </w:r>
      <w:r w:rsidR="007E76F1">
        <w:rPr>
          <w:rFonts w:cstheme="minorHAnsi"/>
        </w:rPr>
        <w:t>grew</w:t>
      </w:r>
      <w:r w:rsidR="001C5A41">
        <w:rPr>
          <w:rFonts w:cstheme="minorHAnsi"/>
        </w:rPr>
        <w:t xml:space="preserve"> by</w:t>
      </w:r>
      <w:r w:rsidR="001C19A3">
        <w:rPr>
          <w:rFonts w:cstheme="minorHAnsi"/>
        </w:rPr>
        <w:t xml:space="preserve"> only </w:t>
      </w:r>
      <w:r w:rsidR="001C5A41" w:rsidRPr="00CA2018">
        <w:rPr>
          <w:rFonts w:cstheme="minorHAnsi"/>
        </w:rPr>
        <w:t xml:space="preserve">1,916 </w:t>
      </w:r>
      <w:r w:rsidR="00B504C4">
        <w:rPr>
          <w:rFonts w:cstheme="minorHAnsi"/>
        </w:rPr>
        <w:t>houses</w:t>
      </w:r>
      <w:r w:rsidR="001C5A41" w:rsidRPr="00CA2018">
        <w:rPr>
          <w:rFonts w:cstheme="minorHAnsi"/>
        </w:rPr>
        <w:t xml:space="preserve"> </w:t>
      </w:r>
      <w:r w:rsidR="001C5A41">
        <w:rPr>
          <w:rFonts w:cstheme="minorHAnsi"/>
        </w:rPr>
        <w:t xml:space="preserve">(net) </w:t>
      </w:r>
      <w:r w:rsidR="001C5A41" w:rsidRPr="00CA2018">
        <w:rPr>
          <w:rFonts w:cstheme="minorHAnsi"/>
        </w:rPr>
        <w:t>to 68,169</w:t>
      </w:r>
      <w:r>
        <w:rPr>
          <w:rFonts w:cstheme="minorHAnsi"/>
        </w:rPr>
        <w:t xml:space="preserve"> in the year to July 2021</w:t>
      </w:r>
      <w:r w:rsidR="001C5A41">
        <w:rPr>
          <w:rFonts w:cstheme="minorHAnsi"/>
        </w:rPr>
        <w:t>, including over 2,</w:t>
      </w:r>
      <w:r w:rsidR="0006569B">
        <w:rPr>
          <w:rFonts w:cstheme="minorHAnsi"/>
        </w:rPr>
        <w:t>7</w:t>
      </w:r>
      <w:r w:rsidR="001C5A41">
        <w:rPr>
          <w:rFonts w:cstheme="minorHAnsi"/>
        </w:rPr>
        <w:t>00 new builds</w:t>
      </w:r>
      <w:r>
        <w:rPr>
          <w:rFonts w:cstheme="minorHAnsi"/>
        </w:rPr>
        <w:t xml:space="preserve"> (Kāinga Ora, 2021)</w:t>
      </w:r>
      <w:r w:rsidR="006B623B">
        <w:rPr>
          <w:rFonts w:cstheme="minorHAnsi"/>
        </w:rPr>
        <w:t xml:space="preserve">. </w:t>
      </w:r>
      <w:r w:rsidR="001C5A41" w:rsidRPr="00CA2018">
        <w:rPr>
          <w:rFonts w:cstheme="minorHAnsi"/>
        </w:rPr>
        <w:t>This figure includes leases to CHOs and transitional housing as well as the core public housing stock. The public housing stock however grew by just 3</w:t>
      </w:r>
      <w:r w:rsidR="001C5A41">
        <w:rPr>
          <w:rFonts w:cstheme="minorHAnsi"/>
        </w:rPr>
        <w:t>9</w:t>
      </w:r>
      <w:r w:rsidR="001C5A41" w:rsidRPr="00CA2018">
        <w:rPr>
          <w:rFonts w:cstheme="minorHAnsi"/>
        </w:rPr>
        <w:t>5 units over this 12-month period to 64,206</w:t>
      </w:r>
      <w:r w:rsidR="006B623B">
        <w:rPr>
          <w:rFonts w:cstheme="minorHAnsi"/>
        </w:rPr>
        <w:t xml:space="preserve"> (Kāinga Ora, 2021, p. 29)</w:t>
      </w:r>
      <w:r w:rsidR="001C5A41" w:rsidRPr="00CA2018">
        <w:rPr>
          <w:rFonts w:cstheme="minorHAnsi"/>
        </w:rPr>
        <w:t>.</w:t>
      </w:r>
      <w:r w:rsidR="001C5A41" w:rsidRPr="00CA2018">
        <w:rPr>
          <w:rStyle w:val="FootnoteReference"/>
          <w:rFonts w:cstheme="minorHAnsi"/>
        </w:rPr>
        <w:footnoteReference w:id="9"/>
      </w:r>
      <w:r w:rsidR="001C5A41" w:rsidRPr="00CA2018">
        <w:rPr>
          <w:rFonts w:cstheme="minorHAnsi"/>
        </w:rPr>
        <w:t xml:space="preserve"> </w:t>
      </w:r>
      <w:r w:rsidR="001C5A41">
        <w:rPr>
          <w:lang w:val="en-US"/>
        </w:rPr>
        <w:t>The very slow growth in units under the control of K</w:t>
      </w:r>
      <w:r w:rsidR="001C5A41">
        <w:rPr>
          <w:rFonts w:cstheme="minorHAnsi"/>
          <w:lang w:val="en-US"/>
        </w:rPr>
        <w:t>ā</w:t>
      </w:r>
      <w:r w:rsidR="001C5A41">
        <w:rPr>
          <w:lang w:val="en-US"/>
        </w:rPr>
        <w:t>inga Ora is due to its redevelopment programme which has seen widespread demolition of old housing to make way for new housing which includes social housing and Kiwi Build housing.</w:t>
      </w:r>
      <w:r w:rsidR="00417BF7">
        <w:rPr>
          <w:rFonts w:cstheme="minorHAnsi"/>
        </w:rPr>
        <w:t xml:space="preserve"> </w:t>
      </w:r>
      <w:r w:rsidR="001C5A41" w:rsidRPr="00CA2018">
        <w:rPr>
          <w:rFonts w:cstheme="minorHAnsi"/>
        </w:rPr>
        <w:t xml:space="preserve">These changes </w:t>
      </w:r>
      <w:r w:rsidR="00626E38">
        <w:rPr>
          <w:rFonts w:cstheme="minorHAnsi"/>
        </w:rPr>
        <w:t xml:space="preserve">are </w:t>
      </w:r>
      <w:r w:rsidR="0067101E">
        <w:rPr>
          <w:rFonts w:cstheme="minorHAnsi"/>
        </w:rPr>
        <w:t xml:space="preserve">clearly </w:t>
      </w:r>
      <w:r w:rsidR="00626E38">
        <w:rPr>
          <w:rFonts w:cstheme="minorHAnsi"/>
        </w:rPr>
        <w:t>insufficient to meet the need</w:t>
      </w:r>
      <w:r w:rsidR="0067101E">
        <w:rPr>
          <w:rFonts w:cstheme="minorHAnsi"/>
        </w:rPr>
        <w:t>s</w:t>
      </w:r>
      <w:r w:rsidR="00626E38">
        <w:rPr>
          <w:rFonts w:cstheme="minorHAnsi"/>
        </w:rPr>
        <w:t xml:space="preserve"> of households on the </w:t>
      </w:r>
      <w:r w:rsidR="001C5A41" w:rsidRPr="00CA2018">
        <w:rPr>
          <w:rFonts w:cstheme="minorHAnsi"/>
        </w:rPr>
        <w:t xml:space="preserve">social housing waiting list. </w:t>
      </w:r>
      <w:r w:rsidR="001C5A41">
        <w:rPr>
          <w:rFonts w:cstheme="minorHAnsi"/>
        </w:rPr>
        <w:t>T</w:t>
      </w:r>
      <w:r w:rsidR="001C5A41" w:rsidRPr="00CA2018">
        <w:rPr>
          <w:rFonts w:cstheme="minorHAnsi"/>
        </w:rPr>
        <w:t xml:space="preserve">he most encouraging </w:t>
      </w:r>
      <w:r w:rsidR="001C5A41">
        <w:rPr>
          <w:rFonts w:cstheme="minorHAnsi"/>
        </w:rPr>
        <w:t xml:space="preserve">supply </w:t>
      </w:r>
      <w:r w:rsidR="001C5A41" w:rsidRPr="00CA2018">
        <w:rPr>
          <w:rFonts w:cstheme="minorHAnsi"/>
        </w:rPr>
        <w:t>indicator, the provision of social housing (IR</w:t>
      </w:r>
      <w:r w:rsidR="001C5A41">
        <w:rPr>
          <w:rFonts w:cstheme="minorHAnsi"/>
        </w:rPr>
        <w:t>R</w:t>
      </w:r>
      <w:r w:rsidR="001C5A41" w:rsidRPr="00CA2018">
        <w:rPr>
          <w:rFonts w:cstheme="minorHAnsi"/>
        </w:rPr>
        <w:t>S tenancies)</w:t>
      </w:r>
      <w:r w:rsidR="001C5A41">
        <w:rPr>
          <w:rFonts w:cstheme="minorHAnsi"/>
        </w:rPr>
        <w:t>,</w:t>
      </w:r>
      <w:r w:rsidR="001C5A41" w:rsidRPr="00CA2018">
        <w:rPr>
          <w:rFonts w:cstheme="minorHAnsi"/>
        </w:rPr>
        <w:t xml:space="preserve"> expanded by almost 3,100 households </w:t>
      </w:r>
      <w:r w:rsidR="001C5A41">
        <w:rPr>
          <w:rFonts w:cstheme="minorHAnsi"/>
        </w:rPr>
        <w:t xml:space="preserve">– but </w:t>
      </w:r>
      <w:r w:rsidR="001C5A41" w:rsidRPr="00CA2018">
        <w:rPr>
          <w:rFonts w:cstheme="minorHAnsi"/>
        </w:rPr>
        <w:t>the numbers still waiting for housing grew by almost 6,000</w:t>
      </w:r>
      <w:r w:rsidR="00670554">
        <w:rPr>
          <w:rFonts w:cstheme="minorHAnsi"/>
        </w:rPr>
        <w:t xml:space="preserve"> in that same period</w:t>
      </w:r>
      <w:r w:rsidR="00440340">
        <w:rPr>
          <w:rFonts w:cstheme="minorHAnsi"/>
        </w:rPr>
        <w:t xml:space="preserve"> (MSD, 2021g)</w:t>
      </w:r>
      <w:r w:rsidR="00670554">
        <w:rPr>
          <w:rFonts w:cstheme="minorHAnsi"/>
        </w:rPr>
        <w:t xml:space="preserve">. </w:t>
      </w:r>
    </w:p>
    <w:p w14:paraId="16058FE6" w14:textId="6644BBC4" w:rsidR="001C5A41" w:rsidRPr="008E3624" w:rsidRDefault="001C5A41" w:rsidP="007963BB">
      <w:pPr>
        <w:spacing w:after="240" w:line="240" w:lineRule="auto"/>
        <w:rPr>
          <w:rFonts w:cstheme="minorHAnsi"/>
        </w:rPr>
      </w:pPr>
      <w:r w:rsidRPr="00CA2018">
        <w:rPr>
          <w:rFonts w:cstheme="minorHAnsi"/>
        </w:rPr>
        <w:t xml:space="preserve">Government’s plans </w:t>
      </w:r>
      <w:r w:rsidR="003F5811">
        <w:rPr>
          <w:rFonts w:cstheme="minorHAnsi"/>
        </w:rPr>
        <w:t xml:space="preserve">in the last </w:t>
      </w:r>
      <w:r w:rsidR="0006569B">
        <w:rPr>
          <w:rFonts w:cstheme="minorHAnsi"/>
        </w:rPr>
        <w:t>two</w:t>
      </w:r>
      <w:r w:rsidR="003F5811">
        <w:rPr>
          <w:rFonts w:cstheme="minorHAnsi"/>
        </w:rPr>
        <w:t xml:space="preserve"> Budgets </w:t>
      </w:r>
      <w:r w:rsidRPr="00CA2018">
        <w:rPr>
          <w:rFonts w:cstheme="minorHAnsi"/>
        </w:rPr>
        <w:t xml:space="preserve">to address this </w:t>
      </w:r>
      <w:r w:rsidR="000F4FA1">
        <w:rPr>
          <w:rFonts w:cstheme="minorHAnsi"/>
        </w:rPr>
        <w:t xml:space="preserve">huge </w:t>
      </w:r>
      <w:r w:rsidRPr="00CA2018">
        <w:rPr>
          <w:rFonts w:cstheme="minorHAnsi"/>
        </w:rPr>
        <w:t>shortfall remain quite modest</w:t>
      </w:r>
      <w:r w:rsidR="000F4FA1">
        <w:rPr>
          <w:rFonts w:cstheme="minorHAnsi"/>
        </w:rPr>
        <w:t>.</w:t>
      </w:r>
      <w:r w:rsidRPr="00CA2018">
        <w:rPr>
          <w:rFonts w:cstheme="minorHAnsi"/>
        </w:rPr>
        <w:t xml:space="preserve"> The 2020 Budget supported the expansion of the social housing stock by 6,000 units during 2023 and 2024 which was an increase over the 6,400 units promised in the 2018 </w:t>
      </w:r>
      <w:r w:rsidR="003946FF">
        <w:rPr>
          <w:rFonts w:cstheme="minorHAnsi"/>
        </w:rPr>
        <w:t>Bu</w:t>
      </w:r>
      <w:r w:rsidRPr="00CA2018">
        <w:rPr>
          <w:rFonts w:cstheme="minorHAnsi"/>
        </w:rPr>
        <w:t>dget for the four years to 2022</w:t>
      </w:r>
      <w:r w:rsidR="00417BF7">
        <w:rPr>
          <w:rFonts w:cstheme="minorHAnsi"/>
        </w:rPr>
        <w:t xml:space="preserve"> (Kāinga Ora, 2021, p. 8)</w:t>
      </w:r>
      <w:r w:rsidR="00E951C2">
        <w:rPr>
          <w:rFonts w:cstheme="minorHAnsi"/>
        </w:rPr>
        <w:t xml:space="preserve">. </w:t>
      </w:r>
      <w:r w:rsidR="001C715E" w:rsidRPr="001C715E">
        <w:rPr>
          <w:rFonts w:cstheme="minorHAnsi"/>
        </w:rPr>
        <w:t>CPAG’s</w:t>
      </w:r>
      <w:r w:rsidR="001C715E" w:rsidRPr="001C715E">
        <w:t xml:space="preserve"> target of 5,000 houses per year is based the need and on the fact that in</w:t>
      </w:r>
      <w:r w:rsidR="001C715E">
        <w:t xml:space="preserve"> 1940, </w:t>
      </w:r>
      <w:r w:rsidR="00E44B46">
        <w:t>the Government</w:t>
      </w:r>
      <w:r>
        <w:rPr>
          <w:szCs w:val="24"/>
        </w:rPr>
        <w:t xml:space="preserve"> managed to build 2</w:t>
      </w:r>
      <w:r w:rsidR="00E44B46">
        <w:rPr>
          <w:szCs w:val="24"/>
        </w:rPr>
        <w:t>,</w:t>
      </w:r>
      <w:r>
        <w:rPr>
          <w:szCs w:val="24"/>
        </w:rPr>
        <w:t>500 houses per million population (4</w:t>
      </w:r>
      <w:r w:rsidR="00E44B46">
        <w:rPr>
          <w:szCs w:val="24"/>
        </w:rPr>
        <w:t>,</w:t>
      </w:r>
      <w:r>
        <w:rPr>
          <w:szCs w:val="24"/>
        </w:rPr>
        <w:t xml:space="preserve">000 houses for </w:t>
      </w:r>
      <w:r w:rsidRPr="008E3624">
        <w:rPr>
          <w:szCs w:val="24"/>
        </w:rPr>
        <w:t>~1.6M</w:t>
      </w:r>
      <w:r w:rsidR="00D735D1">
        <w:rPr>
          <w:szCs w:val="24"/>
        </w:rPr>
        <w:t>); thus</w:t>
      </w:r>
      <w:r w:rsidRPr="008E3624">
        <w:rPr>
          <w:szCs w:val="24"/>
        </w:rPr>
        <w:t xml:space="preserve"> we should be able to manage 1</w:t>
      </w:r>
      <w:r w:rsidR="00D735D1">
        <w:rPr>
          <w:szCs w:val="24"/>
        </w:rPr>
        <w:t>,</w:t>
      </w:r>
      <w:r w:rsidRPr="008E3624">
        <w:rPr>
          <w:szCs w:val="24"/>
        </w:rPr>
        <w:t>000 houses per million population per year</w:t>
      </w:r>
      <w:r w:rsidR="00417BF7">
        <w:rPr>
          <w:szCs w:val="24"/>
        </w:rPr>
        <w:t xml:space="preserve"> (CPAG, 2021)</w:t>
      </w:r>
      <w:r w:rsidRPr="008E3624">
        <w:rPr>
          <w:szCs w:val="24"/>
        </w:rPr>
        <w:t>.</w:t>
      </w:r>
    </w:p>
    <w:p w14:paraId="37EBC093" w14:textId="323AD73C" w:rsidR="00F45814" w:rsidRDefault="001C5A41" w:rsidP="007963BB">
      <w:pPr>
        <w:spacing w:after="240" w:line="240" w:lineRule="auto"/>
        <w:rPr>
          <w:rFonts w:cstheme="minorHAnsi"/>
        </w:rPr>
      </w:pPr>
      <w:r w:rsidRPr="008E3624">
        <w:rPr>
          <w:rFonts w:cstheme="minorHAnsi"/>
        </w:rPr>
        <w:t>The 2021 Budget funded the $3.8 billion Housing Acceleration Fund</w:t>
      </w:r>
      <w:r w:rsidR="000E116A">
        <w:rPr>
          <w:rFonts w:cstheme="minorHAnsi"/>
        </w:rPr>
        <w:t xml:space="preserve">. </w:t>
      </w:r>
      <w:r w:rsidR="00FA45F3">
        <w:rPr>
          <w:rFonts w:cstheme="minorHAnsi"/>
        </w:rPr>
        <w:t>Cabinet</w:t>
      </w:r>
      <w:r w:rsidRPr="008E3624">
        <w:rPr>
          <w:rFonts w:cstheme="minorHAnsi"/>
        </w:rPr>
        <w:t xml:space="preserve"> papers suggest that this fund will allocate $2 billion to Kāinga Ora to support infrastructure upgrades in its large-scale urban redevelopment programme</w:t>
      </w:r>
      <w:r w:rsidR="000E116A">
        <w:rPr>
          <w:rFonts w:cstheme="minorHAnsi"/>
        </w:rPr>
        <w:t>;</w:t>
      </w:r>
      <w:r w:rsidRPr="008E3624">
        <w:rPr>
          <w:rFonts w:cstheme="minorHAnsi"/>
        </w:rPr>
        <w:t xml:space="preserve"> around $1.4 billion to local councils and perhaps private sector developers to build new infrastructure to support housing construction</w:t>
      </w:r>
      <w:r w:rsidR="000E116A">
        <w:rPr>
          <w:rFonts w:cstheme="minorHAnsi"/>
        </w:rPr>
        <w:t>;</w:t>
      </w:r>
      <w:r w:rsidRPr="008E3624">
        <w:rPr>
          <w:rFonts w:cstheme="minorHAnsi"/>
        </w:rPr>
        <w:t xml:space="preserve"> and $350 million to Māori organisations to support infrastructure for housing for wh</w:t>
      </w:r>
      <w:r w:rsidR="00CA42A0">
        <w:rPr>
          <w:rFonts w:cstheme="minorHAnsi"/>
        </w:rPr>
        <w:t>ā</w:t>
      </w:r>
      <w:r w:rsidRPr="008E3624">
        <w:rPr>
          <w:rFonts w:cstheme="minorHAnsi"/>
        </w:rPr>
        <w:t>nau Māori</w:t>
      </w:r>
      <w:r w:rsidR="00F8517F">
        <w:rPr>
          <w:rFonts w:cstheme="minorHAnsi"/>
        </w:rPr>
        <w:t xml:space="preserve"> (MHUD, 2021</w:t>
      </w:r>
      <w:r w:rsidR="00FA5A34">
        <w:rPr>
          <w:rFonts w:cstheme="minorHAnsi"/>
        </w:rPr>
        <w:t>b</w:t>
      </w:r>
      <w:r w:rsidR="00F8517F">
        <w:rPr>
          <w:rFonts w:cstheme="minorHAnsi"/>
        </w:rPr>
        <w:t>)</w:t>
      </w:r>
      <w:r w:rsidR="000E116A">
        <w:rPr>
          <w:rFonts w:cstheme="minorHAnsi"/>
        </w:rPr>
        <w:t>.</w:t>
      </w:r>
      <w:r w:rsidRPr="008E3624">
        <w:rPr>
          <w:rFonts w:cstheme="minorHAnsi"/>
        </w:rPr>
        <w:t xml:space="preserve"> </w:t>
      </w:r>
      <w:r w:rsidR="00501478">
        <w:rPr>
          <w:rFonts w:cstheme="minorHAnsi"/>
        </w:rPr>
        <w:t>This funding is a welcome start and acknowledges the decades-long deficit in infrastructure investment by central and local Government</w:t>
      </w:r>
      <w:r w:rsidR="00990EB8">
        <w:rPr>
          <w:rFonts w:cstheme="minorHAnsi"/>
        </w:rPr>
        <w:t xml:space="preserve">; however it is unlikely to </w:t>
      </w:r>
      <w:r w:rsidR="00A5037A">
        <w:rPr>
          <w:rFonts w:cstheme="minorHAnsi"/>
        </w:rPr>
        <w:t>result in</w:t>
      </w:r>
      <w:r w:rsidR="00990EB8">
        <w:rPr>
          <w:rFonts w:cstheme="minorHAnsi"/>
        </w:rPr>
        <w:t xml:space="preserve"> any more affordable housing.</w:t>
      </w:r>
    </w:p>
    <w:p w14:paraId="3CA28A64" w14:textId="723FB59F" w:rsidR="00705E1D" w:rsidRDefault="00705E1D" w:rsidP="007963BB">
      <w:pPr>
        <w:spacing w:after="240" w:line="240" w:lineRule="auto"/>
        <w:rPr>
          <w:rFonts w:cstheme="minorHAnsi"/>
        </w:rPr>
      </w:pPr>
      <w:r>
        <w:rPr>
          <w:rFonts w:cstheme="minorHAnsi"/>
        </w:rPr>
        <w:t xml:space="preserve">We may have </w:t>
      </w:r>
      <w:r w:rsidRPr="00CA2018">
        <w:rPr>
          <w:rFonts w:cstheme="minorHAnsi"/>
        </w:rPr>
        <w:t xml:space="preserve">record numbers of </w:t>
      </w:r>
      <w:r>
        <w:rPr>
          <w:rFonts w:cstheme="minorHAnsi"/>
        </w:rPr>
        <w:t xml:space="preserve">building </w:t>
      </w:r>
      <w:r w:rsidRPr="00CA2018">
        <w:rPr>
          <w:rFonts w:cstheme="minorHAnsi"/>
        </w:rPr>
        <w:t>consents for new dwellings</w:t>
      </w:r>
      <w:r>
        <w:rPr>
          <w:rFonts w:cstheme="minorHAnsi"/>
        </w:rPr>
        <w:t xml:space="preserve"> – in </w:t>
      </w:r>
      <w:r w:rsidRPr="00CA2018">
        <w:rPr>
          <w:rFonts w:cstheme="minorHAnsi"/>
        </w:rPr>
        <w:t>the year to September 2021 new consents exceeded 47,000 which</w:t>
      </w:r>
      <w:r>
        <w:rPr>
          <w:rFonts w:cstheme="minorHAnsi"/>
        </w:rPr>
        <w:t>,</w:t>
      </w:r>
      <w:r w:rsidRPr="00CA2018">
        <w:rPr>
          <w:rFonts w:cstheme="minorHAnsi"/>
        </w:rPr>
        <w:t xml:space="preserve"> in comparative terms</w:t>
      </w:r>
      <w:r>
        <w:rPr>
          <w:rFonts w:cstheme="minorHAnsi"/>
        </w:rPr>
        <w:t>,</w:t>
      </w:r>
      <w:r w:rsidRPr="00CA2018">
        <w:rPr>
          <w:rFonts w:cstheme="minorHAnsi"/>
        </w:rPr>
        <w:t xml:space="preserve"> is the </w:t>
      </w:r>
      <w:r>
        <w:rPr>
          <w:rFonts w:cstheme="minorHAnsi"/>
        </w:rPr>
        <w:t>highest</w:t>
      </w:r>
      <w:r w:rsidRPr="00CA2018">
        <w:rPr>
          <w:rFonts w:cstheme="minorHAnsi"/>
        </w:rPr>
        <w:t xml:space="preserve"> since 1973</w:t>
      </w:r>
      <w:r>
        <w:rPr>
          <w:rFonts w:cstheme="minorHAnsi"/>
        </w:rPr>
        <w:t xml:space="preserve"> – but it is likely that not enough of those consents will be for ‘affordable’ or social housing</w:t>
      </w:r>
      <w:r w:rsidRPr="00CA2018">
        <w:rPr>
          <w:rFonts w:cstheme="minorHAnsi"/>
        </w:rPr>
        <w:t xml:space="preserve">. The problem now is no longer one of </w:t>
      </w:r>
      <w:r>
        <w:rPr>
          <w:rFonts w:cstheme="minorHAnsi"/>
        </w:rPr>
        <w:t xml:space="preserve">overall </w:t>
      </w:r>
      <w:r w:rsidRPr="00CA2018">
        <w:rPr>
          <w:rFonts w:cstheme="minorHAnsi"/>
        </w:rPr>
        <w:t>supply</w:t>
      </w:r>
      <w:r>
        <w:rPr>
          <w:rFonts w:cstheme="minorHAnsi"/>
        </w:rPr>
        <w:t>,</w:t>
      </w:r>
      <w:r w:rsidRPr="00CA2018">
        <w:rPr>
          <w:rFonts w:cstheme="minorHAnsi"/>
        </w:rPr>
        <w:t xml:space="preserve"> but </w:t>
      </w:r>
      <w:r w:rsidR="003F5811">
        <w:rPr>
          <w:rFonts w:cstheme="minorHAnsi"/>
        </w:rPr>
        <w:t xml:space="preserve">of supply of </w:t>
      </w:r>
      <w:r>
        <w:rPr>
          <w:rFonts w:cstheme="minorHAnsi"/>
        </w:rPr>
        <w:t xml:space="preserve">affordable and </w:t>
      </w:r>
      <w:r w:rsidRPr="00CA2018">
        <w:rPr>
          <w:rFonts w:cstheme="minorHAnsi"/>
        </w:rPr>
        <w:t>social housing</w:t>
      </w:r>
      <w:r w:rsidR="000C4189">
        <w:rPr>
          <w:rFonts w:cstheme="minorHAnsi"/>
        </w:rPr>
        <w:t>.</w:t>
      </w:r>
      <w:r w:rsidRPr="00CA2018">
        <w:rPr>
          <w:rFonts w:cstheme="minorHAnsi"/>
        </w:rPr>
        <w:t xml:space="preserve"> </w:t>
      </w:r>
      <w:r w:rsidR="000C4189">
        <w:rPr>
          <w:rFonts w:cstheme="minorHAnsi"/>
        </w:rPr>
        <w:t>T</w:t>
      </w:r>
      <w:r w:rsidRPr="00CA2018">
        <w:rPr>
          <w:rFonts w:cstheme="minorHAnsi"/>
        </w:rPr>
        <w:t>he Government and its NGO partners</w:t>
      </w:r>
      <w:r w:rsidR="00BA6BF3">
        <w:rPr>
          <w:rFonts w:cstheme="minorHAnsi"/>
        </w:rPr>
        <w:t>,</w:t>
      </w:r>
      <w:r w:rsidRPr="00CA2018">
        <w:rPr>
          <w:rFonts w:cstheme="minorHAnsi"/>
        </w:rPr>
        <w:t xml:space="preserve"> including iwi/hapū agencies</w:t>
      </w:r>
      <w:r w:rsidR="00BA6BF3">
        <w:rPr>
          <w:rFonts w:cstheme="minorHAnsi"/>
        </w:rPr>
        <w:t>,</w:t>
      </w:r>
      <w:r w:rsidRPr="00CA2018">
        <w:rPr>
          <w:rFonts w:cstheme="minorHAnsi"/>
        </w:rPr>
        <w:t xml:space="preserve"> are the only ones likely to fix this problem - at least in the medium term. </w:t>
      </w:r>
    </w:p>
    <w:p w14:paraId="42A401C2" w14:textId="1D06A543" w:rsidR="00705E1D" w:rsidRDefault="00705E1D" w:rsidP="007963BB">
      <w:pPr>
        <w:spacing w:after="240" w:line="240" w:lineRule="auto"/>
        <w:rPr>
          <w:rFonts w:cstheme="minorHAnsi"/>
        </w:rPr>
      </w:pPr>
      <w:r w:rsidRPr="00CA2018">
        <w:rPr>
          <w:rFonts w:cstheme="minorHAnsi"/>
        </w:rPr>
        <w:t>The capacity constraints faced by the construction industry are readily apparent</w:t>
      </w:r>
      <w:r>
        <w:rPr>
          <w:rFonts w:cstheme="minorHAnsi"/>
        </w:rPr>
        <w:t>, thus</w:t>
      </w:r>
      <w:r w:rsidRPr="00CA2018">
        <w:rPr>
          <w:rFonts w:cstheme="minorHAnsi"/>
        </w:rPr>
        <w:t xml:space="preserve"> simply </w:t>
      </w:r>
      <w:r w:rsidR="00745363">
        <w:rPr>
          <w:rFonts w:cstheme="minorHAnsi"/>
        </w:rPr>
        <w:t xml:space="preserve">allocating </w:t>
      </w:r>
      <w:r w:rsidRPr="00CA2018">
        <w:rPr>
          <w:rFonts w:cstheme="minorHAnsi"/>
        </w:rPr>
        <w:t xml:space="preserve">more money is not the </w:t>
      </w:r>
      <w:r w:rsidR="00745363">
        <w:rPr>
          <w:rFonts w:cstheme="minorHAnsi"/>
        </w:rPr>
        <w:t xml:space="preserve">full </w:t>
      </w:r>
      <w:r w:rsidRPr="00CA2018">
        <w:rPr>
          <w:rFonts w:cstheme="minorHAnsi"/>
        </w:rPr>
        <w:t xml:space="preserve">answer. Greater effort should be made at increasing industry capacity to build affordable housing at a scale not seen since the 1940s. </w:t>
      </w:r>
      <w:r>
        <w:rPr>
          <w:rFonts w:cstheme="minorHAnsi"/>
        </w:rPr>
        <w:t xml:space="preserve">It is encouraging to see </w:t>
      </w:r>
      <w:r w:rsidRPr="008E3624">
        <w:rPr>
          <w:rFonts w:cstheme="minorHAnsi"/>
          <w:color w:val="000000" w:themeColor="text1"/>
        </w:rPr>
        <w:t>efforts at training and recruitment of school leavers into the construction sector</w:t>
      </w:r>
      <w:r w:rsidR="000C4189">
        <w:rPr>
          <w:rFonts w:cstheme="minorHAnsi"/>
          <w:color w:val="000000" w:themeColor="text1"/>
        </w:rPr>
        <w:t>, and</w:t>
      </w:r>
      <w:r>
        <w:rPr>
          <w:rFonts w:cstheme="minorHAnsi"/>
          <w:color w:val="000000" w:themeColor="text1"/>
        </w:rPr>
        <w:t xml:space="preserve"> these should be accelerated</w:t>
      </w:r>
      <w:r w:rsidR="000C4189">
        <w:rPr>
          <w:rFonts w:cstheme="minorHAnsi"/>
          <w:color w:val="000000" w:themeColor="text1"/>
        </w:rPr>
        <w:t>. T</w:t>
      </w:r>
      <w:r>
        <w:rPr>
          <w:rFonts w:cstheme="minorHAnsi"/>
          <w:color w:val="000000" w:themeColor="text1"/>
        </w:rPr>
        <w:t xml:space="preserve">he Government should seriously consider </w:t>
      </w:r>
      <w:r w:rsidRPr="008E3624">
        <w:rPr>
          <w:rFonts w:cstheme="minorHAnsi"/>
          <w:color w:val="000000" w:themeColor="text1"/>
        </w:rPr>
        <w:t xml:space="preserve">investment </w:t>
      </w:r>
      <w:r w:rsidRPr="00CA2018">
        <w:rPr>
          <w:rFonts w:cstheme="minorHAnsi"/>
        </w:rPr>
        <w:t xml:space="preserve">in manufactured housing systems </w:t>
      </w:r>
      <w:r>
        <w:rPr>
          <w:rFonts w:cstheme="minorHAnsi"/>
        </w:rPr>
        <w:t>(factories for partially pre-fabricated homes)</w:t>
      </w:r>
      <w:r w:rsidR="00D0630C">
        <w:rPr>
          <w:rFonts w:cstheme="minorHAnsi"/>
        </w:rPr>
        <w:t>. G</w:t>
      </w:r>
      <w:r w:rsidRPr="00CA2018">
        <w:rPr>
          <w:rFonts w:cstheme="minorHAnsi"/>
        </w:rPr>
        <w:t>reater state involvement in urban land development and redevelopment</w:t>
      </w:r>
      <w:r>
        <w:rPr>
          <w:rFonts w:cstheme="minorHAnsi"/>
        </w:rPr>
        <w:t xml:space="preserve"> – not just on Kāinga Ora land, but also purchasing privately-owned land for public housing (both greenfields and brownfields sites)</w:t>
      </w:r>
      <w:r w:rsidR="00D0630C">
        <w:rPr>
          <w:rFonts w:cstheme="minorHAnsi"/>
        </w:rPr>
        <w:t xml:space="preserve"> – would also speed up the process.</w:t>
      </w:r>
    </w:p>
    <w:p w14:paraId="1903D36C" w14:textId="3F32C76E" w:rsidR="00BD1A9A" w:rsidRDefault="006870E6" w:rsidP="007963BB">
      <w:pPr>
        <w:pStyle w:val="Heading2"/>
        <w:spacing w:line="240" w:lineRule="auto"/>
      </w:pPr>
      <w:bookmarkStart w:id="35" w:name="_Toc89330015"/>
      <w:r>
        <w:t xml:space="preserve">Funding for </w:t>
      </w:r>
      <w:r w:rsidR="00BD1A9A">
        <w:t>Māori housing</w:t>
      </w:r>
      <w:bookmarkEnd w:id="35"/>
      <w:r>
        <w:t xml:space="preserve"> </w:t>
      </w:r>
    </w:p>
    <w:p w14:paraId="6E6E1663" w14:textId="76856B22" w:rsidR="001C5A41" w:rsidRPr="00CA2018" w:rsidRDefault="00116F78" w:rsidP="007963BB">
      <w:pPr>
        <w:spacing w:after="240" w:line="240" w:lineRule="auto"/>
      </w:pPr>
      <w:r>
        <w:rPr>
          <w:rFonts w:cstheme="minorHAnsi"/>
        </w:rPr>
        <w:t>In addition</w:t>
      </w:r>
      <w:r w:rsidR="00CA6FA7">
        <w:rPr>
          <w:rFonts w:cstheme="minorHAnsi"/>
        </w:rPr>
        <w:t xml:space="preserve"> to the Housing Acceleration Fund</w:t>
      </w:r>
      <w:r>
        <w:rPr>
          <w:rFonts w:cstheme="minorHAnsi"/>
        </w:rPr>
        <w:t>,</w:t>
      </w:r>
      <w:r w:rsidR="00F45814">
        <w:t xml:space="preserve"> Bud</w:t>
      </w:r>
      <w:r>
        <w:t>get</w:t>
      </w:r>
      <w:r w:rsidR="00F45814">
        <w:t xml:space="preserve"> 2021</w:t>
      </w:r>
      <w:r w:rsidR="001C5A41" w:rsidRPr="008E3624">
        <w:t xml:space="preserve"> </w:t>
      </w:r>
      <w:r w:rsidR="00F45814">
        <w:t>also</w:t>
      </w:r>
      <w:r w:rsidR="001C5A41" w:rsidRPr="008E3624">
        <w:t xml:space="preserve"> included </w:t>
      </w:r>
      <w:r w:rsidR="00544E90">
        <w:t xml:space="preserve">a $380 million boost for Māori housing. </w:t>
      </w:r>
      <w:r w:rsidR="00154554">
        <w:t>This constitutes f</w:t>
      </w:r>
      <w:r w:rsidR="001C5A41" w:rsidRPr="008E3624">
        <w:t>unding to build around 1,000 new homes, including a range of papakāinga housing, affordable rentals, transitional housing and owner-occupied housing; repairs for 700 Māori-owned houses; and a $30 million investment towards building future capability for Māori-led housing projects</w:t>
      </w:r>
      <w:r w:rsidR="00A93852">
        <w:t xml:space="preserve"> (NZ Government, 2021c)</w:t>
      </w:r>
      <w:r w:rsidR="001C5A41" w:rsidRPr="008E3624">
        <w:t>.</w:t>
      </w:r>
      <w:r w:rsidR="001C5A41" w:rsidRPr="00CA2018">
        <w:t xml:space="preserve"> Given that half of the 24,000 households on the state housing register as at June 2021 were Māori this funding is far from a silver bullet</w:t>
      </w:r>
      <w:r w:rsidR="00D0630C">
        <w:t>. H</w:t>
      </w:r>
      <w:r w:rsidR="001C5A41" w:rsidRPr="00CA2018">
        <w:t>owever, the announcement has had significant support from many Māori housing advocates</w:t>
      </w:r>
      <w:r w:rsidR="00D455C3">
        <w:t xml:space="preserve"> (Astle, 2021; </w:t>
      </w:r>
      <w:r w:rsidR="00293297">
        <w:t>Kake, 2021)</w:t>
      </w:r>
      <w:r w:rsidR="001C5A41" w:rsidRPr="00CA2018">
        <w:t>. As Jen Deben, Te Matapihi, told us:</w:t>
      </w:r>
    </w:p>
    <w:p w14:paraId="105DB7C6" w14:textId="75E7AEC3" w:rsidR="001C5A41" w:rsidRPr="00CA2018" w:rsidRDefault="001C5A41" w:rsidP="007963BB">
      <w:pPr>
        <w:spacing w:line="240" w:lineRule="auto"/>
        <w:ind w:left="720"/>
        <w:rPr>
          <w:i/>
          <w:iCs/>
        </w:rPr>
      </w:pPr>
      <w:r w:rsidRPr="00CA2018">
        <w:rPr>
          <w:i/>
          <w:iCs/>
        </w:rPr>
        <w:t>“The Budget 2021 funding is unprecedented. The amount of funding available [for providers] outside of government is unprecedented. That is an amazing step in the right direction. They’</w:t>
      </w:r>
      <w:r w:rsidR="009B18B5">
        <w:rPr>
          <w:i/>
          <w:iCs/>
        </w:rPr>
        <w:t>v</w:t>
      </w:r>
      <w:r w:rsidRPr="00CA2018">
        <w:rPr>
          <w:i/>
          <w:iCs/>
        </w:rPr>
        <w:t>e identified the systemic issues that have occurred and shown willingness to address that.”</w:t>
      </w:r>
    </w:p>
    <w:p w14:paraId="765FD84E" w14:textId="08D3C94F" w:rsidR="001C5A41" w:rsidRPr="00CA2018" w:rsidRDefault="001C5A41" w:rsidP="007963BB">
      <w:pPr>
        <w:spacing w:line="240" w:lineRule="auto"/>
      </w:pPr>
      <w:r w:rsidRPr="00CA2018">
        <w:t>In the coming years, the efficacy of this funding in improving housing outcomes for Māori depends in part on how and to whom the funding is allocated. It is crucial that outcomes are measured and reported in a way that enables true accountability, rather than political point-scoring. As Jen Deben, Te Matapihi</w:t>
      </w:r>
      <w:r w:rsidR="00154554">
        <w:t>,</w:t>
      </w:r>
      <w:r w:rsidRPr="00CA2018">
        <w:t xml:space="preserve"> explained: </w:t>
      </w:r>
    </w:p>
    <w:p w14:paraId="1012B9B3" w14:textId="225FF1C4" w:rsidR="001C5A41" w:rsidRPr="00CA2018" w:rsidRDefault="001C5A41" w:rsidP="007963BB">
      <w:pPr>
        <w:spacing w:line="240" w:lineRule="auto"/>
        <w:ind w:left="720"/>
      </w:pPr>
      <w:r w:rsidRPr="00CA2018">
        <w:rPr>
          <w:i/>
          <w:iCs/>
        </w:rPr>
        <w:t>“Housing is a long</w:t>
      </w:r>
      <w:r>
        <w:rPr>
          <w:i/>
          <w:iCs/>
        </w:rPr>
        <w:t>-</w:t>
      </w:r>
      <w:r w:rsidRPr="00CA2018">
        <w:rPr>
          <w:i/>
          <w:iCs/>
        </w:rPr>
        <w:t xml:space="preserve">term game, it’s not about </w:t>
      </w:r>
      <w:r w:rsidR="00974A3A" w:rsidRPr="00CA2018">
        <w:rPr>
          <w:i/>
          <w:iCs/>
        </w:rPr>
        <w:t>short-term</w:t>
      </w:r>
      <w:r w:rsidRPr="00CA2018">
        <w:rPr>
          <w:i/>
          <w:iCs/>
        </w:rPr>
        <w:t xml:space="preserve"> wins. It should be beholden on Government that money is going to organisations that have the experience and expertise. The experience and expertise is a point of concern. ... In order for us to understand if there’s a difference [being made by this new funding for Māori housing], there needs to be a high level of accountability, transparency and data, and it needs to be the data that New Zealanders want to hear, not just the story Government wants to tell. “</w:t>
      </w:r>
    </w:p>
    <w:p w14:paraId="396ABB34" w14:textId="4BD987D2" w:rsidR="001C5A41" w:rsidRPr="00CA2018" w:rsidRDefault="001C5A41" w:rsidP="007963BB">
      <w:pPr>
        <w:spacing w:line="240" w:lineRule="auto"/>
      </w:pPr>
      <w:r w:rsidRPr="00CA2018">
        <w:t xml:space="preserve">It is also important that an emphasis on </w:t>
      </w:r>
      <w:r w:rsidR="00EB5686">
        <w:t xml:space="preserve">housing </w:t>
      </w:r>
      <w:r w:rsidRPr="00CA2018">
        <w:t xml:space="preserve">supply </w:t>
      </w:r>
      <w:r w:rsidR="00EB5686">
        <w:t xml:space="preserve">more broadly </w:t>
      </w:r>
      <w:r w:rsidRPr="00CA2018">
        <w:t>does not subsume considerations of appropriateness of new builds for different population groups, particularly Māori, given their high rates of housing deprivation. Research suggests that there is a lack of diversity of housing to meet the cultural needs of Māori; for instance, in order to enable Māori to practice manaakitanga (hospitality) and tautoko (support), housing must be big enough or flexible enough to accommodate more than just its immediate inhabitants</w:t>
      </w:r>
      <w:r w:rsidR="003205F2">
        <w:t xml:space="preserve"> (Boulton et al., 2021)</w:t>
      </w:r>
      <w:r w:rsidRPr="00CA2018">
        <w:t>.</w:t>
      </w:r>
    </w:p>
    <w:p w14:paraId="77F33BCD" w14:textId="634590DE" w:rsidR="001C5A41" w:rsidRPr="00CA2018" w:rsidRDefault="001C5A41" w:rsidP="007963BB">
      <w:pPr>
        <w:spacing w:line="240" w:lineRule="auto"/>
      </w:pPr>
      <w:r w:rsidRPr="00CA2018">
        <w:t xml:space="preserve">Significant issues also remain regarding accessible housing for disabled people and their whānau. Disabled people with accessibility needs continue to struggle with a lack of choice </w:t>
      </w:r>
      <w:r w:rsidR="005C750B">
        <w:t>for</w:t>
      </w:r>
      <w:r w:rsidRPr="00CA2018">
        <w:t xml:space="preserve"> housing, and research suggests a significant proportion of disabled people and their family and whānau feel a sense of tenure insecurity</w:t>
      </w:r>
      <w:r w:rsidR="00E26188">
        <w:t xml:space="preserve"> (Brown &amp; Johnson, 2021)</w:t>
      </w:r>
      <w:r w:rsidRPr="00CA2018">
        <w:t>.</w:t>
      </w:r>
      <w:r w:rsidR="00E26188" w:rsidRPr="00CA2018">
        <w:t xml:space="preserve"> </w:t>
      </w:r>
      <w:r w:rsidRPr="00CA2018">
        <w:t>We note that only 15 percent of new K</w:t>
      </w:r>
      <w:r w:rsidR="00C168C1">
        <w:t>ā</w:t>
      </w:r>
      <w:r w:rsidRPr="00CA2018">
        <w:t>inga Ora builds are required to meet full universal design standards</w:t>
      </w:r>
      <w:r w:rsidR="00FD0D18">
        <w:t xml:space="preserve"> (Kāinga Ora, 2019)</w:t>
      </w:r>
      <w:r w:rsidRPr="00CA2018">
        <w:t>, and yet roughly 24 percent of New Zealanders identified as disabled in 2013</w:t>
      </w:r>
      <w:r w:rsidR="003767B4">
        <w:t xml:space="preserve"> (Ministry of Health, 2013)</w:t>
      </w:r>
      <w:r w:rsidRPr="00CA2018">
        <w:t xml:space="preserve">. Given the increased likelihood of living in poverty </w:t>
      </w:r>
      <w:r>
        <w:t xml:space="preserve">for </w:t>
      </w:r>
      <w:r w:rsidRPr="00CA2018">
        <w:t>disabled people and their family and whānau</w:t>
      </w:r>
      <w:r w:rsidR="00FA43E6">
        <w:t xml:space="preserve"> (Murray, 2019)</w:t>
      </w:r>
      <w:r w:rsidRPr="00CA2018">
        <w:t>, an even higher proportion of state housing applicants are likely to have a household member living with disabilities. All K</w:t>
      </w:r>
      <w:r w:rsidR="00FA43E6">
        <w:t>ā</w:t>
      </w:r>
      <w:r w:rsidRPr="00CA2018">
        <w:t xml:space="preserve">inga Ora new builds should meet universal design standards </w:t>
      </w:r>
      <w:r w:rsidR="00974A3A" w:rsidRPr="00CA2018">
        <w:t>to</w:t>
      </w:r>
      <w:r w:rsidRPr="00CA2018">
        <w:t xml:space="preserve"> ensure families and whānau with disabled members have choices in their living arrangements. </w:t>
      </w:r>
    </w:p>
    <w:p w14:paraId="731CE5DA" w14:textId="25441875" w:rsidR="009A368E" w:rsidRPr="00CA2018" w:rsidRDefault="00732D70" w:rsidP="007C7C6B">
      <w:pPr>
        <w:pStyle w:val="Heading1"/>
        <w:numPr>
          <w:ilvl w:val="0"/>
          <w:numId w:val="40"/>
        </w:numPr>
        <w:spacing w:line="240" w:lineRule="auto"/>
        <w:ind w:left="426"/>
      </w:pPr>
      <w:bookmarkStart w:id="36" w:name="_Toc89330016"/>
      <w:r>
        <w:t>Other</w:t>
      </w:r>
      <w:r w:rsidR="00034305">
        <w:t xml:space="preserve"> welfare reform</w:t>
      </w:r>
      <w:r>
        <w:t xml:space="preserve"> </w:t>
      </w:r>
      <w:r w:rsidR="00477B31" w:rsidRPr="00CA2018">
        <w:t>priorit</w:t>
      </w:r>
      <w:r w:rsidR="00034305">
        <w:t>ies</w:t>
      </w:r>
      <w:bookmarkEnd w:id="36"/>
    </w:p>
    <w:p w14:paraId="45184DE1" w14:textId="1407BAE2" w:rsidR="00ED1C72" w:rsidRPr="00CA2018" w:rsidRDefault="00ED1C72" w:rsidP="007963BB">
      <w:pPr>
        <w:spacing w:line="240" w:lineRule="auto"/>
      </w:pPr>
      <w:r w:rsidRPr="00CA2018">
        <w:t xml:space="preserve">In this section, we discuss the Government’s progress in implementing </w:t>
      </w:r>
      <w:r w:rsidR="007914B2" w:rsidRPr="00CA2018">
        <w:t>WEAG</w:t>
      </w:r>
      <w:r w:rsidRPr="00CA2018">
        <w:t xml:space="preserve">’s recommendations across </w:t>
      </w:r>
      <w:r w:rsidR="002F14E6">
        <w:t>two</w:t>
      </w:r>
      <w:r w:rsidR="00B40EA8">
        <w:t xml:space="preserve"> other</w:t>
      </w:r>
      <w:r w:rsidR="00B40EA8" w:rsidRPr="00CA2018">
        <w:t xml:space="preserve"> </w:t>
      </w:r>
      <w:r w:rsidRPr="00CA2018">
        <w:t>key priority areas</w:t>
      </w:r>
      <w:r w:rsidR="00E568B3" w:rsidRPr="00CA2018">
        <w:t xml:space="preserve"> as identified by CPAG</w:t>
      </w:r>
      <w:r w:rsidRPr="00CA2018">
        <w:t xml:space="preserve">; support for </w:t>
      </w:r>
      <w:r w:rsidR="007320AB" w:rsidRPr="00CA2018">
        <w:t>disabled people</w:t>
      </w:r>
      <w:r w:rsidR="002F14E6">
        <w:t xml:space="preserve"> and relationship settings.</w:t>
      </w:r>
      <w:r w:rsidRPr="00CA2018">
        <w:t xml:space="preserve"> </w:t>
      </w:r>
    </w:p>
    <w:p w14:paraId="15F106A7" w14:textId="77777777" w:rsidR="00ED1C72" w:rsidRPr="00CA2018" w:rsidRDefault="00ED1C72" w:rsidP="007963BB">
      <w:pPr>
        <w:pStyle w:val="Heading2"/>
        <w:spacing w:line="240" w:lineRule="auto"/>
      </w:pPr>
      <w:bookmarkStart w:id="37" w:name="_Toc89330017"/>
      <w:r w:rsidRPr="00CA2018">
        <w:t>Disability</w:t>
      </w:r>
      <w:bookmarkEnd w:id="37"/>
      <w:r w:rsidRPr="00CA2018">
        <w:t xml:space="preserve"> </w:t>
      </w:r>
    </w:p>
    <w:p w14:paraId="577207C3" w14:textId="1F177971" w:rsidR="00D62875" w:rsidRPr="00CA2018" w:rsidRDefault="00535EA0" w:rsidP="007963BB">
      <w:pPr>
        <w:spacing w:line="240" w:lineRule="auto"/>
      </w:pPr>
      <w:r>
        <w:rPr>
          <w:noProof/>
          <w:lang w:eastAsia="en-NZ"/>
        </w:rPr>
        <mc:AlternateContent>
          <mc:Choice Requires="wps">
            <w:drawing>
              <wp:anchor distT="45720" distB="45720" distL="114300" distR="114300" simplePos="0" relativeHeight="251657216" behindDoc="0" locked="0" layoutInCell="1" allowOverlap="1" wp14:anchorId="048EA175" wp14:editId="6B230844">
                <wp:simplePos x="0" y="0"/>
                <wp:positionH relativeFrom="column">
                  <wp:posOffset>3573780</wp:posOffset>
                </wp:positionH>
                <wp:positionV relativeFrom="paragraph">
                  <wp:posOffset>26035</wp:posOffset>
                </wp:positionV>
                <wp:extent cx="2217420" cy="1821180"/>
                <wp:effectExtent l="0" t="0" r="0" b="762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821180"/>
                        </a:xfrm>
                        <a:prstGeom prst="rect">
                          <a:avLst/>
                        </a:prstGeom>
                        <a:solidFill>
                          <a:schemeClr val="accent1">
                            <a:lumMod val="20000"/>
                            <a:lumOff val="80000"/>
                          </a:schemeClr>
                        </a:solidFill>
                        <a:ln w="9525">
                          <a:noFill/>
                          <a:miter lim="800000"/>
                          <a:headEnd/>
                          <a:tailEnd/>
                        </a:ln>
                      </wps:spPr>
                      <wps:txbx>
                        <w:txbxContent>
                          <w:p w14:paraId="764E4CC6" w14:textId="77777777" w:rsidR="00E84D61" w:rsidRPr="009F6CC6" w:rsidRDefault="00E84D61" w:rsidP="00ED1C72">
                            <w:pPr>
                              <w:rPr>
                                <w:i/>
                                <w:iCs/>
                              </w:rPr>
                            </w:pPr>
                            <w:r w:rsidRPr="009F6CC6">
                              <w:rPr>
                                <w:i/>
                                <w:iCs/>
                              </w:rPr>
                              <w:t xml:space="preserve">“Beyond a slight increase in benefit levels I wouldn’t say we’ve had any real gains for disabled people.” </w:t>
                            </w:r>
                          </w:p>
                          <w:p w14:paraId="38F73F88" w14:textId="7E0DE670" w:rsidR="00E84D61" w:rsidRDefault="00E84D61" w:rsidP="00ED1C72">
                            <w:r>
                              <w:t xml:space="preserve">– Dr Huhana Hickey </w:t>
                            </w:r>
                            <w:r w:rsidRPr="005F48BA">
                              <w:t>(Ngāti Tāhinga, Whakatōhea)</w:t>
                            </w:r>
                            <w:r>
                              <w:t>, disability advocate and former WEAG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EA175" id="Text Box 9" o:spid="_x0000_s1035" type="#_x0000_t202" style="position:absolute;margin-left:281.4pt;margin-top:2.05pt;width:174.6pt;height:143.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" fillcolor="#d9e2f3 [660]" stroked="f">
                <v:textbox>
                  <w:txbxContent>
                    <w:p w14:paraId="764E4CC6" w14:textId="77777777" w:rsidR="00E84D61" w:rsidRPr="009F6CC6" w:rsidRDefault="00E84D61" w:rsidP="00ED1C72">
                      <w:pPr>
                        <w:rPr>
                          <w:i/>
                          <w:iCs/>
                        </w:rPr>
                      </w:pPr>
                      <w:r w:rsidRPr="009F6CC6">
                        <w:rPr>
                          <w:i/>
                          <w:iCs/>
                        </w:rPr>
                        <w:t xml:space="preserve">“Beyond a slight increase in benefit levels I wouldn’t say we’ve had any real gains for disabled people.” </w:t>
                      </w:r>
                    </w:p>
                    <w:p w14:paraId="38F73F88" w14:textId="7E0DE670" w:rsidR="00E84D61" w:rsidRDefault="00E84D61" w:rsidP="00ED1C72">
                      <w:r>
                        <w:t xml:space="preserve">– Dr Huhana Hickey </w:t>
                      </w:r>
                      <w:r w:rsidRPr="005F48BA">
                        <w:t>(Ngāti Tāhinga, Whakatōhea)</w:t>
                      </w:r>
                      <w:r>
                        <w:t>, disability advocate and former WEAG member</w:t>
                      </w:r>
                    </w:p>
                  </w:txbxContent>
                </v:textbox>
                <w10:wrap type="square"/>
              </v:shape>
            </w:pict>
          </mc:Fallback>
        </mc:AlternateContent>
      </w:r>
      <w:r w:rsidR="0092477E" w:rsidRPr="00CA2018">
        <w:t>Child poverty statistics released in February 2021 shed light</w:t>
      </w:r>
      <w:r w:rsidR="0026778F">
        <w:t xml:space="preserve"> </w:t>
      </w:r>
      <w:r w:rsidR="0092477E" w:rsidRPr="00CA2018">
        <w:t xml:space="preserve">on the marked disability-related inequities faced by households with disabled members. Stats NZ </w:t>
      </w:r>
      <w:r w:rsidR="009426FA">
        <w:t xml:space="preserve">(2021) </w:t>
      </w:r>
      <w:r w:rsidR="0092477E" w:rsidRPr="00CA2018">
        <w:t>o</w:t>
      </w:r>
      <w:r w:rsidR="000705D9" w:rsidRPr="00CA2018">
        <w:t>fficial child poverty data for the 2019/20 year (June-February, pre-Covid) were for the first time disaggregated by disability status</w:t>
      </w:r>
      <w:r w:rsidR="00CF5F2B" w:rsidRPr="00CA2018">
        <w:t>, and t</w:t>
      </w:r>
      <w:r w:rsidR="0092477E" w:rsidRPr="00CA2018">
        <w:t>he findings were alarming</w:t>
      </w:r>
      <w:r w:rsidR="00CF5F2B" w:rsidRPr="00CA2018">
        <w:t>. I</w:t>
      </w:r>
      <w:r w:rsidR="00831C82" w:rsidRPr="00CA2018">
        <w:t>n the 2019/20 year,</w:t>
      </w:r>
      <w:r w:rsidR="00BC320A" w:rsidRPr="00CA2018">
        <w:t xml:space="preserve"> </w:t>
      </w:r>
      <w:r w:rsidR="004A41E5" w:rsidRPr="00CA2018">
        <w:t xml:space="preserve">disabled children had over double the rate of severe material hardship compared to non-disabled children (8.6% and 4.1% respectively). </w:t>
      </w:r>
      <w:r w:rsidR="00C95AEB" w:rsidRPr="00CA2018">
        <w:t>Further</w:t>
      </w:r>
      <w:r w:rsidR="00CA0DB2">
        <w:t>more</w:t>
      </w:r>
      <w:r w:rsidR="00C95AEB" w:rsidRPr="00CA2018">
        <w:t xml:space="preserve">, children in households with a disabled member had over three times the rate of severe material hardship compared to children in a non-disabled household (8.9% and 2.7% respectively). </w:t>
      </w:r>
      <w:r w:rsidR="0086303D">
        <w:t xml:space="preserve">Nearly 30% of all children live in a household with at least one disabled person, and over half </w:t>
      </w:r>
      <w:r w:rsidR="0086303D" w:rsidRPr="0086303D">
        <w:t>of all children who live in material hardship live in a household with at least one disabled person</w:t>
      </w:r>
      <w:r w:rsidR="009426FA">
        <w:t xml:space="preserve"> (Stats NZ, 2021</w:t>
      </w:r>
      <w:r w:rsidR="008D597E">
        <w:t>a</w:t>
      </w:r>
      <w:r w:rsidR="009426FA">
        <w:t>)</w:t>
      </w:r>
      <w:r w:rsidR="0086303D">
        <w:t>.</w:t>
      </w:r>
    </w:p>
    <w:p w14:paraId="4422DA26" w14:textId="5A29DB5D" w:rsidR="00293681" w:rsidRPr="00CA2018" w:rsidRDefault="00831C82" w:rsidP="007963BB">
      <w:pPr>
        <w:spacing w:line="240" w:lineRule="auto"/>
      </w:pPr>
      <w:r w:rsidRPr="00CA2018">
        <w:t xml:space="preserve">Despite these data painting a clear picture of the </w:t>
      </w:r>
      <w:r w:rsidR="000773FE" w:rsidRPr="00CA2018">
        <w:t xml:space="preserve">critical </w:t>
      </w:r>
      <w:r w:rsidRPr="00CA2018">
        <w:t xml:space="preserve">need for </w:t>
      </w:r>
      <w:r w:rsidR="006746A9" w:rsidRPr="00CA2018">
        <w:t xml:space="preserve">increased </w:t>
      </w:r>
      <w:r w:rsidRPr="00CA2018">
        <w:t>support for disabled children and children living in households with a disabled member</w:t>
      </w:r>
      <w:r w:rsidR="006746A9" w:rsidRPr="00CA2018">
        <w:t>, Budget 2021 announcements included no disability-specific changes. The</w:t>
      </w:r>
      <w:r w:rsidR="004361C2" w:rsidRPr="00CA2018">
        <w:t xml:space="preserve"> general benefit increases will </w:t>
      </w:r>
      <w:r w:rsidR="00BE2231" w:rsidRPr="00CA2018">
        <w:t>reach those receiving Supported Living Payment</w:t>
      </w:r>
      <w:r w:rsidR="00E82716" w:rsidRPr="00CA2018">
        <w:t xml:space="preserve"> and Jobseeker Support – Health Condition</w:t>
      </w:r>
      <w:r w:rsidR="00A97AAF" w:rsidRPr="00CA2018">
        <w:t>s or</w:t>
      </w:r>
      <w:r w:rsidR="00E82716" w:rsidRPr="00CA2018">
        <w:t xml:space="preserve"> Disability</w:t>
      </w:r>
      <w:r w:rsidR="00BE2231" w:rsidRPr="00CA2018">
        <w:t xml:space="preserve">, </w:t>
      </w:r>
      <w:r w:rsidR="006746A9" w:rsidRPr="00CA2018">
        <w:t xml:space="preserve">however </w:t>
      </w:r>
      <w:r w:rsidR="00B40EA8">
        <w:t>low</w:t>
      </w:r>
      <w:r w:rsidR="00BA23E1" w:rsidRPr="00CA2018">
        <w:t>-income h</w:t>
      </w:r>
      <w:r w:rsidR="00B13AF6" w:rsidRPr="00CA2018">
        <w:t>ouseholds with disabled family</w:t>
      </w:r>
      <w:r w:rsidR="00B45D7C" w:rsidRPr="00CA2018">
        <w:t xml:space="preserve"> members need additional,</w:t>
      </w:r>
      <w:r w:rsidR="001F1017" w:rsidRPr="00CA2018">
        <w:t xml:space="preserve"> disability-specific</w:t>
      </w:r>
      <w:r w:rsidR="00B45D7C" w:rsidRPr="00CA2018">
        <w:t xml:space="preserve"> income support to ensure </w:t>
      </w:r>
      <w:r w:rsidR="001F1017" w:rsidRPr="00CA2018">
        <w:t xml:space="preserve">that all </w:t>
      </w:r>
      <w:r w:rsidR="00D03C56" w:rsidRPr="00CA2018">
        <w:t>such households</w:t>
      </w:r>
      <w:r w:rsidR="001F1017" w:rsidRPr="00CA2018">
        <w:t xml:space="preserve"> are able to sufficiently cover the extra costs of </w:t>
      </w:r>
      <w:r w:rsidR="00D03C56" w:rsidRPr="00CA2018">
        <w:t>living with disability.</w:t>
      </w:r>
      <w:r w:rsidR="003D35F4" w:rsidRPr="00CA2018">
        <w:t xml:space="preserve"> At present, these additional disability-related costs can leave families and whānau hamstrung by debt. For example, as </w:t>
      </w:r>
      <w:r w:rsidR="00900ADF" w:rsidRPr="00CA2018">
        <w:t>Dr Huhana Hickey describes:</w:t>
      </w:r>
    </w:p>
    <w:p w14:paraId="6D2D78D3" w14:textId="4A2043F1" w:rsidR="003D35F4" w:rsidRPr="00CA2018" w:rsidRDefault="003D35F4" w:rsidP="007963BB">
      <w:pPr>
        <w:spacing w:line="240" w:lineRule="auto"/>
        <w:ind w:left="720"/>
        <w:rPr>
          <w:i/>
          <w:iCs/>
        </w:rPr>
      </w:pPr>
      <w:r w:rsidRPr="00CA2018">
        <w:rPr>
          <w:i/>
          <w:iCs/>
        </w:rPr>
        <w:t xml:space="preserve">“Things like medical needs, they need to increase the funding for that. I had a $6,500 dental job that took me 2.5 years to pay off. I’m only gonna get $300 in support from WINZ. Many who are disabled are on medications that damage teeth – why should we be penalised for that?” </w:t>
      </w:r>
    </w:p>
    <w:p w14:paraId="357DDDFA" w14:textId="7880A282" w:rsidR="0039749B" w:rsidRDefault="00497659" w:rsidP="007963BB">
      <w:pPr>
        <w:spacing w:line="240" w:lineRule="auto"/>
        <w:rPr>
          <w:i/>
          <w:iCs/>
        </w:rPr>
      </w:pPr>
      <w:r w:rsidRPr="00CA2018">
        <w:t xml:space="preserve">CPAG’s 2020 paper </w:t>
      </w:r>
      <w:hyperlink r:id="rId29" w:history="1">
        <w:r w:rsidRPr="00CA2018">
          <w:rPr>
            <w:rStyle w:val="Hyperlink"/>
            <w:i/>
            <w:iCs/>
          </w:rPr>
          <w:t>‘Living Well?’</w:t>
        </w:r>
      </w:hyperlink>
      <w:r w:rsidR="001355CE" w:rsidRPr="00CA2018">
        <w:t xml:space="preserve"> </w:t>
      </w:r>
      <w:r w:rsidR="00EA510E" w:rsidRPr="00CA2018">
        <w:t xml:space="preserve">highlighted how the </w:t>
      </w:r>
      <w:r w:rsidR="00856FEE" w:rsidRPr="00CA2018">
        <w:t>Child Disability Allowance and Disability Allowance rates are inadequate to cover the extra costs associated with raising a disabled child. For instance</w:t>
      </w:r>
      <w:r w:rsidR="00A97AAF" w:rsidRPr="00CA2018">
        <w:t>, the current Child Disability r</w:t>
      </w:r>
      <w:r w:rsidR="00856FEE" w:rsidRPr="00CA2018">
        <w:t xml:space="preserve">ate can be traced back to the original rate set in 1978, and has </w:t>
      </w:r>
      <w:r w:rsidR="00A97AAF" w:rsidRPr="00CA2018">
        <w:t xml:space="preserve">since </w:t>
      </w:r>
      <w:r w:rsidR="005C750B">
        <w:t xml:space="preserve">merely </w:t>
      </w:r>
      <w:r w:rsidR="00856FEE" w:rsidRPr="00CA2018">
        <w:t>been adjusted for inflation</w:t>
      </w:r>
      <w:r w:rsidR="001D79EE">
        <w:t xml:space="preserve"> (</w:t>
      </w:r>
      <w:r w:rsidR="00856FEE" w:rsidRPr="00CA2018">
        <w:t>albeit imperfectly</w:t>
      </w:r>
      <w:r w:rsidR="001D79EE">
        <w:t>)</w:t>
      </w:r>
      <w:r w:rsidR="00856FEE" w:rsidRPr="00CA2018">
        <w:t>, with no attempt to update the rate to reflect modern circumstances</w:t>
      </w:r>
      <w:r w:rsidR="003E28B7" w:rsidRPr="00CA2018">
        <w:t xml:space="preserve">. Similarly, </w:t>
      </w:r>
      <w:r w:rsidR="007C6546" w:rsidRPr="00CA2018">
        <w:t xml:space="preserve">the Disability Allowance rate is inadequate, and the </w:t>
      </w:r>
      <w:r w:rsidR="0010296A" w:rsidRPr="00CA2018">
        <w:t xml:space="preserve">process of claiming it requires </w:t>
      </w:r>
      <w:r w:rsidR="00A97AAF" w:rsidRPr="00CA2018">
        <w:t xml:space="preserve">the time consuming process of </w:t>
      </w:r>
      <w:r w:rsidR="0010296A" w:rsidRPr="00CA2018">
        <w:t xml:space="preserve">regularly submitting receipts to claim back costs. </w:t>
      </w:r>
    </w:p>
    <w:p w14:paraId="66E0160F" w14:textId="7946F712" w:rsidR="00B24F75" w:rsidRPr="00CA2018" w:rsidRDefault="00B24F75" w:rsidP="007963BB">
      <w:pPr>
        <w:spacing w:line="240" w:lineRule="auto"/>
        <w:rPr>
          <w:i/>
          <w:iCs/>
        </w:rPr>
      </w:pPr>
      <w:r w:rsidRPr="00CA2018">
        <w:t xml:space="preserve">WEAG provided recommendations to change the rates and approach to payment of supplementary assistance for people with health conditions or disabilities (detailed recommendations 109-111). They recommended that the baseline rates of both the Child Disability Allowance and the Disability Allowance be increased, and they be set at three rates for low, medium and high levels of disability. Neither of these changes have been implemented by the Government to date, however a 2021 </w:t>
      </w:r>
      <w:r>
        <w:t>Cabinet</w:t>
      </w:r>
      <w:r w:rsidRPr="00CA2018">
        <w:t xml:space="preserve"> paper has indicated that </w:t>
      </w:r>
      <w:r w:rsidRPr="00CA2018">
        <w:rPr>
          <w:i/>
          <w:iCs/>
        </w:rPr>
        <w:t>“Reviewing financial support and employment services for disabled people, people with health conditions and their carers”</w:t>
      </w:r>
      <w:r w:rsidRPr="00CA2018">
        <w:t xml:space="preserve"> is part of the Government’s medium-term priorities in its programme of reform</w:t>
      </w:r>
      <w:r w:rsidR="00D625AF">
        <w:t xml:space="preserve"> (MSD, 2021c)</w:t>
      </w:r>
      <w:r w:rsidRPr="00CA2018">
        <w:t>.</w:t>
      </w:r>
      <w:r w:rsidR="002C0447">
        <w:t xml:space="preserve"> We urge the Government to deliver </w:t>
      </w:r>
      <w:r w:rsidR="009A2B5D">
        <w:t xml:space="preserve">for disabled people, people with health conditions and carers </w:t>
      </w:r>
      <w:r w:rsidR="001D79EE">
        <w:t xml:space="preserve">well </w:t>
      </w:r>
      <w:r w:rsidR="009A2B5D">
        <w:t>before the end of its term in 2023</w:t>
      </w:r>
      <w:r w:rsidR="001D79EE">
        <w:t>.</w:t>
      </w:r>
    </w:p>
    <w:p w14:paraId="589C8563" w14:textId="18FFE884" w:rsidR="009531F8" w:rsidRPr="00CA2018" w:rsidRDefault="007914B2" w:rsidP="007963BB">
      <w:pPr>
        <w:spacing w:line="240" w:lineRule="auto"/>
      </w:pPr>
      <w:r w:rsidRPr="00CA2018">
        <w:t>WEAG</w:t>
      </w:r>
      <w:r w:rsidR="003D3721" w:rsidRPr="00CA2018">
        <w:t xml:space="preserve"> provided recommendations for </w:t>
      </w:r>
      <w:r w:rsidR="001D79EE">
        <w:t xml:space="preserve">further </w:t>
      </w:r>
      <w:r w:rsidR="003D3721" w:rsidRPr="00CA2018">
        <w:t>transformati</w:t>
      </w:r>
      <w:r w:rsidR="008D031C" w:rsidRPr="00CA2018">
        <w:t>onal</w:t>
      </w:r>
      <w:r w:rsidR="003D3721" w:rsidRPr="00CA2018">
        <w:t xml:space="preserve"> change, such as </w:t>
      </w:r>
      <w:r w:rsidR="00DF39EE" w:rsidRPr="00CA2018">
        <w:t>considering improving parity between those on disability-related benefits and those receiving support via the accident compensation scheme (detailed recommendation 105</w:t>
      </w:r>
      <w:r w:rsidR="00EF48F6" w:rsidRPr="00CA2018">
        <w:t>) and</w:t>
      </w:r>
      <w:r w:rsidR="00DF39EE" w:rsidRPr="00CA2018">
        <w:t xml:space="preserve"> </w:t>
      </w:r>
      <w:r w:rsidR="003D3721" w:rsidRPr="00CA2018">
        <w:t xml:space="preserve">transferring onto New Zealand Superannuation those on a Supported Living Payment who are </w:t>
      </w:r>
      <w:r w:rsidR="00B059D5">
        <w:t xml:space="preserve">chronically </w:t>
      </w:r>
      <w:r w:rsidR="003D3721" w:rsidRPr="00CA2018">
        <w:t xml:space="preserve">disabled </w:t>
      </w:r>
      <w:r w:rsidR="00B059D5">
        <w:t>and will</w:t>
      </w:r>
      <w:r w:rsidR="003D3721" w:rsidRPr="00CA2018">
        <w:t xml:space="preserve"> </w:t>
      </w:r>
      <w:r w:rsidR="00B059D5">
        <w:t>n</w:t>
      </w:r>
      <w:r w:rsidR="006B26F3">
        <w:t xml:space="preserve">ever </w:t>
      </w:r>
      <w:r w:rsidR="003D3721" w:rsidRPr="00CA2018">
        <w:t>come off their benefit (detailed recommendation 107).</w:t>
      </w:r>
      <w:r w:rsidR="008D031C" w:rsidRPr="00CA2018">
        <w:t xml:space="preserve"> </w:t>
      </w:r>
    </w:p>
    <w:p w14:paraId="6ED49137" w14:textId="77B0644E" w:rsidR="00B078D0" w:rsidRPr="00CA2018" w:rsidRDefault="00AF7A23" w:rsidP="007963BB">
      <w:pPr>
        <w:spacing w:line="240" w:lineRule="auto"/>
      </w:pPr>
      <w:r w:rsidRPr="00CA2018">
        <w:t xml:space="preserve">The </w:t>
      </w:r>
      <w:r w:rsidR="002C7E26" w:rsidRPr="00CA2018">
        <w:t xml:space="preserve">recent </w:t>
      </w:r>
      <w:r w:rsidRPr="00CA2018">
        <w:t xml:space="preserve">announcement of a </w:t>
      </w:r>
      <w:r w:rsidR="00DA6AE1" w:rsidRPr="00CA2018">
        <w:t xml:space="preserve">Ministry for Disabled People </w:t>
      </w:r>
      <w:r w:rsidR="00C17D27" w:rsidRPr="00CA2018">
        <w:t xml:space="preserve">in October 2021 has been praised </w:t>
      </w:r>
      <w:r w:rsidR="00955EA7" w:rsidRPr="00CA2018">
        <w:t xml:space="preserve">by disability advocates </w:t>
      </w:r>
      <w:r w:rsidR="00C17D27" w:rsidRPr="00CA2018">
        <w:t>as a positive step forward</w:t>
      </w:r>
      <w:r w:rsidR="00955EA7" w:rsidRPr="00CA2018">
        <w:t xml:space="preserve"> (albeit long overdue)</w:t>
      </w:r>
      <w:r w:rsidR="00C17D27" w:rsidRPr="00CA2018">
        <w:t>,</w:t>
      </w:r>
      <w:r w:rsidR="00B078D0" w:rsidRPr="00CA2018">
        <w:t xml:space="preserve"> which will enable the disabled community to </w:t>
      </w:r>
      <w:r w:rsidR="00955EA7" w:rsidRPr="00CA2018">
        <w:t>have influence</w:t>
      </w:r>
      <w:r w:rsidR="00B078D0" w:rsidRPr="00CA2018">
        <w:t xml:space="preserve"> in the Government support they receive</w:t>
      </w:r>
      <w:r w:rsidR="00D02767">
        <w:t xml:space="preserve"> (eg Te</w:t>
      </w:r>
      <w:r w:rsidR="00131B1B">
        <w:t xml:space="preserve"> Pūtahitanga o Te Waipounamu, 2021; </w:t>
      </w:r>
      <w:r w:rsidR="00D558F1">
        <w:t>Matthews, 2021)</w:t>
      </w:r>
      <w:r w:rsidR="00B078D0" w:rsidRPr="00CA2018">
        <w:t>.</w:t>
      </w:r>
      <w:r w:rsidR="002C7E26" w:rsidRPr="00CA2018">
        <w:t xml:space="preserve"> </w:t>
      </w:r>
      <w:r w:rsidR="00D66528" w:rsidRPr="00CA2018">
        <w:t>We hope that th</w:t>
      </w:r>
      <w:r w:rsidR="00D23025" w:rsidRPr="00CA2018">
        <w:t xml:space="preserve">e development of a new Ministry translates into </w:t>
      </w:r>
      <w:r w:rsidR="00A04AEE" w:rsidRPr="00CA2018">
        <w:t>significant investment in the disability sector. As Phoebe</w:t>
      </w:r>
      <w:r w:rsidR="0086303D">
        <w:t xml:space="preserve"> </w:t>
      </w:r>
      <w:r w:rsidR="00A04AEE" w:rsidRPr="00CA2018">
        <w:t>Eden</w:t>
      </w:r>
      <w:r w:rsidR="0086303D">
        <w:t>-</w:t>
      </w:r>
      <w:r w:rsidR="00A04AEE" w:rsidRPr="00CA2018">
        <w:t>Mann</w:t>
      </w:r>
      <w:r w:rsidR="0086303D">
        <w:t xml:space="preserve"> </w:t>
      </w:r>
      <w:r w:rsidR="00A04AEE" w:rsidRPr="00CA2018">
        <w:t xml:space="preserve">at CCS Disability Action </w:t>
      </w:r>
      <w:r w:rsidR="0086303D">
        <w:t>says</w:t>
      </w:r>
      <w:r w:rsidR="00A04AEE" w:rsidRPr="00CA2018">
        <w:t>:</w:t>
      </w:r>
    </w:p>
    <w:p w14:paraId="34499EBB" w14:textId="15AB46E4" w:rsidR="008A2316" w:rsidRPr="00CA2018" w:rsidRDefault="008A2316" w:rsidP="007963BB">
      <w:pPr>
        <w:spacing w:line="240" w:lineRule="auto"/>
        <w:ind w:left="720"/>
        <w:rPr>
          <w:i/>
          <w:iCs/>
        </w:rPr>
      </w:pPr>
      <w:r w:rsidRPr="00CA2018">
        <w:rPr>
          <w:i/>
          <w:iCs/>
        </w:rPr>
        <w:t xml:space="preserve">“Being disabled is not a cheap venture. ... There needs to be a recognition at </w:t>
      </w:r>
      <w:r w:rsidR="007A1C03">
        <w:rPr>
          <w:i/>
          <w:iCs/>
        </w:rPr>
        <w:t xml:space="preserve">a Government </w:t>
      </w:r>
      <w:r w:rsidRPr="00CA2018">
        <w:rPr>
          <w:i/>
          <w:iCs/>
        </w:rPr>
        <w:t xml:space="preserve">level that we are worth investing in and worth supporting, to be the best that we can be.” </w:t>
      </w:r>
    </w:p>
    <w:p w14:paraId="6258FA76" w14:textId="77777777" w:rsidR="00635C32" w:rsidRPr="00CA2018" w:rsidRDefault="00635C32" w:rsidP="007963BB">
      <w:pPr>
        <w:framePr w:hSpace="180" w:wrap="around" w:vAnchor="text" w:hAnchor="text" w:x="-572" w:y="1"/>
        <w:spacing w:line="240" w:lineRule="auto"/>
        <w:ind w:left="178"/>
        <w:suppressOverlap/>
        <w:rPr>
          <w:sz w:val="20"/>
          <w:szCs w:val="20"/>
        </w:rPr>
      </w:pPr>
    </w:p>
    <w:p w14:paraId="51CB8A9D" w14:textId="77777777" w:rsidR="00ED1C72" w:rsidRPr="00CA2018" w:rsidRDefault="00ED1C72" w:rsidP="007963BB">
      <w:pPr>
        <w:pStyle w:val="Heading2"/>
        <w:spacing w:line="240" w:lineRule="auto"/>
      </w:pPr>
      <w:bookmarkStart w:id="38" w:name="_Toc89330018"/>
      <w:r w:rsidRPr="00CA2018">
        <w:t>Relationship settings</w:t>
      </w:r>
      <w:bookmarkEnd w:id="38"/>
    </w:p>
    <w:p w14:paraId="0891923D" w14:textId="6474D4FA" w:rsidR="00ED1C72" w:rsidRPr="00CA2018" w:rsidRDefault="00ED1C72" w:rsidP="007963BB">
      <w:pPr>
        <w:spacing w:line="240" w:lineRule="auto"/>
      </w:pPr>
      <w:r w:rsidRPr="00CA2018">
        <w:t>CPAG has long highlighted the devastating impact of relationship settings within the welfare system on children and families</w:t>
      </w:r>
      <w:r w:rsidR="00FF7BF2">
        <w:t>, as they discourage the formation of family units</w:t>
      </w:r>
      <w:r w:rsidRPr="00CA2018">
        <w:t>. Current rules are outdated and reflect archaic thinking about family relationships and partner dependence; they presume full financial dependence on a partner from early on in a relationship, rendering many people ineligible for a benefit because their partner is earning</w:t>
      </w:r>
      <w:r w:rsidR="00A46E94">
        <w:t xml:space="preserve"> (Healey &amp; Curtin, 2019)</w:t>
      </w:r>
      <w:r w:rsidRPr="00CA2018">
        <w:t xml:space="preserve">. </w:t>
      </w:r>
      <w:r w:rsidR="007914B2" w:rsidRPr="00CA2018">
        <w:t>WEAG</w:t>
      </w:r>
      <w:r w:rsidRPr="00CA2018">
        <w:t xml:space="preserve"> </w:t>
      </w:r>
      <w:r w:rsidR="00980256">
        <w:t xml:space="preserve">(2019, pp. 10) </w:t>
      </w:r>
      <w:r w:rsidRPr="00CA2018">
        <w:t>signalled their concern about these settings in their report, highlighting the need for urgent change:</w:t>
      </w:r>
    </w:p>
    <w:p w14:paraId="53A3E289" w14:textId="4AA3202B" w:rsidR="00ED1C72" w:rsidRPr="00CA2018" w:rsidRDefault="00ED1C72" w:rsidP="007963BB">
      <w:pPr>
        <w:spacing w:line="240" w:lineRule="auto"/>
        <w:ind w:left="720"/>
        <w:rPr>
          <w:i/>
          <w:iCs/>
        </w:rPr>
      </w:pPr>
      <w:r w:rsidRPr="00CA2018">
        <w:rPr>
          <w:i/>
          <w:iCs/>
        </w:rPr>
        <w:t xml:space="preserve">“One of the strongest findings from consultation was that the rules for determining whether a ‘relationship’ exists (that is, whether a relationship is ‘in the nature of marriage’) are </w:t>
      </w:r>
      <w:r w:rsidRPr="00CA2018">
        <w:rPr>
          <w:b/>
          <w:bCs/>
          <w:i/>
          <w:iCs/>
        </w:rPr>
        <w:t>not working and are</w:t>
      </w:r>
      <w:r w:rsidRPr="00CA2018">
        <w:rPr>
          <w:i/>
          <w:iCs/>
        </w:rPr>
        <w:t xml:space="preserve"> </w:t>
      </w:r>
      <w:r w:rsidRPr="00CA2018">
        <w:rPr>
          <w:b/>
          <w:bCs/>
          <w:i/>
          <w:iCs/>
        </w:rPr>
        <w:t>causing considerable harm</w:t>
      </w:r>
      <w:r w:rsidRPr="00CA2018">
        <w:rPr>
          <w:i/>
          <w:iCs/>
        </w:rPr>
        <w:t>.</w:t>
      </w:r>
      <w:r w:rsidR="00980256">
        <w:rPr>
          <w:i/>
          <w:iCs/>
        </w:rPr>
        <w:t>”</w:t>
      </w:r>
      <w:r w:rsidRPr="00CA2018">
        <w:t xml:space="preserve"> (emphasis added)</w:t>
      </w:r>
    </w:p>
    <w:p w14:paraId="51367A56" w14:textId="7D777AD3" w:rsidR="00ED1C72" w:rsidRPr="00CA2018" w:rsidRDefault="00ED1C72" w:rsidP="007963BB">
      <w:pPr>
        <w:spacing w:line="240" w:lineRule="auto"/>
      </w:pPr>
      <w:r w:rsidRPr="00CA2018">
        <w:t xml:space="preserve">The ambiguity of current relationship rules can cause considerable stress for parents who are unclear as to when they must declare a relationship to Work and Income. </w:t>
      </w:r>
      <w:r w:rsidR="007914B2" w:rsidRPr="00CA2018">
        <w:t>WEAG</w:t>
      </w:r>
      <w:r w:rsidRPr="00CA2018">
        <w:t xml:space="preserve"> </w:t>
      </w:r>
      <w:r w:rsidR="00A57759">
        <w:t>(2019, pp. 50)</w:t>
      </w:r>
      <w:r w:rsidR="00DB2912">
        <w:t xml:space="preserve"> </w:t>
      </w:r>
      <w:r w:rsidRPr="00CA2018">
        <w:t xml:space="preserve">described relationship definitions as </w:t>
      </w:r>
      <w:r w:rsidRPr="00CA2018">
        <w:rPr>
          <w:i/>
          <w:iCs/>
        </w:rPr>
        <w:t>“confusing”</w:t>
      </w:r>
      <w:r w:rsidRPr="00CA2018">
        <w:t xml:space="preserve"> and </w:t>
      </w:r>
      <w:r w:rsidRPr="00CA2018">
        <w:rPr>
          <w:i/>
          <w:iCs/>
        </w:rPr>
        <w:t>“intrusive”</w:t>
      </w:r>
      <w:r w:rsidRPr="00CA2018">
        <w:t xml:space="preserve">, consistent with the experiences of those we spoke to as part of this research. Data accessed by OIA request suggests that pursuit of so-called ‘relationship fraud’ appears to </w:t>
      </w:r>
      <w:r w:rsidR="002C2B45" w:rsidRPr="00CA2018">
        <w:t xml:space="preserve">have become </w:t>
      </w:r>
      <w:r w:rsidRPr="00CA2018">
        <w:t>less aggressive, and there has been less use of imprisonment for convicted mothers over the last few years</w:t>
      </w:r>
      <w:r w:rsidR="00E250C1">
        <w:t xml:space="preserve"> (MSD, 2020</w:t>
      </w:r>
      <w:r w:rsidR="00DF5C72">
        <w:t>c)</w:t>
      </w:r>
      <w:r w:rsidRPr="00CA2018">
        <w:t xml:space="preserve">. While these are positive developments, only a clear rule change can provide the certainty needed to alleviate some of the stress and precarity associated with forming relationships while on a benefit. As </w:t>
      </w:r>
      <w:r w:rsidR="008B7835" w:rsidRPr="00CA2018">
        <w:t>one Sole Parent Support recipient</w:t>
      </w:r>
      <w:r w:rsidRPr="00CA2018">
        <w:t xml:space="preserve"> expressed: </w:t>
      </w:r>
    </w:p>
    <w:p w14:paraId="3200038B" w14:textId="6D562602" w:rsidR="00ED1C72" w:rsidRPr="00CA2018" w:rsidRDefault="00ED1C72" w:rsidP="007963BB">
      <w:pPr>
        <w:spacing w:line="240" w:lineRule="auto"/>
        <w:ind w:left="720"/>
      </w:pPr>
      <w:r w:rsidRPr="00CA2018">
        <w:rPr>
          <w:i/>
          <w:iCs/>
        </w:rPr>
        <w:t xml:space="preserve">“The reliability, consistency - I need to know I can look after myself and my child. I’ve always been the one paying all the bills, it’s never been the other person [in my relationships]. </w:t>
      </w:r>
      <w:r w:rsidRPr="00CA2018">
        <w:rPr>
          <w:b/>
          <w:bCs/>
          <w:i/>
          <w:iCs/>
        </w:rPr>
        <w:t xml:space="preserve">It’s fearful being on the benefit – on the benefit you have this constant fear that your benefit is gonna be cut, </w:t>
      </w:r>
      <w:r w:rsidR="008B7835" w:rsidRPr="00CA2018">
        <w:rPr>
          <w:b/>
          <w:bCs/>
          <w:i/>
          <w:iCs/>
        </w:rPr>
        <w:t>even if you’re not being fraudulent</w:t>
      </w:r>
      <w:r w:rsidRPr="00CA2018">
        <w:rPr>
          <w:i/>
          <w:iCs/>
        </w:rPr>
        <w:t>.”</w:t>
      </w:r>
      <w:r w:rsidRPr="00CA2018">
        <w:t xml:space="preserve"> </w:t>
      </w:r>
      <w:r w:rsidR="008B7835" w:rsidRPr="00CA2018">
        <w:t>(emphasis added)</w:t>
      </w:r>
    </w:p>
    <w:p w14:paraId="4594BE38" w14:textId="4592822A" w:rsidR="00ED1C72" w:rsidRPr="00CA2018" w:rsidRDefault="00ED1C72" w:rsidP="007963BB">
      <w:pPr>
        <w:spacing w:line="240" w:lineRule="auto"/>
      </w:pPr>
      <w:r w:rsidRPr="00CA2018">
        <w:t xml:space="preserve">Relationship settings are particularly </w:t>
      </w:r>
      <w:r w:rsidR="00F25E93" w:rsidRPr="00CA2018">
        <w:t>problematic</w:t>
      </w:r>
      <w:r w:rsidRPr="00CA2018">
        <w:t xml:space="preserve"> for </w:t>
      </w:r>
      <w:r w:rsidR="00F25E93" w:rsidRPr="00CA2018">
        <w:t>disabled people</w:t>
      </w:r>
      <w:r w:rsidRPr="00CA2018">
        <w:t>, who often face significant costs over and above non-disabled people, yet lose eligibility to financial support if they enter a relationship where their partner earns over a given threshold</w:t>
      </w:r>
      <w:r w:rsidR="00E8216A">
        <w:t xml:space="preserve"> (Ternouth, 2021)</w:t>
      </w:r>
      <w:r w:rsidRPr="00CA2018">
        <w:t>. As Dr Huhana Hickey (Ngāti Tāhinga, Whakatōhea), disability advocate and former WEAG member expressed:</w:t>
      </w:r>
    </w:p>
    <w:p w14:paraId="76523232" w14:textId="77777777" w:rsidR="00ED1C72" w:rsidRPr="00CA2018" w:rsidRDefault="00ED1C72" w:rsidP="007963BB">
      <w:pPr>
        <w:spacing w:line="240" w:lineRule="auto"/>
        <w:ind w:left="720"/>
        <w:rPr>
          <w:i/>
          <w:iCs/>
        </w:rPr>
      </w:pPr>
      <w:r w:rsidRPr="00CA2018">
        <w:rPr>
          <w:i/>
          <w:iCs/>
        </w:rPr>
        <w:t xml:space="preserve">“A lot of disabled people don’t get married because their partners can’t afford that. It’s quite horrible, because you’re assuming that we [disabled people] should come in under someone else’s income. Each individual needs their own benefit. For a lot of disabled they can’t live a good life because they can’t have a relationship.” </w:t>
      </w:r>
    </w:p>
    <w:p w14:paraId="7720355C" w14:textId="141522C9" w:rsidR="0038487A" w:rsidRPr="00CA2018" w:rsidRDefault="00ED1C72" w:rsidP="007963BB">
      <w:pPr>
        <w:shd w:val="clear" w:color="auto" w:fill="FFFFFF"/>
        <w:spacing w:after="120" w:line="240" w:lineRule="auto"/>
      </w:pPr>
      <w:r w:rsidRPr="00CA2018">
        <w:t xml:space="preserve">The Government has thus far given no clear commitment to reforming current relationship rules. Minister Sepuloni has expressed that </w:t>
      </w:r>
      <w:r w:rsidRPr="00CA2018">
        <w:rPr>
          <w:i/>
          <w:iCs/>
        </w:rPr>
        <w:t>“work is underway”</w:t>
      </w:r>
      <w:r w:rsidRPr="00CA2018">
        <w:t xml:space="preserve"> looking at the definition of relationships for beneficiaries, and that more advice would be coming later in 2021</w:t>
      </w:r>
      <w:r w:rsidR="000946B5">
        <w:t xml:space="preserve"> (Ternouth, 2021)</w:t>
      </w:r>
      <w:r w:rsidRPr="00CA2018">
        <w:t xml:space="preserve">. </w:t>
      </w:r>
      <w:r w:rsidR="007574C8" w:rsidRPr="00CA2018">
        <w:t xml:space="preserve">However a </w:t>
      </w:r>
      <w:r w:rsidR="006F51CD">
        <w:t>C</w:t>
      </w:r>
      <w:r w:rsidR="007574C8" w:rsidRPr="00CA2018">
        <w:t xml:space="preserve">abinet paper from September 2021 indicated that reviewing relationship settings and </w:t>
      </w:r>
      <w:r w:rsidR="0038487A">
        <w:t xml:space="preserve">the </w:t>
      </w:r>
      <w:r w:rsidR="007574C8" w:rsidRPr="00CA2018">
        <w:t>unit of benefit entitlement was part of the Government’s ‘longer-term work programme’</w:t>
      </w:r>
      <w:r w:rsidR="000946B5">
        <w:t xml:space="preserve"> (MSD, 2021d)</w:t>
      </w:r>
      <w:r w:rsidR="007574C8" w:rsidRPr="00CA2018">
        <w:t>.</w:t>
      </w:r>
      <w:r w:rsidR="00674324" w:rsidRPr="00CA2018">
        <w:t xml:space="preserve"> Given that this same set of papers indicated that </w:t>
      </w:r>
      <w:r w:rsidR="00674324" w:rsidRPr="00CA2018">
        <w:rPr>
          <w:i/>
          <w:iCs/>
        </w:rPr>
        <w:t>”not all of the initiatives in the medium-term [programme] will be fully funded or implemented by 2023”</w:t>
      </w:r>
      <w:r w:rsidR="00674324" w:rsidRPr="00CA2018">
        <w:t>, it appears that reform to relationship settings is being deferred until at least the next term</w:t>
      </w:r>
      <w:r w:rsidR="0038487A">
        <w:t xml:space="preserve"> of government, presuming that whoever wins the election continues with welfare reform</w:t>
      </w:r>
      <w:r w:rsidR="00674324" w:rsidRPr="00CA2018">
        <w:t xml:space="preserve">. </w:t>
      </w:r>
      <w:r w:rsidRPr="00CA2018">
        <w:t xml:space="preserve">Given </w:t>
      </w:r>
      <w:r w:rsidR="00ED4DB7">
        <w:t>the</w:t>
      </w:r>
      <w:r w:rsidR="00A35746">
        <w:t>se setting</w:t>
      </w:r>
      <w:r w:rsidR="000946B5">
        <w:t>s</w:t>
      </w:r>
      <w:r w:rsidR="00A35746">
        <w:t xml:space="preserve"> are preventing the formation of family relationships among those on income support</w:t>
      </w:r>
      <w:r w:rsidR="000946B5">
        <w:t xml:space="preserve"> (WEAG, 2019, pp. 113),</w:t>
      </w:r>
      <w:r w:rsidR="00A35746" w:rsidRPr="00CA2018">
        <w:t xml:space="preserve"> </w:t>
      </w:r>
      <w:r w:rsidR="00A35746">
        <w:t>they require urgent attention.</w:t>
      </w:r>
      <w:r w:rsidR="00ED4DB7">
        <w:t xml:space="preserve"> </w:t>
      </w:r>
    </w:p>
    <w:p w14:paraId="7793B96A" w14:textId="6F005609" w:rsidR="002C4BCE" w:rsidRPr="00CA2018" w:rsidRDefault="00744D3B" w:rsidP="007C7C6B">
      <w:pPr>
        <w:pStyle w:val="Heading1"/>
        <w:numPr>
          <w:ilvl w:val="0"/>
          <w:numId w:val="40"/>
        </w:numPr>
        <w:spacing w:line="240" w:lineRule="auto"/>
        <w:ind w:left="284"/>
      </w:pPr>
      <w:bookmarkStart w:id="39" w:name="_Toc89330019"/>
      <w:r w:rsidRPr="00CA2018">
        <w:t>Conclusion and looking ahead</w:t>
      </w:r>
      <w:bookmarkEnd w:id="39"/>
    </w:p>
    <w:p w14:paraId="2A376652" w14:textId="1F4CFAC4" w:rsidR="00574CC3" w:rsidRDefault="001B362F" w:rsidP="007963BB">
      <w:pPr>
        <w:spacing w:line="240" w:lineRule="auto"/>
      </w:pPr>
      <w:r w:rsidRPr="00CA2018">
        <w:t xml:space="preserve">This report has </w:t>
      </w:r>
      <w:r w:rsidR="000964B8">
        <w:t xml:space="preserve">discussed </w:t>
      </w:r>
      <w:r w:rsidRPr="00CA2018">
        <w:t xml:space="preserve">developments </w:t>
      </w:r>
      <w:r w:rsidR="00A01F23" w:rsidRPr="00CA2018">
        <w:t xml:space="preserve">in implementing </w:t>
      </w:r>
      <w:r w:rsidR="007914B2" w:rsidRPr="00CA2018">
        <w:t>WEAG</w:t>
      </w:r>
      <w:r w:rsidR="00A01F23" w:rsidRPr="00CA2018">
        <w:t>’s recommendations in the year to November 2021</w:t>
      </w:r>
      <w:r w:rsidR="00A43E6C">
        <w:t>, with a focus on children and families</w:t>
      </w:r>
      <w:r w:rsidR="00A01F23" w:rsidRPr="00CA2018">
        <w:t xml:space="preserve">. </w:t>
      </w:r>
      <w:r w:rsidR="001807DA">
        <w:t>CPAG has</w:t>
      </w:r>
      <w:r w:rsidRPr="00CA2018">
        <w:t xml:space="preserve"> highlighted how </w:t>
      </w:r>
      <w:r w:rsidR="00806693">
        <w:t>welfare</w:t>
      </w:r>
      <w:r w:rsidRPr="00CA2018">
        <w:t xml:space="preserve"> ‘overhaul’ continues to be slow and piecemeal</w:t>
      </w:r>
      <w:r w:rsidR="007E4E0E">
        <w:t xml:space="preserve"> with inadequate levels of support despite </w:t>
      </w:r>
      <w:r w:rsidR="00806693">
        <w:t xml:space="preserve">some welcome </w:t>
      </w:r>
      <w:r w:rsidR="007E4E0E">
        <w:t>improvements</w:t>
      </w:r>
      <w:r w:rsidRPr="00CA2018">
        <w:t xml:space="preserve">. </w:t>
      </w:r>
      <w:r w:rsidR="00574CC3">
        <w:t xml:space="preserve">It appears from Cabinet papers that since </w:t>
      </w:r>
      <w:r w:rsidR="008A22D0">
        <w:t>Government’s</w:t>
      </w:r>
      <w:r w:rsidR="00574CC3">
        <w:t xml:space="preserve"> last</w:t>
      </w:r>
      <w:r w:rsidR="00D34EB2">
        <w:t xml:space="preserve"> update in 2019, there is less </w:t>
      </w:r>
      <w:r w:rsidR="00562F86">
        <w:t xml:space="preserve">of a </w:t>
      </w:r>
      <w:r w:rsidR="00D34EB2">
        <w:t xml:space="preserve">concrete commitment as to what will be delivered by the end of 2023. In </w:t>
      </w:r>
      <w:r w:rsidR="00F01473">
        <w:t xml:space="preserve">a </w:t>
      </w:r>
      <w:r w:rsidR="00D34EB2">
        <w:t>September 2021</w:t>
      </w:r>
      <w:r w:rsidR="00F01473">
        <w:t xml:space="preserve"> update, Minister Sepuloni stated:</w:t>
      </w:r>
    </w:p>
    <w:p w14:paraId="4C4E93B7" w14:textId="71AEAE1F" w:rsidR="00BB666B" w:rsidRDefault="00BB666B" w:rsidP="007963BB">
      <w:pPr>
        <w:spacing w:line="240" w:lineRule="auto"/>
        <w:ind w:left="720"/>
      </w:pPr>
      <w:r w:rsidRPr="00CA2018">
        <w:rPr>
          <w:i/>
          <w:iCs/>
        </w:rPr>
        <w:t>“We are now arriving in the medium-term phase of the work programme, and I signalled my intention in November 2019 for this to be completed in two to four years (2021-2023)</w:t>
      </w:r>
      <w:r w:rsidR="00713597">
        <w:rPr>
          <w:i/>
          <w:iCs/>
        </w:rPr>
        <w:t>. The renewed work programme</w:t>
      </w:r>
      <w:r w:rsidR="00574CC3">
        <w:rPr>
          <w:i/>
          <w:iCs/>
        </w:rPr>
        <w:t xml:space="preserve"> is now intended to shape the progression of the welfare overhaul for the next several years. …</w:t>
      </w:r>
      <w:r w:rsidRPr="00CA2018">
        <w:rPr>
          <w:i/>
          <w:iCs/>
        </w:rPr>
        <w:t xml:space="preserve"> I also acknowledge that </w:t>
      </w:r>
      <w:r w:rsidRPr="00CA2018">
        <w:rPr>
          <w:b/>
          <w:bCs/>
          <w:i/>
          <w:iCs/>
        </w:rPr>
        <w:t>some of these initiatives will take longer to progress than initially expected</w:t>
      </w:r>
      <w:r w:rsidRPr="00CA2018">
        <w:rPr>
          <w:i/>
          <w:iCs/>
        </w:rPr>
        <w:t xml:space="preserve"> given their scale and complexity.”</w:t>
      </w:r>
      <w:r w:rsidR="00AB09B1">
        <w:rPr>
          <w:i/>
          <w:iCs/>
        </w:rPr>
        <w:t xml:space="preserve"> </w:t>
      </w:r>
      <w:r w:rsidR="00AB09B1">
        <w:t>(MSD, 2021e)</w:t>
      </w:r>
    </w:p>
    <w:p w14:paraId="6416E48E" w14:textId="6D5232AD" w:rsidR="00957512" w:rsidRPr="00957512" w:rsidRDefault="00957512" w:rsidP="007963BB">
      <w:pPr>
        <w:spacing w:line="240" w:lineRule="auto"/>
      </w:pPr>
      <w:r>
        <w:t>An Appendix to this Cabinet paper also reads:</w:t>
      </w:r>
    </w:p>
    <w:p w14:paraId="7D85B3FC" w14:textId="6F56A763" w:rsidR="00BB666B" w:rsidRPr="00B47429" w:rsidRDefault="00BB666B" w:rsidP="007963BB">
      <w:pPr>
        <w:spacing w:line="240" w:lineRule="auto"/>
        <w:ind w:left="720"/>
      </w:pPr>
      <w:r w:rsidRPr="00CA2018">
        <w:rPr>
          <w:i/>
          <w:iCs/>
        </w:rPr>
        <w:t>“It is important to note not all of the initiatives in the medium-term will be fully funded or implemented by 2023.”</w:t>
      </w:r>
      <w:r w:rsidR="00B47429">
        <w:rPr>
          <w:i/>
          <w:iCs/>
        </w:rPr>
        <w:t xml:space="preserve"> </w:t>
      </w:r>
      <w:r w:rsidR="00B47429">
        <w:t>(MSD, 2021c)</w:t>
      </w:r>
    </w:p>
    <w:p w14:paraId="0D56C8F4" w14:textId="60189E87" w:rsidR="00BB666B" w:rsidRPr="00CA2018" w:rsidRDefault="00957512" w:rsidP="007963BB">
      <w:pPr>
        <w:spacing w:line="240" w:lineRule="auto"/>
      </w:pPr>
      <w:r>
        <w:t>CPAG was</w:t>
      </w:r>
      <w:r w:rsidR="00BB666B" w:rsidRPr="00CA2018">
        <w:t xml:space="preserve"> concerned by a lack of progress when we wrote our inaugural report in November 2020, and we are even more concerned now in </w:t>
      </w:r>
      <w:r w:rsidR="00FE05E1">
        <w:t xml:space="preserve">November </w:t>
      </w:r>
      <w:r w:rsidR="00BB666B" w:rsidRPr="00CA2018">
        <w:t>2021. These delays are exacerbating growing rates of family and whānau hardship</w:t>
      </w:r>
      <w:r w:rsidR="00FE05E1">
        <w:t xml:space="preserve">. </w:t>
      </w:r>
      <w:r w:rsidR="0007005A" w:rsidRPr="00CA2018">
        <w:t xml:space="preserve">While Covid-19 has undoubtedly consumed </w:t>
      </w:r>
      <w:r w:rsidR="0007005A">
        <w:t>immense</w:t>
      </w:r>
      <w:r w:rsidR="0007005A" w:rsidRPr="00CA2018">
        <w:t xml:space="preserve"> Government resources, deep </w:t>
      </w:r>
      <w:r w:rsidR="0007005A">
        <w:t>poverty poses</w:t>
      </w:r>
      <w:r w:rsidR="0007005A" w:rsidRPr="00CA2018">
        <w:t xml:space="preserve"> a significant challenge to the efficacy of our national Covid-19 response, and the pandemic has only provided more impetus for a fundamental reset of our broken social safety net.</w:t>
      </w:r>
    </w:p>
    <w:p w14:paraId="48B41E68" w14:textId="3B6E3E69" w:rsidR="00BB666B" w:rsidRPr="00FE03EF" w:rsidRDefault="007C7FED" w:rsidP="007963BB">
      <w:pPr>
        <w:spacing w:line="240" w:lineRule="auto"/>
      </w:pPr>
      <w:r>
        <w:t>Making modest, piecemeal changes is not reform</w:t>
      </w:r>
      <w:r w:rsidRPr="00CA2018">
        <w:t xml:space="preserve">. </w:t>
      </w:r>
      <w:r w:rsidR="00BB666B" w:rsidRPr="00CA2018">
        <w:t>The</w:t>
      </w:r>
      <w:r w:rsidR="00BB666B" w:rsidRPr="00CA2018">
        <w:rPr>
          <w:i/>
          <w:iCs/>
        </w:rPr>
        <w:t xml:space="preserve"> </w:t>
      </w:r>
      <w:r w:rsidR="00BB666B" w:rsidRPr="00CA2018">
        <w:t xml:space="preserve">Government’s resort to </w:t>
      </w:r>
      <w:r w:rsidR="00BB666B">
        <w:t>patchy</w:t>
      </w:r>
      <w:r w:rsidR="00BB666B" w:rsidRPr="00CA2018">
        <w:t xml:space="preserve"> changes means that many on the ground – both recipients of welfare support, and those supporting families and whānau navigating the system – are not seeing </w:t>
      </w:r>
      <w:r w:rsidR="00DF4C4D">
        <w:t xml:space="preserve">much </w:t>
      </w:r>
      <w:r w:rsidR="00BB666B" w:rsidRPr="00CA2018">
        <w:t>m</w:t>
      </w:r>
      <w:r w:rsidR="00A8487A">
        <w:t xml:space="preserve">easurable </w:t>
      </w:r>
      <w:r w:rsidR="00BB666B" w:rsidRPr="00CA2018">
        <w:t>difference in their experience of engaging with the welfare system. As one welfare advocate put it</w:t>
      </w:r>
      <w:r w:rsidR="00BB666B">
        <w:t>:</w:t>
      </w:r>
      <w:r w:rsidR="00BB666B" w:rsidRPr="00CA2018">
        <w:t xml:space="preserve"> </w:t>
      </w:r>
      <w:r w:rsidR="00BB666B" w:rsidRPr="00CA2018">
        <w:rPr>
          <w:i/>
          <w:iCs/>
        </w:rPr>
        <w:t>“Changes? If they have made changes, it’s had little impact.”</w:t>
      </w:r>
      <w:r w:rsidR="00BB666B" w:rsidRPr="00CA2018">
        <w:t xml:space="preserve"> </w:t>
      </w:r>
    </w:p>
    <w:p w14:paraId="094B329A" w14:textId="4EFF9F73" w:rsidR="00C15D97" w:rsidRDefault="00081C35" w:rsidP="007963BB">
      <w:pPr>
        <w:spacing w:line="240" w:lineRule="auto"/>
      </w:pPr>
      <w:r w:rsidRPr="00CA2018">
        <w:t xml:space="preserve">The Government has signalled that its 2021 </w:t>
      </w:r>
      <w:r w:rsidR="00604016" w:rsidRPr="00CA2018">
        <w:t>‘renewed work programme’</w:t>
      </w:r>
      <w:r w:rsidR="007D5E58">
        <w:t>, published in late 2021,</w:t>
      </w:r>
      <w:r w:rsidR="00604016" w:rsidRPr="00CA2018">
        <w:t xml:space="preserve"> contains </w:t>
      </w:r>
      <w:r w:rsidR="00604016" w:rsidRPr="000867F2">
        <w:rPr>
          <w:i/>
          <w:iCs/>
        </w:rPr>
        <w:t>“areas of major transformational change for the welfare system</w:t>
      </w:r>
      <w:r w:rsidR="00604016" w:rsidRPr="00CA2018">
        <w:t>”</w:t>
      </w:r>
      <w:r w:rsidR="00B47429">
        <w:rPr>
          <w:rStyle w:val="FootnoteReference"/>
        </w:rPr>
        <w:t xml:space="preserve"> </w:t>
      </w:r>
      <w:r w:rsidR="00B47429">
        <w:t xml:space="preserve">(MSD, 2021e, p.7). </w:t>
      </w:r>
      <w:r w:rsidR="00760E5D" w:rsidRPr="00CA2018">
        <w:t>We urge the Government to deliver</w:t>
      </w:r>
      <w:r w:rsidR="00373D4C" w:rsidRPr="00CA2018">
        <w:t xml:space="preserve"> more quickly </w:t>
      </w:r>
      <w:r w:rsidR="00760E5D" w:rsidRPr="00CA2018">
        <w:t xml:space="preserve">on this </w:t>
      </w:r>
      <w:r w:rsidR="00C15D97" w:rsidRPr="00CA2018">
        <w:t>programme of reform</w:t>
      </w:r>
      <w:r w:rsidR="00373D4C" w:rsidRPr="00CA2018">
        <w:t xml:space="preserve"> within their current term and to </w:t>
      </w:r>
      <w:r w:rsidR="00C15D97" w:rsidRPr="00CA2018">
        <w:t>meet their commitment to truly overhaul the welfare system</w:t>
      </w:r>
      <w:r w:rsidR="003C5E4E">
        <w:t xml:space="preserve">. </w:t>
      </w:r>
      <w:r w:rsidR="0020126D">
        <w:t xml:space="preserve">In order to achieve this, and in order to address the issue of entrenched child poverty in Aotearoa, CPAG </w:t>
      </w:r>
      <w:r w:rsidR="00D81F8D">
        <w:t>suggests</w:t>
      </w:r>
      <w:r w:rsidR="0020126D">
        <w:t xml:space="preserve"> the Government prioritise the following WEAG recommendations:</w:t>
      </w:r>
    </w:p>
    <w:p w14:paraId="216925AA" w14:textId="77777777" w:rsidR="009C22AF" w:rsidRPr="00CA2018" w:rsidRDefault="009C22AF" w:rsidP="007963BB">
      <w:pPr>
        <w:pStyle w:val="ListParagraph"/>
        <w:numPr>
          <w:ilvl w:val="0"/>
          <w:numId w:val="17"/>
        </w:numPr>
      </w:pPr>
      <w:r w:rsidRPr="00CA2018">
        <w:t>Reform the purposes and principles of the welfare system, including amendment of the Social Security Act. (Key Recommendation 1)</w:t>
      </w:r>
    </w:p>
    <w:p w14:paraId="59D6A98C" w14:textId="77777777" w:rsidR="009C22AF" w:rsidRPr="00CA2018" w:rsidRDefault="009C22AF" w:rsidP="007963BB">
      <w:pPr>
        <w:pStyle w:val="ListParagraph"/>
        <w:numPr>
          <w:ilvl w:val="0"/>
          <w:numId w:val="17"/>
        </w:numPr>
      </w:pPr>
      <w:r w:rsidRPr="00CA2018">
        <w:t>Implement Te Tiriti o Waitangi principles in every part of the welfare system to gain equity for Māori (see Key Recommendations 1, 3 and 4)</w:t>
      </w:r>
    </w:p>
    <w:p w14:paraId="1B3341F1" w14:textId="77777777" w:rsidR="009C22AF" w:rsidRPr="00CA2018" w:rsidRDefault="009C22AF" w:rsidP="007963BB">
      <w:pPr>
        <w:pStyle w:val="ListParagraph"/>
        <w:numPr>
          <w:ilvl w:val="0"/>
          <w:numId w:val="17"/>
        </w:numPr>
      </w:pPr>
      <w:r w:rsidRPr="00CA2018">
        <w:t xml:space="preserve">Fix Working for Families to help children in the deepest poverty: </w:t>
      </w:r>
    </w:p>
    <w:p w14:paraId="18758B7A" w14:textId="77777777" w:rsidR="009C22AF" w:rsidRPr="00CA2018" w:rsidRDefault="009C22AF" w:rsidP="007963BB">
      <w:pPr>
        <w:spacing w:line="240" w:lineRule="auto"/>
        <w:ind w:left="1440"/>
      </w:pPr>
      <w:r w:rsidRPr="00CA2018">
        <w:t>(i) increase the Family Tax Credit to WEAG’s recommended rates (Key Recommendation 23)</w:t>
      </w:r>
    </w:p>
    <w:p w14:paraId="70748163" w14:textId="77777777" w:rsidR="009C22AF" w:rsidRPr="00CA2018" w:rsidRDefault="009C22AF" w:rsidP="007963BB">
      <w:pPr>
        <w:spacing w:line="240" w:lineRule="auto"/>
        <w:ind w:left="1440"/>
      </w:pPr>
      <w:r w:rsidRPr="00CA2018">
        <w:t>(ii) annually index tax credit payments to wages (part of Key Recommendations 21 and 26)</w:t>
      </w:r>
    </w:p>
    <w:p w14:paraId="4094AA67" w14:textId="77777777" w:rsidR="009C22AF" w:rsidRPr="00CA2018" w:rsidRDefault="009C22AF" w:rsidP="007963BB">
      <w:pPr>
        <w:spacing w:line="240" w:lineRule="auto"/>
        <w:ind w:left="1440"/>
      </w:pPr>
      <w:r w:rsidRPr="00CA2018">
        <w:t xml:space="preserve">(iii) extend the In-Work Tax Credit </w:t>
      </w:r>
      <w:r>
        <w:t xml:space="preserve">to </w:t>
      </w:r>
      <w:r w:rsidRPr="00CA2018">
        <w:t>all low-income children irrespective of their parent’s income source (the effect of Key Recommendation 23)</w:t>
      </w:r>
    </w:p>
    <w:p w14:paraId="2259F993" w14:textId="77777777" w:rsidR="009C22AF" w:rsidRPr="00CA2018" w:rsidRDefault="009C22AF" w:rsidP="007963BB">
      <w:pPr>
        <w:pStyle w:val="ListParagraph"/>
        <w:numPr>
          <w:ilvl w:val="0"/>
          <w:numId w:val="17"/>
        </w:numPr>
      </w:pPr>
      <w:r w:rsidRPr="00CA2018">
        <w:t xml:space="preserve">Increase benefit levels for </w:t>
      </w:r>
      <w:r>
        <w:t>all youth payments 16-24 years to their adult equivalent</w:t>
      </w:r>
      <w:r w:rsidRPr="00CA2018">
        <w:t xml:space="preserve"> (</w:t>
      </w:r>
      <w:r>
        <w:t>part of Key Recommendation 20 and D</w:t>
      </w:r>
      <w:r w:rsidRPr="00CA2018">
        <w:t xml:space="preserve">etailed </w:t>
      </w:r>
      <w:r>
        <w:t>R</w:t>
      </w:r>
      <w:r w:rsidRPr="00CA2018">
        <w:t>ecommendation 33)</w:t>
      </w:r>
    </w:p>
    <w:p w14:paraId="70C8532B" w14:textId="77777777" w:rsidR="009C22AF" w:rsidRDefault="009C22AF" w:rsidP="007963BB">
      <w:pPr>
        <w:pStyle w:val="ListParagraph"/>
        <w:numPr>
          <w:ilvl w:val="0"/>
          <w:numId w:val="17"/>
        </w:numPr>
      </w:pPr>
      <w:r>
        <w:t>Improve t</w:t>
      </w:r>
      <w:r w:rsidRPr="00CA2018">
        <w:t xml:space="preserve">he </w:t>
      </w:r>
      <w:r>
        <w:t xml:space="preserve">definition of relationships within the </w:t>
      </w:r>
      <w:r w:rsidRPr="00CA2018">
        <w:t xml:space="preserve">welfare system </w:t>
      </w:r>
      <w:r>
        <w:t>so that it does not</w:t>
      </w:r>
      <w:r w:rsidRPr="00CA2018">
        <w:t xml:space="preserve"> operate as a barrier to </w:t>
      </w:r>
      <w:r>
        <w:t xml:space="preserve">forming </w:t>
      </w:r>
      <w:r w:rsidRPr="00CA2018">
        <w:t xml:space="preserve">positive family </w:t>
      </w:r>
      <w:r>
        <w:t>units</w:t>
      </w:r>
      <w:r w:rsidRPr="00CA2018">
        <w:t xml:space="preserve"> (effect of Key Recommendation 28 and part of Key Recommendation 19)</w:t>
      </w:r>
    </w:p>
    <w:p w14:paraId="502B7F7F" w14:textId="77777777" w:rsidR="009C22AF" w:rsidRPr="00CA2018" w:rsidRDefault="009C22AF" w:rsidP="007963BB">
      <w:pPr>
        <w:pStyle w:val="ListParagraph"/>
        <w:numPr>
          <w:ilvl w:val="0"/>
          <w:numId w:val="17"/>
        </w:numPr>
      </w:pPr>
      <w:r w:rsidRPr="00CA2018">
        <w:t>Significantly improve financial support for disabled people, people with health conditions and their carers (Key Recommendation 40 and part of Key Recommendation 26)</w:t>
      </w:r>
    </w:p>
    <w:p w14:paraId="2FC7141D" w14:textId="77777777" w:rsidR="009C22AF" w:rsidRPr="00CA2018" w:rsidRDefault="009C22AF" w:rsidP="007963BB">
      <w:pPr>
        <w:pStyle w:val="ListParagraph"/>
        <w:numPr>
          <w:ilvl w:val="0"/>
          <w:numId w:val="17"/>
        </w:numPr>
      </w:pPr>
      <w:r>
        <w:t>R</w:t>
      </w:r>
      <w:r w:rsidRPr="00CA2018">
        <w:t xml:space="preserve">apidly escalate </w:t>
      </w:r>
      <w:r>
        <w:t xml:space="preserve">building of social housing on an industrial scale </w:t>
      </w:r>
      <w:r w:rsidRPr="00CA2018">
        <w:t>(Key Recommendation 29 and Key WEAG Recommendation 31)</w:t>
      </w:r>
      <w:r>
        <w:t xml:space="preserve"> </w:t>
      </w:r>
      <w:r w:rsidRPr="00CA2018">
        <w:t>by:</w:t>
      </w:r>
    </w:p>
    <w:p w14:paraId="035B625F" w14:textId="77777777" w:rsidR="009C22AF" w:rsidRPr="00CA2018" w:rsidRDefault="009C22AF" w:rsidP="007963BB">
      <w:pPr>
        <w:pStyle w:val="ListParagraph"/>
        <w:numPr>
          <w:ilvl w:val="0"/>
          <w:numId w:val="26"/>
        </w:numPr>
        <w:ind w:left="1440"/>
        <w:rPr>
          <w:rFonts w:cstheme="minorHAnsi"/>
        </w:rPr>
      </w:pPr>
      <w:r w:rsidRPr="00CA2018">
        <w:rPr>
          <w:rFonts w:cstheme="minorHAnsi"/>
        </w:rPr>
        <w:t>recruitment and training of school leavers</w:t>
      </w:r>
    </w:p>
    <w:p w14:paraId="63D99513" w14:textId="77777777" w:rsidR="009C22AF" w:rsidRPr="00CA2018" w:rsidRDefault="009C22AF" w:rsidP="007963BB">
      <w:pPr>
        <w:pStyle w:val="ListParagraph"/>
        <w:numPr>
          <w:ilvl w:val="0"/>
          <w:numId w:val="26"/>
        </w:numPr>
        <w:ind w:left="1440"/>
        <w:rPr>
          <w:rFonts w:cstheme="minorHAnsi"/>
        </w:rPr>
      </w:pPr>
      <w:r w:rsidRPr="00CA2018">
        <w:rPr>
          <w:rFonts w:cstheme="minorHAnsi"/>
        </w:rPr>
        <w:t>investment in manufactured housing systems</w:t>
      </w:r>
    </w:p>
    <w:p w14:paraId="2D38ED71" w14:textId="77777777" w:rsidR="009C22AF" w:rsidRPr="00CA2018" w:rsidRDefault="009C22AF" w:rsidP="007963BB">
      <w:pPr>
        <w:pStyle w:val="ListParagraph"/>
        <w:numPr>
          <w:ilvl w:val="0"/>
          <w:numId w:val="26"/>
        </w:numPr>
        <w:ind w:left="1440"/>
      </w:pPr>
      <w:r w:rsidRPr="00CA2018">
        <w:rPr>
          <w:rFonts w:cstheme="minorHAnsi"/>
        </w:rPr>
        <w:t>greater state involvement in urban land development and redevelopment.</w:t>
      </w:r>
    </w:p>
    <w:p w14:paraId="64964E99" w14:textId="77777777" w:rsidR="00476C07" w:rsidRDefault="00476C07" w:rsidP="007963BB">
      <w:pPr>
        <w:pStyle w:val="ListParagraph"/>
        <w:ind w:left="1440" w:firstLine="0"/>
      </w:pPr>
    </w:p>
    <w:p w14:paraId="17126B85" w14:textId="621EB5DB" w:rsidR="00BF19C0" w:rsidRDefault="00A8124B" w:rsidP="007963BB">
      <w:pPr>
        <w:spacing w:line="240" w:lineRule="auto"/>
      </w:pPr>
      <w:r w:rsidRPr="00D86326">
        <w:t xml:space="preserve">Only then we will have ensured that people have an </w:t>
      </w:r>
      <w:r w:rsidR="00BF19C0" w:rsidRPr="00FE03EF">
        <w:rPr>
          <w:i/>
          <w:iCs/>
        </w:rPr>
        <w:t>‘</w:t>
      </w:r>
      <w:r w:rsidRPr="00FE03EF">
        <w:rPr>
          <w:i/>
          <w:iCs/>
        </w:rPr>
        <w:t>adequate income and standard of living, are treated with and can live in dignity and are able to participate meaningfully in their communities</w:t>
      </w:r>
      <w:r w:rsidR="00BF19C0" w:rsidRPr="00FE03EF">
        <w:rPr>
          <w:i/>
          <w:iCs/>
        </w:rPr>
        <w:t>’</w:t>
      </w:r>
      <w:r w:rsidR="00E0666F">
        <w:t>.</w:t>
      </w:r>
    </w:p>
    <w:p w14:paraId="7232F377" w14:textId="77777777" w:rsidR="009C22AF" w:rsidRDefault="009C22AF" w:rsidP="00FA78C8"/>
    <w:p w14:paraId="1ADE3C86" w14:textId="77777777" w:rsidR="009C22AF" w:rsidRDefault="009C22AF" w:rsidP="00FA78C8"/>
    <w:p w14:paraId="784023B7" w14:textId="77777777" w:rsidR="009C22AF" w:rsidRDefault="009C22AF" w:rsidP="00FA78C8"/>
    <w:p w14:paraId="5940E0B4" w14:textId="68528CAE" w:rsidR="003669A5" w:rsidRPr="00FD0A92" w:rsidRDefault="008F6638" w:rsidP="003669A5">
      <w:pPr>
        <w:pStyle w:val="Heading1"/>
        <w:spacing w:before="0"/>
        <w:rPr>
          <w:lang w:val="en-US"/>
        </w:rPr>
      </w:pPr>
      <w:bookmarkStart w:id="40" w:name="_Toc89330020"/>
      <w:r w:rsidRPr="00CA2018">
        <w:t>References</w:t>
      </w:r>
      <w:bookmarkEnd w:id="40"/>
    </w:p>
    <w:p w14:paraId="6A161FE8" w14:textId="77777777" w:rsidR="00FB528E" w:rsidRPr="00E24ABC" w:rsidRDefault="00FB528E" w:rsidP="00D34D47">
      <w:pPr>
        <w:spacing w:line="240" w:lineRule="auto"/>
        <w:rPr>
          <w:rFonts w:cstheme="minorHAnsi"/>
          <w:color w:val="222222"/>
          <w:sz w:val="22"/>
          <w:shd w:val="clear" w:color="auto" w:fill="FFFFFF"/>
        </w:rPr>
      </w:pPr>
      <w:bookmarkStart w:id="41" w:name="_Hlk89252021"/>
      <w:r w:rsidRPr="00E24ABC">
        <w:rPr>
          <w:rFonts w:cstheme="minorHAnsi"/>
          <w:color w:val="222222"/>
          <w:sz w:val="22"/>
          <w:shd w:val="clear" w:color="auto" w:fill="FFFFFF"/>
        </w:rPr>
        <w:t xml:space="preserve">Andelane, L. (2021). Rental property WOFS: Greens' Chlöe Swarbrick says rental property WOFs would protect 'good landlords' as well as tenants. </w:t>
      </w:r>
      <w:r w:rsidRPr="00E24ABC">
        <w:rPr>
          <w:rFonts w:cstheme="minorHAnsi"/>
          <w:i/>
          <w:iCs/>
          <w:color w:val="222222"/>
          <w:sz w:val="22"/>
          <w:shd w:val="clear" w:color="auto" w:fill="FFFFFF"/>
        </w:rPr>
        <w:t>Newshub</w:t>
      </w:r>
      <w:r w:rsidRPr="00E24ABC">
        <w:rPr>
          <w:rFonts w:cstheme="minorHAnsi"/>
          <w:color w:val="222222"/>
          <w:sz w:val="22"/>
          <w:shd w:val="clear" w:color="auto" w:fill="FFFFFF"/>
        </w:rPr>
        <w:t xml:space="preserve">. Retrieved from </w:t>
      </w:r>
      <w:hyperlink r:id="rId30" w:history="1">
        <w:r w:rsidRPr="00E24ABC">
          <w:rPr>
            <w:rStyle w:val="Hyperlink"/>
            <w:rFonts w:cstheme="minorHAnsi"/>
            <w:sz w:val="22"/>
            <w:shd w:val="clear" w:color="auto" w:fill="FFFFFF"/>
          </w:rPr>
          <w:t>https://www.newshub.co.nz/home/politics/2021/07/rental-property-wofs-greens-chl-e-swarbrick-says-rental-property-wofs-would-protect-good-landlords-as-well-as-tenants.html</w:t>
        </w:r>
      </w:hyperlink>
      <w:r w:rsidRPr="00E24ABC">
        <w:rPr>
          <w:rFonts w:cstheme="minorHAnsi"/>
          <w:color w:val="222222"/>
          <w:sz w:val="22"/>
          <w:shd w:val="clear" w:color="auto" w:fill="FFFFFF"/>
        </w:rPr>
        <w:t xml:space="preserve"> </w:t>
      </w:r>
    </w:p>
    <w:p w14:paraId="6DD2E683"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Astle, F. (2021). A benchmark Budget for Māori housing. </w:t>
      </w:r>
      <w:r w:rsidRPr="00E24ABC">
        <w:rPr>
          <w:rFonts w:cstheme="minorHAnsi"/>
          <w:i/>
          <w:iCs/>
          <w:color w:val="222222"/>
          <w:sz w:val="22"/>
          <w:shd w:val="clear" w:color="auto" w:fill="FFFFFF"/>
        </w:rPr>
        <w:t>Newsroom</w:t>
      </w:r>
      <w:r w:rsidRPr="00E24ABC">
        <w:rPr>
          <w:rFonts w:cstheme="minorHAnsi"/>
          <w:color w:val="222222"/>
          <w:sz w:val="22"/>
          <w:shd w:val="clear" w:color="auto" w:fill="FFFFFF"/>
        </w:rPr>
        <w:t xml:space="preserve">. Retrieved from </w:t>
      </w:r>
      <w:hyperlink r:id="rId31" w:history="1">
        <w:r w:rsidRPr="00E24ABC">
          <w:rPr>
            <w:rStyle w:val="Hyperlink"/>
            <w:rFonts w:cstheme="minorHAnsi"/>
            <w:sz w:val="22"/>
            <w:shd w:val="clear" w:color="auto" w:fill="FFFFFF"/>
          </w:rPr>
          <w:t>https://www.newsroom.co.nz/ideasroom/a-benchmark-budget-for-mori-housing</w:t>
        </w:r>
      </w:hyperlink>
      <w:r w:rsidRPr="00E24ABC">
        <w:rPr>
          <w:rFonts w:cstheme="minorHAnsi"/>
          <w:color w:val="222222"/>
          <w:sz w:val="22"/>
          <w:shd w:val="clear" w:color="auto" w:fill="FFFFFF"/>
        </w:rPr>
        <w:t xml:space="preserve"> </w:t>
      </w:r>
    </w:p>
    <w:p w14:paraId="4EE22A9F"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Blake-Person, N. (2021a). More children living in motels as housing crisis unrelenting. </w:t>
      </w:r>
      <w:r w:rsidRPr="00E24ABC">
        <w:rPr>
          <w:rFonts w:cstheme="minorHAnsi"/>
          <w:i/>
          <w:iCs/>
          <w:color w:val="222222"/>
          <w:sz w:val="22"/>
          <w:shd w:val="clear" w:color="auto" w:fill="FFFFFF"/>
        </w:rPr>
        <w:t>RNZ</w:t>
      </w:r>
      <w:r w:rsidRPr="00E24ABC">
        <w:rPr>
          <w:rFonts w:cstheme="minorHAnsi"/>
          <w:color w:val="222222"/>
          <w:sz w:val="22"/>
          <w:shd w:val="clear" w:color="auto" w:fill="FFFFFF"/>
        </w:rPr>
        <w:t xml:space="preserve">. Retrieved from </w:t>
      </w:r>
      <w:hyperlink r:id="rId32" w:history="1">
        <w:r w:rsidRPr="00E24ABC">
          <w:rPr>
            <w:rStyle w:val="Hyperlink"/>
            <w:rFonts w:cstheme="minorHAnsi"/>
            <w:sz w:val="22"/>
            <w:shd w:val="clear" w:color="auto" w:fill="FFFFFF"/>
          </w:rPr>
          <w:t>https://www.rnz.co.nz/national/programmes/checkpoint/audio/2018818398/more-children-living-in-motels-as-housing-crisis-unrelenting</w:t>
        </w:r>
      </w:hyperlink>
      <w:r w:rsidRPr="00E24ABC">
        <w:rPr>
          <w:rFonts w:cstheme="minorHAnsi"/>
          <w:color w:val="222222"/>
          <w:sz w:val="22"/>
          <w:shd w:val="clear" w:color="auto" w:fill="FFFFFF"/>
        </w:rPr>
        <w:t xml:space="preserve"> </w:t>
      </w:r>
    </w:p>
    <w:p w14:paraId="5589F97E"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Blake-Person, N. (2021b). MSD told to crack down on businesses that claimed wage subsidy unnecessarily. </w:t>
      </w:r>
      <w:r w:rsidRPr="00E24ABC">
        <w:rPr>
          <w:rFonts w:cstheme="minorHAnsi"/>
          <w:i/>
          <w:iCs/>
          <w:color w:val="222222"/>
          <w:sz w:val="22"/>
          <w:shd w:val="clear" w:color="auto" w:fill="FFFFFF"/>
        </w:rPr>
        <w:t>RNZ</w:t>
      </w:r>
      <w:r w:rsidRPr="00E24ABC">
        <w:rPr>
          <w:rFonts w:cstheme="minorHAnsi"/>
          <w:color w:val="222222"/>
          <w:sz w:val="22"/>
          <w:shd w:val="clear" w:color="auto" w:fill="FFFFFF"/>
        </w:rPr>
        <w:t xml:space="preserve">. Retrieved from </w:t>
      </w:r>
      <w:hyperlink r:id="rId33" w:history="1">
        <w:r w:rsidRPr="00E24ABC">
          <w:rPr>
            <w:rStyle w:val="Hyperlink"/>
            <w:rFonts w:cstheme="minorHAnsi"/>
            <w:sz w:val="22"/>
            <w:shd w:val="clear" w:color="auto" w:fill="FFFFFF"/>
          </w:rPr>
          <w:t>https://www.rnz.co.nz/national/programmes/checkpoint/audio/2018795060/msd-told-to-crack-down-on-unneeded-wage-subsidy-recipients</w:t>
        </w:r>
      </w:hyperlink>
      <w:r w:rsidRPr="00E24ABC">
        <w:rPr>
          <w:rFonts w:cstheme="minorHAnsi"/>
          <w:color w:val="222222"/>
          <w:sz w:val="22"/>
          <w:shd w:val="clear" w:color="auto" w:fill="FFFFFF"/>
        </w:rPr>
        <w:t xml:space="preserve"> </w:t>
      </w:r>
    </w:p>
    <w:p w14:paraId="2935278C"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Boswell, R. (2021). Government putting more beneficiaries into greater debt, with loans totalling almost $2 billion. </w:t>
      </w:r>
      <w:r w:rsidRPr="00E24ABC">
        <w:rPr>
          <w:rFonts w:cstheme="minorHAnsi"/>
          <w:i/>
          <w:iCs/>
          <w:color w:val="222222"/>
          <w:sz w:val="22"/>
          <w:shd w:val="clear" w:color="auto" w:fill="FFFFFF"/>
        </w:rPr>
        <w:t>1News</w:t>
      </w:r>
      <w:r w:rsidRPr="00E24ABC">
        <w:rPr>
          <w:rFonts w:cstheme="minorHAnsi"/>
          <w:color w:val="222222"/>
          <w:sz w:val="22"/>
          <w:shd w:val="clear" w:color="auto" w:fill="FFFFFF"/>
        </w:rPr>
        <w:t xml:space="preserve">. Retrieved from </w:t>
      </w:r>
      <w:hyperlink r:id="rId34" w:history="1">
        <w:r w:rsidRPr="00E24ABC">
          <w:rPr>
            <w:rStyle w:val="Hyperlink"/>
            <w:rFonts w:cstheme="minorHAnsi"/>
            <w:sz w:val="22"/>
            <w:shd w:val="clear" w:color="auto" w:fill="FFFFFF"/>
          </w:rPr>
          <w:t>https://www.tvnz.co.nz/one-news/new-zealand/government-putting-more-beneficiaries-into-greater-debt-loans-totalling-almost-2-billion</w:t>
        </w:r>
      </w:hyperlink>
      <w:r w:rsidRPr="00E24ABC">
        <w:rPr>
          <w:rFonts w:cstheme="minorHAnsi"/>
          <w:color w:val="222222"/>
          <w:sz w:val="22"/>
          <w:shd w:val="clear" w:color="auto" w:fill="FFFFFF"/>
        </w:rPr>
        <w:t xml:space="preserve"> </w:t>
      </w:r>
    </w:p>
    <w:p w14:paraId="773AF85A"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Boulton, A., Allport, T., Kaiwai, H., Harker, R., &amp; Potaka Osborne, G. (2021). Māori perceptions of ‘home’: Māori housing needs, wellbeing and policy. </w:t>
      </w:r>
      <w:r w:rsidRPr="00E24ABC">
        <w:rPr>
          <w:rFonts w:cstheme="minorHAnsi"/>
          <w:i/>
          <w:iCs/>
          <w:color w:val="222222"/>
          <w:sz w:val="22"/>
          <w:shd w:val="clear" w:color="auto" w:fill="FFFFFF"/>
        </w:rPr>
        <w:t>Kōtuitui: New Zealand Journal of Social Sciences Online,</w:t>
      </w:r>
      <w:r w:rsidRPr="00E24ABC">
        <w:rPr>
          <w:rFonts w:cstheme="minorHAnsi"/>
          <w:color w:val="222222"/>
          <w:sz w:val="22"/>
          <w:shd w:val="clear" w:color="auto" w:fill="FFFFFF"/>
        </w:rPr>
        <w:t xml:space="preserve"> 1-12.</w:t>
      </w:r>
    </w:p>
    <w:p w14:paraId="2C569460"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Brown, C. &amp; Johnson, A. (2021). Where will we live in the future? </w:t>
      </w:r>
      <w:r w:rsidRPr="00E24ABC">
        <w:rPr>
          <w:rFonts w:cstheme="minorHAnsi"/>
          <w:i/>
          <w:iCs/>
          <w:color w:val="222222"/>
          <w:sz w:val="22"/>
          <w:shd w:val="clear" w:color="auto" w:fill="FFFFFF"/>
        </w:rPr>
        <w:t>Disability Connect</w:t>
      </w:r>
      <w:r w:rsidRPr="00E24ABC">
        <w:rPr>
          <w:rFonts w:cstheme="minorHAnsi"/>
          <w:color w:val="222222"/>
          <w:sz w:val="22"/>
          <w:shd w:val="clear" w:color="auto" w:fill="FFFFFF"/>
        </w:rPr>
        <w:t xml:space="preserve">. Retrieved from </w:t>
      </w:r>
      <w:hyperlink r:id="rId35" w:history="1">
        <w:r w:rsidRPr="00E24ABC">
          <w:rPr>
            <w:rStyle w:val="Hyperlink"/>
            <w:rFonts w:cstheme="minorHAnsi"/>
            <w:sz w:val="22"/>
            <w:shd w:val="clear" w:color="auto" w:fill="FFFFFF"/>
          </w:rPr>
          <w:t>https://disabilityconnect.org.nz/wp-content/uploads/where-will-we-live-in-the-future.pdf</w:t>
        </w:r>
      </w:hyperlink>
      <w:r w:rsidRPr="00E24ABC">
        <w:rPr>
          <w:rFonts w:cstheme="minorHAnsi"/>
          <w:color w:val="222222"/>
          <w:sz w:val="22"/>
          <w:shd w:val="clear" w:color="auto" w:fill="FFFFFF"/>
        </w:rPr>
        <w:t xml:space="preserve"> </w:t>
      </w:r>
    </w:p>
    <w:p w14:paraId="1086EE23"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Cardwell, H. (2020). 'Unfair outcomes' for Māori seeking Covid income support. </w:t>
      </w:r>
      <w:r w:rsidRPr="00E24ABC">
        <w:rPr>
          <w:rFonts w:cstheme="minorHAnsi"/>
          <w:i/>
          <w:iCs/>
          <w:color w:val="222222"/>
          <w:sz w:val="22"/>
          <w:shd w:val="clear" w:color="auto" w:fill="FFFFFF"/>
        </w:rPr>
        <w:t>RNZ</w:t>
      </w:r>
      <w:r w:rsidRPr="00E24ABC">
        <w:rPr>
          <w:rFonts w:cstheme="minorHAnsi"/>
          <w:color w:val="222222"/>
          <w:sz w:val="22"/>
          <w:shd w:val="clear" w:color="auto" w:fill="FFFFFF"/>
        </w:rPr>
        <w:t xml:space="preserve">. Retrieved from </w:t>
      </w:r>
      <w:hyperlink r:id="rId36" w:history="1">
        <w:r w:rsidRPr="00E24ABC">
          <w:rPr>
            <w:rStyle w:val="Hyperlink"/>
            <w:rFonts w:cstheme="minorHAnsi"/>
            <w:sz w:val="22"/>
          </w:rPr>
          <w:t>https://www.rnz.co.nz/news/te-manu-korihi/429746/unfair-outcomes-for-maori-seeking-covid-income-support</w:t>
        </w:r>
      </w:hyperlink>
      <w:r w:rsidRPr="00E24ABC">
        <w:rPr>
          <w:rStyle w:val="Hyperlink"/>
          <w:rFonts w:cstheme="minorHAnsi"/>
          <w:sz w:val="22"/>
        </w:rPr>
        <w:t xml:space="preserve"> </w:t>
      </w:r>
    </w:p>
    <w:p w14:paraId="236A5E3A"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Casey-Cox, A. (2021). Welfare doled out with doses of cruelty and inhumanity. </w:t>
      </w:r>
      <w:r w:rsidRPr="00E24ABC">
        <w:rPr>
          <w:rFonts w:cstheme="minorHAnsi"/>
          <w:i/>
          <w:iCs/>
          <w:color w:val="222222"/>
          <w:sz w:val="22"/>
          <w:shd w:val="clear" w:color="auto" w:fill="FFFFFF"/>
        </w:rPr>
        <w:t>NZ Herald</w:t>
      </w:r>
      <w:r w:rsidRPr="00E24ABC">
        <w:rPr>
          <w:rFonts w:cstheme="minorHAnsi"/>
          <w:color w:val="222222"/>
          <w:sz w:val="22"/>
          <w:shd w:val="clear" w:color="auto" w:fill="FFFFFF"/>
        </w:rPr>
        <w:t xml:space="preserve">. Retrieved from </w:t>
      </w:r>
      <w:hyperlink r:id="rId37" w:history="1">
        <w:r w:rsidRPr="00E24ABC">
          <w:rPr>
            <w:rStyle w:val="Hyperlink"/>
            <w:rFonts w:cstheme="minorHAnsi"/>
            <w:sz w:val="22"/>
            <w:shd w:val="clear" w:color="auto" w:fill="FFFFFF"/>
          </w:rPr>
          <w:t>https://www.nzherald.co.nz/nz/anna-casey-cox-welfare-doled-out-with-doses-of-cruelty-and-inhumanity/FW5AR7RYB3RUXTFLHNHCXJHYNY/</w:t>
        </w:r>
      </w:hyperlink>
      <w:r w:rsidRPr="00E24ABC">
        <w:rPr>
          <w:rFonts w:cstheme="minorHAnsi"/>
          <w:color w:val="222222"/>
          <w:sz w:val="22"/>
          <w:shd w:val="clear" w:color="auto" w:fill="FFFFFF"/>
        </w:rPr>
        <w:t xml:space="preserve"> </w:t>
      </w:r>
    </w:p>
    <w:p w14:paraId="42ADA2AC"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Child Poverty Action Group (2021). 2021 Briefing to the Incoming Minister: Housing. Retrieved from </w:t>
      </w:r>
      <w:hyperlink r:id="rId38" w:history="1">
        <w:r w:rsidRPr="00E24ABC">
          <w:rPr>
            <w:rStyle w:val="Hyperlink"/>
            <w:rFonts w:cstheme="minorHAnsi"/>
            <w:sz w:val="22"/>
            <w:shd w:val="clear" w:color="auto" w:fill="FFFFFF"/>
          </w:rPr>
          <w:t>https://www.cpag.org.nz/assets/CPAG%20Housing%20Briefing%20to%20Incoming%20Minister%20final%20%282%29.pdf</w:t>
        </w:r>
      </w:hyperlink>
      <w:r w:rsidRPr="00E24ABC">
        <w:rPr>
          <w:rFonts w:cstheme="minorHAnsi"/>
          <w:color w:val="222222"/>
          <w:sz w:val="22"/>
          <w:shd w:val="clear" w:color="auto" w:fill="FFFFFF"/>
        </w:rPr>
        <w:t xml:space="preserve"> </w:t>
      </w:r>
    </w:p>
    <w:p w14:paraId="1A4684E4" w14:textId="77777777" w:rsidR="00FB528E" w:rsidRPr="00E24ABC" w:rsidRDefault="00FB528E" w:rsidP="00D34D47">
      <w:pPr>
        <w:spacing w:line="240" w:lineRule="auto"/>
        <w:rPr>
          <w:rStyle w:val="Hyperlink"/>
          <w:rFonts w:cstheme="minorHAnsi"/>
          <w:sz w:val="22"/>
        </w:rPr>
      </w:pPr>
      <w:r w:rsidRPr="00E24ABC">
        <w:rPr>
          <w:rFonts w:cstheme="minorHAnsi"/>
          <w:color w:val="222222"/>
          <w:sz w:val="22"/>
          <w:shd w:val="clear" w:color="auto" w:fill="FFFFFF"/>
        </w:rPr>
        <w:t xml:space="preserve">Child Poverty Action Group (n.d.). Auckland City Mission Food Parcel Demand. Retrieved from </w:t>
      </w:r>
      <w:hyperlink r:id="rId39" w:history="1">
        <w:r w:rsidRPr="00E24ABC">
          <w:rPr>
            <w:rStyle w:val="Hyperlink"/>
            <w:rFonts w:cstheme="minorHAnsi"/>
            <w:sz w:val="22"/>
          </w:rPr>
          <w:t>https://www.cpag.org.nz/the-latest/current-statistics/food-parcels/</w:t>
        </w:r>
      </w:hyperlink>
    </w:p>
    <w:p w14:paraId="1E64E197"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Chrisholm, D. (2021). Doubts cast over claims of culture change at work and Income NZ. </w:t>
      </w:r>
      <w:r w:rsidRPr="00E24ABC">
        <w:rPr>
          <w:rFonts w:cstheme="minorHAnsi"/>
          <w:i/>
          <w:iCs/>
          <w:color w:val="222222"/>
          <w:sz w:val="22"/>
          <w:shd w:val="clear" w:color="auto" w:fill="FFFFFF"/>
        </w:rPr>
        <w:t>The Spinoff</w:t>
      </w:r>
      <w:r w:rsidRPr="00E24ABC">
        <w:rPr>
          <w:rFonts w:cstheme="minorHAnsi"/>
          <w:color w:val="222222"/>
          <w:sz w:val="22"/>
          <w:shd w:val="clear" w:color="auto" w:fill="FFFFFF"/>
        </w:rPr>
        <w:t xml:space="preserve">. Retrieved from </w:t>
      </w:r>
      <w:hyperlink r:id="rId40" w:history="1">
        <w:r w:rsidRPr="00E24ABC">
          <w:rPr>
            <w:rStyle w:val="Hyperlink"/>
            <w:rFonts w:cstheme="minorHAnsi"/>
            <w:sz w:val="22"/>
            <w:shd w:val="clear" w:color="auto" w:fill="FFFFFF"/>
          </w:rPr>
          <w:t>https://thespinoff.co.nz/society/20-01-2021/doubts-cast-over-claims-of-culture-change-at-work-and-income-nz/</w:t>
        </w:r>
      </w:hyperlink>
      <w:r w:rsidRPr="00E24ABC">
        <w:rPr>
          <w:rFonts w:cstheme="minorHAnsi"/>
          <w:color w:val="222222"/>
          <w:sz w:val="22"/>
          <w:shd w:val="clear" w:color="auto" w:fill="FFFFFF"/>
        </w:rPr>
        <w:t xml:space="preserve"> </w:t>
      </w:r>
    </w:p>
    <w:p w14:paraId="1F2F31A1"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Collins, B. (2021). Debate rages over controversial beneficiary sanction. </w:t>
      </w:r>
      <w:r w:rsidRPr="00E24ABC">
        <w:rPr>
          <w:rFonts w:cstheme="minorHAnsi"/>
          <w:i/>
          <w:iCs/>
          <w:color w:val="222222"/>
          <w:sz w:val="22"/>
          <w:shd w:val="clear" w:color="auto" w:fill="FFFFFF"/>
        </w:rPr>
        <w:t>1 News</w:t>
      </w:r>
      <w:r w:rsidRPr="00E24ABC">
        <w:rPr>
          <w:rFonts w:cstheme="minorHAnsi"/>
          <w:color w:val="222222"/>
          <w:sz w:val="22"/>
          <w:shd w:val="clear" w:color="auto" w:fill="FFFFFF"/>
        </w:rPr>
        <w:t xml:space="preserve">. Retrieved from </w:t>
      </w:r>
      <w:hyperlink r:id="rId41" w:history="1">
        <w:r w:rsidRPr="00E24ABC">
          <w:rPr>
            <w:rStyle w:val="Hyperlink"/>
            <w:sz w:val="22"/>
          </w:rPr>
          <w:t>https://www.1news.co.nz/2021/11/16/debate-rages-over-controversial-beneficiary-sanction/</w:t>
        </w:r>
      </w:hyperlink>
      <w:r w:rsidRPr="00E24ABC">
        <w:rPr>
          <w:sz w:val="22"/>
        </w:rPr>
        <w:t xml:space="preserve"> </w:t>
      </w:r>
    </w:p>
    <w:p w14:paraId="708FA3CF"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sz w:val="22"/>
        </w:rPr>
        <w:t xml:space="preserve">Cooke (2021). Labour to boost benefits by up to $55 a week in explicit push to reverse 1990s cuts. </w:t>
      </w:r>
      <w:r w:rsidRPr="00E24ABC">
        <w:rPr>
          <w:rFonts w:cstheme="minorHAnsi"/>
          <w:i/>
          <w:iCs/>
          <w:sz w:val="22"/>
        </w:rPr>
        <w:t>Stuff</w:t>
      </w:r>
      <w:r w:rsidRPr="00E24ABC">
        <w:rPr>
          <w:rFonts w:cstheme="minorHAnsi"/>
          <w:sz w:val="22"/>
        </w:rPr>
        <w:t xml:space="preserve">. Retrieved from </w:t>
      </w:r>
      <w:hyperlink r:id="rId42" w:history="1">
        <w:r w:rsidRPr="00E24ABC">
          <w:rPr>
            <w:rStyle w:val="Hyperlink"/>
            <w:rFonts w:cstheme="minorHAnsi"/>
            <w:sz w:val="22"/>
          </w:rPr>
          <w:t>https://www.stuff.co.nz/national/politics/300312340/budget-2021-labour-to-boost-benefits-by-up-to-55-a-week-in-explicit-push-to-reverse-1990s-cuts</w:t>
        </w:r>
      </w:hyperlink>
    </w:p>
    <w:p w14:paraId="518C307D"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Coughlan, T. (2019). Where to next for dead welfare report? </w:t>
      </w:r>
      <w:r w:rsidRPr="00E24ABC">
        <w:rPr>
          <w:rFonts w:cstheme="minorHAnsi"/>
          <w:i/>
          <w:iCs/>
          <w:color w:val="222222"/>
          <w:sz w:val="22"/>
          <w:shd w:val="clear" w:color="auto" w:fill="FFFFFF"/>
        </w:rPr>
        <w:t>Newsroom</w:t>
      </w:r>
      <w:r w:rsidRPr="00E24ABC">
        <w:rPr>
          <w:rFonts w:cstheme="minorHAnsi"/>
          <w:color w:val="222222"/>
          <w:sz w:val="22"/>
          <w:shd w:val="clear" w:color="auto" w:fill="FFFFFF"/>
        </w:rPr>
        <w:t xml:space="preserve">. Retrieved from </w:t>
      </w:r>
      <w:hyperlink r:id="rId43" w:history="1">
        <w:r w:rsidRPr="00E24ABC">
          <w:rPr>
            <w:rStyle w:val="Hyperlink"/>
            <w:rFonts w:cstheme="minorHAnsi"/>
            <w:sz w:val="22"/>
            <w:shd w:val="clear" w:color="auto" w:fill="FFFFFF"/>
          </w:rPr>
          <w:t>https://www.newsroom.co.nz/where-to-next-for-dead-welfare-report</w:t>
        </w:r>
      </w:hyperlink>
      <w:r w:rsidRPr="00E24ABC">
        <w:rPr>
          <w:rFonts w:cstheme="minorHAnsi"/>
          <w:color w:val="222222"/>
          <w:sz w:val="22"/>
          <w:shd w:val="clear" w:color="auto" w:fill="FFFFFF"/>
        </w:rPr>
        <w:t xml:space="preserve"> </w:t>
      </w:r>
    </w:p>
    <w:p w14:paraId="0A2D01A8"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Coughlan, T. (2020). Beneficiaries receiving fewer meetings with employment officers, despite more resources. </w:t>
      </w:r>
      <w:r w:rsidRPr="00E24ABC">
        <w:rPr>
          <w:rFonts w:cstheme="minorHAnsi"/>
          <w:i/>
          <w:iCs/>
          <w:color w:val="222222"/>
          <w:sz w:val="22"/>
          <w:shd w:val="clear" w:color="auto" w:fill="FFFFFF"/>
        </w:rPr>
        <w:t>Stuff</w:t>
      </w:r>
      <w:r w:rsidRPr="00E24ABC">
        <w:rPr>
          <w:rFonts w:cstheme="minorHAnsi"/>
          <w:color w:val="222222"/>
          <w:sz w:val="22"/>
          <w:shd w:val="clear" w:color="auto" w:fill="FFFFFF"/>
        </w:rPr>
        <w:t xml:space="preserve">. Retrieved from </w:t>
      </w:r>
      <w:hyperlink r:id="rId44" w:history="1">
        <w:r w:rsidRPr="00E24ABC">
          <w:rPr>
            <w:rStyle w:val="Hyperlink"/>
            <w:rFonts w:cstheme="minorHAnsi"/>
            <w:sz w:val="22"/>
            <w:shd w:val="clear" w:color="auto" w:fill="FFFFFF"/>
          </w:rPr>
          <w:t>https://www.stuff.co.nz/national/118971005/beneficiaries-receiving-fewer-meetings-with-employment-officers-despite-more-resources</w:t>
        </w:r>
      </w:hyperlink>
      <w:r w:rsidRPr="00E24ABC">
        <w:rPr>
          <w:rFonts w:cstheme="minorHAnsi"/>
          <w:color w:val="222222"/>
          <w:sz w:val="22"/>
          <w:shd w:val="clear" w:color="auto" w:fill="FFFFFF"/>
        </w:rPr>
        <w:t xml:space="preserve"> </w:t>
      </w:r>
    </w:p>
    <w:p w14:paraId="7BA54020"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Coughlan, T. (2021). Labour breaks promise to fund dental grants this year, but says it will come in later budgets. </w:t>
      </w:r>
      <w:r w:rsidRPr="00E24ABC">
        <w:rPr>
          <w:rFonts w:cstheme="minorHAnsi"/>
          <w:i/>
          <w:iCs/>
          <w:color w:val="222222"/>
          <w:sz w:val="22"/>
          <w:shd w:val="clear" w:color="auto" w:fill="FFFFFF"/>
        </w:rPr>
        <w:t>Stuff</w:t>
      </w:r>
      <w:r w:rsidRPr="00E24ABC">
        <w:rPr>
          <w:rFonts w:cstheme="minorHAnsi"/>
          <w:color w:val="222222"/>
          <w:sz w:val="22"/>
          <w:shd w:val="clear" w:color="auto" w:fill="FFFFFF"/>
        </w:rPr>
        <w:t xml:space="preserve">. Retrieved from </w:t>
      </w:r>
      <w:hyperlink r:id="rId45" w:history="1">
        <w:r w:rsidRPr="00E24ABC">
          <w:rPr>
            <w:rStyle w:val="Hyperlink"/>
            <w:rFonts w:cstheme="minorHAnsi"/>
            <w:sz w:val="22"/>
            <w:shd w:val="clear" w:color="auto" w:fill="FFFFFF"/>
          </w:rPr>
          <w:t>https://www.stuff.co.nz/national/politics/300315663/labour-breaks-promise-to-fund-dental-grants-this-year-but-says-it-will-come-in-later-budgets</w:t>
        </w:r>
      </w:hyperlink>
      <w:r w:rsidRPr="00E24ABC">
        <w:rPr>
          <w:rFonts w:cstheme="minorHAnsi"/>
          <w:color w:val="222222"/>
          <w:sz w:val="22"/>
          <w:shd w:val="clear" w:color="auto" w:fill="FFFFFF"/>
        </w:rPr>
        <w:t xml:space="preserve"> </w:t>
      </w:r>
    </w:p>
    <w:p w14:paraId="0D9A1160"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Devlin, C. (2020). Coronavirus: Benefit stand-down period for virus job losses scrapped. </w:t>
      </w:r>
      <w:r w:rsidRPr="00E24ABC">
        <w:rPr>
          <w:rFonts w:cstheme="minorHAnsi"/>
          <w:i/>
          <w:iCs/>
          <w:color w:val="222222"/>
          <w:sz w:val="22"/>
          <w:shd w:val="clear" w:color="auto" w:fill="FFFFFF"/>
        </w:rPr>
        <w:t>Stuff</w:t>
      </w:r>
      <w:r w:rsidRPr="00E24ABC">
        <w:rPr>
          <w:rFonts w:cstheme="minorHAnsi"/>
          <w:color w:val="222222"/>
          <w:sz w:val="22"/>
          <w:shd w:val="clear" w:color="auto" w:fill="FFFFFF"/>
        </w:rPr>
        <w:t xml:space="preserve">. Retrieved from </w:t>
      </w:r>
      <w:hyperlink r:id="rId46" w:history="1">
        <w:r w:rsidRPr="00E24ABC">
          <w:rPr>
            <w:rStyle w:val="Hyperlink"/>
            <w:rFonts w:cstheme="minorHAnsi"/>
            <w:sz w:val="22"/>
            <w:shd w:val="clear" w:color="auto" w:fill="FFFFFF"/>
          </w:rPr>
          <w:t>https://www.stuff.co.nz/national/politics/120007238/coronavirus-special-cabinet-committee-meeting-on-virus</w:t>
        </w:r>
      </w:hyperlink>
      <w:r w:rsidRPr="00E24ABC">
        <w:rPr>
          <w:rFonts w:cstheme="minorHAnsi"/>
          <w:color w:val="222222"/>
          <w:sz w:val="22"/>
          <w:shd w:val="clear" w:color="auto" w:fill="FFFFFF"/>
        </w:rPr>
        <w:t xml:space="preserve"> </w:t>
      </w:r>
    </w:p>
    <w:p w14:paraId="6A994C31"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Edwards, B. (2021). State builds missing from govt housing package. </w:t>
      </w:r>
      <w:r w:rsidRPr="00E24ABC">
        <w:rPr>
          <w:rFonts w:cstheme="minorHAnsi"/>
          <w:i/>
          <w:iCs/>
          <w:color w:val="222222"/>
          <w:sz w:val="22"/>
          <w:shd w:val="clear" w:color="auto" w:fill="FFFFFF"/>
        </w:rPr>
        <w:t>RNZ</w:t>
      </w:r>
      <w:r w:rsidRPr="00E24ABC">
        <w:rPr>
          <w:rFonts w:cstheme="minorHAnsi"/>
          <w:color w:val="222222"/>
          <w:sz w:val="22"/>
          <w:shd w:val="clear" w:color="auto" w:fill="FFFFFF"/>
        </w:rPr>
        <w:t xml:space="preserve">. Retrieved from </w:t>
      </w:r>
      <w:hyperlink r:id="rId47" w:history="1">
        <w:r w:rsidRPr="00E24ABC">
          <w:rPr>
            <w:rStyle w:val="Hyperlink"/>
            <w:rFonts w:cstheme="minorHAnsi"/>
            <w:sz w:val="22"/>
            <w:shd w:val="clear" w:color="auto" w:fill="FFFFFF"/>
          </w:rPr>
          <w:t>https://www.rnz.co.nz/news/on-the-inside/439661/state-builds-missing-from-govt-housing-package</w:t>
        </w:r>
      </w:hyperlink>
      <w:r w:rsidRPr="00E24ABC">
        <w:rPr>
          <w:rFonts w:cstheme="minorHAnsi"/>
          <w:color w:val="222222"/>
          <w:sz w:val="22"/>
          <w:shd w:val="clear" w:color="auto" w:fill="FFFFFF"/>
        </w:rPr>
        <w:t xml:space="preserve"> </w:t>
      </w:r>
    </w:p>
    <w:p w14:paraId="160CD61C"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Ford, C. (2021). Ministry for Disabled People: 'Really good start' but there are omissions. </w:t>
      </w:r>
      <w:r w:rsidRPr="00E24ABC">
        <w:rPr>
          <w:rFonts w:cstheme="minorHAnsi"/>
          <w:i/>
          <w:iCs/>
          <w:color w:val="222222"/>
          <w:sz w:val="22"/>
          <w:shd w:val="clear" w:color="auto" w:fill="FFFFFF"/>
        </w:rPr>
        <w:t>RNZ</w:t>
      </w:r>
      <w:r w:rsidRPr="00E24ABC">
        <w:rPr>
          <w:rFonts w:cstheme="minorHAnsi"/>
          <w:color w:val="222222"/>
          <w:sz w:val="22"/>
          <w:shd w:val="clear" w:color="auto" w:fill="FFFFFF"/>
        </w:rPr>
        <w:t xml:space="preserve">. Retrieved from </w:t>
      </w:r>
      <w:hyperlink r:id="rId48" w:history="1">
        <w:r w:rsidRPr="00E24ABC">
          <w:rPr>
            <w:rStyle w:val="Hyperlink"/>
            <w:rFonts w:cstheme="minorHAnsi"/>
            <w:sz w:val="22"/>
            <w:shd w:val="clear" w:color="auto" w:fill="FFFFFF"/>
          </w:rPr>
          <w:t>https://www.rnz.co.nz/news/on-the-inside/454692/ministry-for-disabled-people-really-good-start-but-there-are-omissions</w:t>
        </w:r>
      </w:hyperlink>
      <w:r w:rsidRPr="00E24ABC">
        <w:rPr>
          <w:rFonts w:cstheme="minorHAnsi"/>
          <w:color w:val="222222"/>
          <w:sz w:val="22"/>
          <w:shd w:val="clear" w:color="auto" w:fill="FFFFFF"/>
        </w:rPr>
        <w:t xml:space="preserve"> </w:t>
      </w:r>
    </w:p>
    <w:p w14:paraId="057EAFA4"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Gray, C., &amp; Crichton-Hill, Y. (2019). " You look a little bit dark for my liking": Maori and Pasifika women's experiences of welfare receipt in Aotearoa New Zealand. </w:t>
      </w:r>
      <w:r w:rsidRPr="00E24ABC">
        <w:rPr>
          <w:rFonts w:cstheme="minorHAnsi"/>
          <w:i/>
          <w:iCs/>
          <w:color w:val="222222"/>
          <w:sz w:val="22"/>
          <w:shd w:val="clear" w:color="auto" w:fill="FFFFFF"/>
        </w:rPr>
        <w:t>Aotearoa New Zealand Social Work</w:t>
      </w:r>
      <w:r w:rsidRPr="00E24ABC">
        <w:rPr>
          <w:rFonts w:cstheme="minorHAnsi"/>
          <w:color w:val="222222"/>
          <w:sz w:val="22"/>
          <w:shd w:val="clear" w:color="auto" w:fill="FFFFFF"/>
        </w:rPr>
        <w:t>, </w:t>
      </w:r>
      <w:r w:rsidRPr="00E24ABC">
        <w:rPr>
          <w:rFonts w:cstheme="minorHAnsi"/>
          <w:i/>
          <w:iCs/>
          <w:color w:val="222222"/>
          <w:sz w:val="22"/>
          <w:shd w:val="clear" w:color="auto" w:fill="FFFFFF"/>
        </w:rPr>
        <w:t>31</w:t>
      </w:r>
      <w:r w:rsidRPr="00E24ABC">
        <w:rPr>
          <w:rFonts w:cstheme="minorHAnsi"/>
          <w:color w:val="222222"/>
          <w:sz w:val="22"/>
          <w:shd w:val="clear" w:color="auto" w:fill="FFFFFF"/>
        </w:rPr>
        <w:t>(1), 5-16.</w:t>
      </w:r>
    </w:p>
    <w:p w14:paraId="6824D448"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Gray, C., Apse, M., Johnson, J., Moore, T., Bridley, G., &amp; Buchana, M. (2021). </w:t>
      </w:r>
      <w:r w:rsidRPr="00E24ABC">
        <w:rPr>
          <w:rFonts w:cstheme="minorHAnsi"/>
          <w:i/>
          <w:iCs/>
          <w:color w:val="222222"/>
          <w:sz w:val="22"/>
          <w:shd w:val="clear" w:color="auto" w:fill="FFFFFF"/>
        </w:rPr>
        <w:t>Understanding welfare sanctions in Aotearoa New Zealand</w:t>
      </w:r>
      <w:r w:rsidRPr="00E24ABC">
        <w:rPr>
          <w:rFonts w:cstheme="minorHAnsi"/>
          <w:color w:val="222222"/>
          <w:sz w:val="22"/>
          <w:shd w:val="clear" w:color="auto" w:fill="FFFFFF"/>
        </w:rPr>
        <w:t xml:space="preserve">. Beneficiary Advocacy Service: Christchurch. Retrieved from </w:t>
      </w:r>
      <w:hyperlink r:id="rId49" w:history="1">
        <w:r w:rsidRPr="00E24ABC">
          <w:rPr>
            <w:rStyle w:val="Hyperlink"/>
            <w:rFonts w:cstheme="minorHAnsi"/>
            <w:sz w:val="22"/>
            <w:shd w:val="clear" w:color="auto" w:fill="FFFFFF"/>
          </w:rPr>
          <w:t>https://communityresearch.org.nz/research/understanding-welfare-sanctions-in-aotearoa-new-zealand/</w:t>
        </w:r>
      </w:hyperlink>
      <w:r w:rsidRPr="00E24ABC">
        <w:rPr>
          <w:rFonts w:cstheme="minorHAnsi"/>
          <w:color w:val="222222"/>
          <w:sz w:val="22"/>
          <w:shd w:val="clear" w:color="auto" w:fill="FFFFFF"/>
        </w:rPr>
        <w:t xml:space="preserve"> </w:t>
      </w:r>
    </w:p>
    <w:p w14:paraId="67F0C6B7"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Healey, O., &amp; Curtin, J. (2019). Relationship status’ and the Welfare System in Aotearoa New Zealand. </w:t>
      </w:r>
      <w:r w:rsidRPr="00E24ABC">
        <w:rPr>
          <w:rFonts w:cstheme="minorHAnsi"/>
          <w:i/>
          <w:iCs/>
          <w:color w:val="222222"/>
          <w:sz w:val="22"/>
          <w:shd w:val="clear" w:color="auto" w:fill="FFFFFF"/>
        </w:rPr>
        <w:t>A Report prepared for the Peter McKenzie Project May 2019</w:t>
      </w:r>
      <w:r w:rsidRPr="00E24ABC">
        <w:rPr>
          <w:rFonts w:cstheme="minorHAnsi"/>
          <w:color w:val="222222"/>
          <w:sz w:val="22"/>
          <w:shd w:val="clear" w:color="auto" w:fill="FFFFFF"/>
        </w:rPr>
        <w:t xml:space="preserve">. Retrieved from </w:t>
      </w:r>
      <w:hyperlink r:id="rId50" w:history="1">
        <w:r w:rsidRPr="00E24ABC">
          <w:rPr>
            <w:rStyle w:val="Hyperlink"/>
            <w:rFonts w:cstheme="minorHAnsi"/>
            <w:sz w:val="22"/>
            <w:shd w:val="clear" w:color="auto" w:fill="FFFFFF"/>
          </w:rPr>
          <w:t>https://objectext.auckland.ac.nz/figshare/17434133/RepartneringReportPPI_CPAGFinalJuly.pdf</w:t>
        </w:r>
      </w:hyperlink>
      <w:r w:rsidRPr="00E24ABC">
        <w:rPr>
          <w:rFonts w:cstheme="minorHAnsi"/>
          <w:color w:val="222222"/>
          <w:sz w:val="22"/>
          <w:shd w:val="clear" w:color="auto" w:fill="FFFFFF"/>
        </w:rPr>
        <w:t xml:space="preserve"> </w:t>
      </w:r>
    </w:p>
    <w:p w14:paraId="1B043E4A" w14:textId="77777777" w:rsidR="00FB528E" w:rsidRPr="00E24ABC" w:rsidRDefault="00FB528E" w:rsidP="00D34D47">
      <w:pPr>
        <w:spacing w:line="240" w:lineRule="auto"/>
        <w:rPr>
          <w:rStyle w:val="Hyperlink"/>
          <w:rFonts w:cstheme="minorHAnsi"/>
          <w:sz w:val="22"/>
        </w:rPr>
      </w:pPr>
      <w:r w:rsidRPr="00E24ABC">
        <w:rPr>
          <w:rFonts w:cstheme="minorHAnsi"/>
          <w:color w:val="222222"/>
          <w:sz w:val="22"/>
          <w:shd w:val="clear" w:color="auto" w:fill="FFFFFF"/>
        </w:rPr>
        <w:t xml:space="preserve">Humpage, L. &amp; Neuwelt-Kearns, C. (2020). </w:t>
      </w:r>
      <w:r w:rsidRPr="00E24ABC">
        <w:rPr>
          <w:rFonts w:cstheme="minorHAnsi"/>
          <w:i/>
          <w:iCs/>
          <w:color w:val="222222"/>
          <w:sz w:val="22"/>
          <w:shd w:val="clear" w:color="auto" w:fill="FFFFFF"/>
        </w:rPr>
        <w:t>Income support in the wake of Covid-19: survey.</w:t>
      </w:r>
      <w:r w:rsidRPr="00E24ABC">
        <w:rPr>
          <w:rFonts w:cstheme="minorHAnsi"/>
          <w:color w:val="222222"/>
          <w:sz w:val="22"/>
          <w:shd w:val="clear" w:color="auto" w:fill="FFFFFF"/>
        </w:rPr>
        <w:t xml:space="preserve"> The University of Auckland, Child Poverty Action Group, Auckland Action Against Poverty and First Union</w:t>
      </w:r>
      <w:r w:rsidRPr="00E24ABC">
        <w:rPr>
          <w:rFonts w:cstheme="minorHAnsi"/>
          <w:i/>
          <w:iCs/>
          <w:color w:val="222222"/>
          <w:sz w:val="22"/>
          <w:shd w:val="clear" w:color="auto" w:fill="FFFFFF"/>
        </w:rPr>
        <w:t>.</w:t>
      </w:r>
      <w:r w:rsidRPr="00E24ABC">
        <w:rPr>
          <w:rFonts w:cstheme="minorHAnsi"/>
          <w:sz w:val="22"/>
        </w:rPr>
        <w:t xml:space="preserve"> Retrieved from </w:t>
      </w:r>
      <w:hyperlink r:id="rId51" w:history="1">
        <w:r w:rsidRPr="00E24ABC">
          <w:rPr>
            <w:rStyle w:val="Hyperlink"/>
            <w:rFonts w:cstheme="minorHAnsi"/>
            <w:sz w:val="22"/>
          </w:rPr>
          <w:t>https://www.cpag.org.nz/assets/Covid%2019%20survey%20report%2012%20October%20final.pdf</w:t>
        </w:r>
      </w:hyperlink>
      <w:r w:rsidRPr="00E24ABC">
        <w:rPr>
          <w:rStyle w:val="Hyperlink"/>
          <w:rFonts w:cstheme="minorHAnsi"/>
          <w:sz w:val="22"/>
        </w:rPr>
        <w:t xml:space="preserve"> </w:t>
      </w:r>
    </w:p>
    <w:p w14:paraId="0CD64E44"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IRD (2020). Sharing care of a child or children. Retrieved from </w:t>
      </w:r>
      <w:hyperlink r:id="rId52" w:history="1">
        <w:r w:rsidRPr="00E24ABC">
          <w:rPr>
            <w:rStyle w:val="Hyperlink"/>
            <w:rFonts w:cstheme="minorHAnsi"/>
            <w:sz w:val="22"/>
          </w:rPr>
          <w:t>https://www.ird.govt.nz/child-support/eligibility/sharing-care</w:t>
        </w:r>
      </w:hyperlink>
      <w:r w:rsidRPr="00E24ABC">
        <w:rPr>
          <w:rStyle w:val="Hyperlink"/>
          <w:rFonts w:cstheme="minorHAnsi"/>
          <w:color w:val="auto"/>
          <w:sz w:val="22"/>
          <w:u w:val="none"/>
        </w:rPr>
        <w:t xml:space="preserve"> </w:t>
      </w:r>
    </w:p>
    <w:p w14:paraId="14852EB8"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IRD (2021). Child support changes. Retrieved from </w:t>
      </w:r>
      <w:hyperlink r:id="rId53" w:history="1">
        <w:r w:rsidRPr="00E24ABC">
          <w:rPr>
            <w:rStyle w:val="Hyperlink"/>
            <w:rFonts w:cstheme="minorHAnsi"/>
            <w:sz w:val="22"/>
          </w:rPr>
          <w:t>https://www.ird.govt.nz/-/media/project/ir/home/documents/forms-and-guides/ir1100---ir1199/ir1150/ir1150-august-2021.pdf?modified=20210915025457&amp;modified=20210915025457</w:t>
        </w:r>
      </w:hyperlink>
      <w:r w:rsidRPr="00E24ABC">
        <w:rPr>
          <w:rStyle w:val="Hyperlink"/>
          <w:rFonts w:cstheme="minorHAnsi"/>
          <w:color w:val="auto"/>
          <w:sz w:val="22"/>
          <w:u w:val="none"/>
        </w:rPr>
        <w:t xml:space="preserve"> </w:t>
      </w:r>
    </w:p>
    <w:p w14:paraId="545DFC2B" w14:textId="77777777" w:rsidR="00FB528E" w:rsidRPr="00E24ABC" w:rsidRDefault="00FB528E" w:rsidP="00D34D47">
      <w:pPr>
        <w:spacing w:line="240" w:lineRule="auto"/>
        <w:rPr>
          <w:rFonts w:cstheme="minorHAnsi"/>
          <w:sz w:val="22"/>
          <w:shd w:val="clear" w:color="auto" w:fill="FFFFFF"/>
        </w:rPr>
      </w:pPr>
      <w:r w:rsidRPr="00E24ABC">
        <w:rPr>
          <w:rStyle w:val="Hyperlink"/>
          <w:rFonts w:cstheme="minorHAnsi"/>
          <w:color w:val="auto"/>
          <w:sz w:val="22"/>
          <w:u w:val="none"/>
        </w:rPr>
        <w:t xml:space="preserve">Johnsen, M. (2021). Budget 2021: More investment in rangatahi employment needed, iwi and business leaders say. Retrieved from </w:t>
      </w:r>
      <w:hyperlink r:id="rId54" w:history="1">
        <w:r w:rsidRPr="00E24ABC">
          <w:rPr>
            <w:rStyle w:val="Hyperlink"/>
            <w:rFonts w:cstheme="minorHAnsi"/>
            <w:sz w:val="22"/>
          </w:rPr>
          <w:t>https://www.rnz.co.nz/news/te-manu-korihi/442846/budget-2021-more-investment-in-rangatahi-employment-needed-iwi-and-business-leaders-say</w:t>
        </w:r>
      </w:hyperlink>
      <w:r w:rsidRPr="00E24ABC">
        <w:rPr>
          <w:rStyle w:val="Hyperlink"/>
          <w:rFonts w:cstheme="minorHAnsi"/>
          <w:color w:val="auto"/>
          <w:sz w:val="22"/>
          <w:u w:val="none"/>
        </w:rPr>
        <w:t xml:space="preserve"> </w:t>
      </w:r>
    </w:p>
    <w:p w14:paraId="349FE7B8" w14:textId="77777777" w:rsidR="00FB528E" w:rsidRPr="00E24ABC" w:rsidRDefault="00FB528E" w:rsidP="00D34D47">
      <w:pPr>
        <w:spacing w:line="240" w:lineRule="auto"/>
        <w:rPr>
          <w:rStyle w:val="Hyperlink"/>
          <w:rFonts w:cstheme="minorHAnsi"/>
          <w:sz w:val="22"/>
        </w:rPr>
      </w:pPr>
      <w:r w:rsidRPr="00E24ABC">
        <w:rPr>
          <w:rFonts w:cstheme="minorHAnsi"/>
          <w:color w:val="222222"/>
          <w:sz w:val="22"/>
          <w:shd w:val="clear" w:color="auto" w:fill="FFFFFF"/>
        </w:rPr>
        <w:t xml:space="preserve">Kāinga Ora (2019). Accessibility Policy 2019-2022. Retrieved from </w:t>
      </w:r>
      <w:hyperlink r:id="rId55" w:history="1">
        <w:r w:rsidRPr="00E24ABC">
          <w:rPr>
            <w:rStyle w:val="Hyperlink"/>
            <w:rFonts w:cstheme="minorHAnsi"/>
            <w:sz w:val="22"/>
          </w:rPr>
          <w:t>https://kaingaora.govt.nz/assets/Tenants-and-communities/Documents/Kainga-Ora-Accessibility-Policy-PDF-FINAL-15.11.19.pdf</w:t>
        </w:r>
      </w:hyperlink>
    </w:p>
    <w:p w14:paraId="75895F79"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Kāinga Ora (2020). Tenant Home Ownership Programme. Retrieved from </w:t>
      </w:r>
      <w:hyperlink r:id="rId56" w:history="1">
        <w:r w:rsidRPr="00E24ABC">
          <w:rPr>
            <w:rStyle w:val="Hyperlink"/>
            <w:rFonts w:cstheme="minorHAnsi"/>
            <w:sz w:val="22"/>
            <w:shd w:val="clear" w:color="auto" w:fill="FFFFFF"/>
          </w:rPr>
          <w:t>https://kaingaora.govt.nz/assets/Home-ownership/Brochures-and-forms/HNZ16297-Tenant-Home-Ownership-Jan-2020.pdf</w:t>
        </w:r>
      </w:hyperlink>
      <w:r w:rsidRPr="00E24ABC">
        <w:rPr>
          <w:rFonts w:cstheme="minorHAnsi"/>
          <w:color w:val="222222"/>
          <w:sz w:val="22"/>
          <w:shd w:val="clear" w:color="auto" w:fill="FFFFFF"/>
        </w:rPr>
        <w:t xml:space="preserve">  </w:t>
      </w:r>
    </w:p>
    <w:p w14:paraId="322098CC"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Kāinga Ora (2021). Te Pūrongo ā-Tau | Annual Report 2020/2021. Retrieved from  </w:t>
      </w:r>
      <w:hyperlink r:id="rId57" w:history="1">
        <w:r w:rsidRPr="00E24ABC">
          <w:rPr>
            <w:rStyle w:val="Hyperlink"/>
            <w:rFonts w:cstheme="minorHAnsi"/>
            <w:sz w:val="22"/>
            <w:shd w:val="clear" w:color="auto" w:fill="FFFFFF"/>
          </w:rPr>
          <w:t>https://kaingaora.govt.nz/assets/Publications/Annual-report/2020-21-Annual-Report.pdf</w:t>
        </w:r>
      </w:hyperlink>
      <w:r w:rsidRPr="00E24ABC">
        <w:rPr>
          <w:rFonts w:cstheme="minorHAnsi"/>
          <w:color w:val="222222"/>
          <w:sz w:val="22"/>
          <w:shd w:val="clear" w:color="auto" w:fill="FFFFFF"/>
        </w:rPr>
        <w:t xml:space="preserve"> </w:t>
      </w:r>
    </w:p>
    <w:p w14:paraId="27929D0F"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Kake, J. (2021). Māori housing focus part of promising Budget. </w:t>
      </w:r>
      <w:r w:rsidRPr="00E24ABC">
        <w:rPr>
          <w:rFonts w:cstheme="minorHAnsi"/>
          <w:i/>
          <w:iCs/>
          <w:color w:val="222222"/>
          <w:sz w:val="22"/>
          <w:shd w:val="clear" w:color="auto" w:fill="FFFFFF"/>
        </w:rPr>
        <w:t>RNZ</w:t>
      </w:r>
      <w:r w:rsidRPr="00E24ABC">
        <w:rPr>
          <w:rFonts w:cstheme="minorHAnsi"/>
          <w:color w:val="222222"/>
          <w:sz w:val="22"/>
          <w:shd w:val="clear" w:color="auto" w:fill="FFFFFF"/>
        </w:rPr>
        <w:t xml:space="preserve">. Retrieved from </w:t>
      </w:r>
      <w:hyperlink r:id="rId58" w:history="1">
        <w:r w:rsidRPr="00E24ABC">
          <w:rPr>
            <w:rStyle w:val="Hyperlink"/>
            <w:rFonts w:cstheme="minorHAnsi"/>
            <w:sz w:val="22"/>
            <w:shd w:val="clear" w:color="auto" w:fill="FFFFFF"/>
          </w:rPr>
          <w:t>https://www.rnz.co.nz/news/on-the-inside/443072/maori-housing-focus-part-of-promising-budget</w:t>
        </w:r>
      </w:hyperlink>
      <w:r w:rsidRPr="00E24ABC">
        <w:rPr>
          <w:rFonts w:cstheme="minorHAnsi"/>
          <w:color w:val="222222"/>
          <w:sz w:val="22"/>
          <w:shd w:val="clear" w:color="auto" w:fill="FFFFFF"/>
        </w:rPr>
        <w:t xml:space="preserve"> </w:t>
      </w:r>
    </w:p>
    <w:p w14:paraId="3E9FFED9"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Kerr, F. (2021). Covid-19 vaccination: How mistrust shadows the roll-out in a time of crisis. </w:t>
      </w:r>
      <w:r w:rsidRPr="00E24ABC">
        <w:rPr>
          <w:rFonts w:cstheme="minorHAnsi"/>
          <w:i/>
          <w:iCs/>
          <w:color w:val="222222"/>
          <w:sz w:val="22"/>
          <w:shd w:val="clear" w:color="auto" w:fill="FFFFFF"/>
        </w:rPr>
        <w:t>Stuff</w:t>
      </w:r>
      <w:r w:rsidRPr="00E24ABC">
        <w:rPr>
          <w:rFonts w:cstheme="minorHAnsi"/>
          <w:color w:val="222222"/>
          <w:sz w:val="22"/>
          <w:shd w:val="clear" w:color="auto" w:fill="FFFFFF"/>
        </w:rPr>
        <w:t xml:space="preserve">. Retrieved from </w:t>
      </w:r>
      <w:hyperlink r:id="rId59" w:history="1">
        <w:r w:rsidRPr="00E24ABC">
          <w:rPr>
            <w:rStyle w:val="Hyperlink"/>
            <w:rFonts w:cstheme="minorHAnsi"/>
            <w:sz w:val="22"/>
            <w:shd w:val="clear" w:color="auto" w:fill="FFFFFF"/>
          </w:rPr>
          <w:t>https://www.stuff.co.nz/national/health/coronavirus/300440848/covid19-vaccination-how-mistrust-shadows-the-rollout-in-a-time-of-crisis</w:t>
        </w:r>
      </w:hyperlink>
      <w:r w:rsidRPr="00E24ABC">
        <w:rPr>
          <w:rFonts w:cstheme="minorHAnsi"/>
          <w:color w:val="222222"/>
          <w:sz w:val="22"/>
          <w:shd w:val="clear" w:color="auto" w:fill="FFFFFF"/>
        </w:rPr>
        <w:t xml:space="preserve"> </w:t>
      </w:r>
    </w:p>
    <w:p w14:paraId="1B009FBA" w14:textId="77777777" w:rsidR="00FB528E" w:rsidRPr="00E24ABC" w:rsidRDefault="00FB528E" w:rsidP="00D34D47">
      <w:pPr>
        <w:spacing w:line="240" w:lineRule="auto"/>
        <w:rPr>
          <w:rFonts w:cstheme="minorHAnsi"/>
          <w:sz w:val="22"/>
        </w:rPr>
      </w:pPr>
      <w:r w:rsidRPr="00E24ABC">
        <w:rPr>
          <w:rFonts w:cstheme="minorHAnsi"/>
          <w:sz w:val="22"/>
        </w:rPr>
        <w:t xml:space="preserve">King, P. (2019). Wai 2575: Māori With Lived Experience of Disability (Commissioned by the Waitangi Tribunal For Stage Two of the Wai 2575 Health Services and Outcomes Kaupapa Inquiry). Ministry of Justice: Wellington. Retrieved from </w:t>
      </w:r>
      <w:hyperlink r:id="rId60" w:history="1">
        <w:r w:rsidRPr="00E24ABC">
          <w:rPr>
            <w:rStyle w:val="Hyperlink"/>
            <w:rFonts w:cstheme="minorHAnsi"/>
            <w:sz w:val="22"/>
          </w:rPr>
          <w:t>https://forms.justice.govt.nz/search/Documents/WT/wt_DOC_150437272/Wai%202575%2C%20B022.pdf</w:t>
        </w:r>
      </w:hyperlink>
      <w:r w:rsidRPr="00E24ABC">
        <w:rPr>
          <w:rFonts w:cstheme="minorHAnsi"/>
          <w:sz w:val="22"/>
        </w:rPr>
        <w:t xml:space="preserve"> </w:t>
      </w:r>
    </w:p>
    <w:p w14:paraId="01FC74B2"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sz w:val="22"/>
        </w:rPr>
        <w:t xml:space="preserve">Kore Hiakai (2021). Ka Mākona: Income adequacy in Aotearoa New Zealand: Three Household Scenarios. Retrieved from </w:t>
      </w:r>
      <w:hyperlink r:id="rId61" w:history="1">
        <w:r w:rsidRPr="00E24ABC">
          <w:rPr>
            <w:rStyle w:val="Hyperlink"/>
            <w:rFonts w:cstheme="minorHAnsi"/>
            <w:sz w:val="22"/>
          </w:rPr>
          <w:t>https://static1.squarespace.com/static/5e8e4bf34078e655d8150f64/t/616e173d0e5a5418b713f92a/1634604867226/101782+-+Kore+Hiakai+-+Ka+Ma%CC%84kona+Report+Design+%28Web%29.pdf</w:t>
        </w:r>
      </w:hyperlink>
    </w:p>
    <w:p w14:paraId="4D158723"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Mani, A., Mullainathan, S., Shafir, E., &amp; Zhao, J. (2013). Poverty impedes cognitive function. </w:t>
      </w:r>
      <w:r w:rsidRPr="00E24ABC">
        <w:rPr>
          <w:rFonts w:cstheme="minorHAnsi"/>
          <w:i/>
          <w:iCs/>
          <w:color w:val="222222"/>
          <w:sz w:val="22"/>
          <w:shd w:val="clear" w:color="auto" w:fill="FFFFFF"/>
        </w:rPr>
        <w:t>Science</w:t>
      </w:r>
      <w:r w:rsidRPr="00E24ABC">
        <w:rPr>
          <w:rFonts w:cstheme="minorHAnsi"/>
          <w:color w:val="222222"/>
          <w:sz w:val="22"/>
          <w:shd w:val="clear" w:color="auto" w:fill="FFFFFF"/>
        </w:rPr>
        <w:t>, </w:t>
      </w:r>
      <w:r w:rsidRPr="00E24ABC">
        <w:rPr>
          <w:rFonts w:cstheme="minorHAnsi"/>
          <w:i/>
          <w:iCs/>
          <w:color w:val="222222"/>
          <w:sz w:val="22"/>
          <w:shd w:val="clear" w:color="auto" w:fill="FFFFFF"/>
        </w:rPr>
        <w:t>341</w:t>
      </w:r>
      <w:r w:rsidRPr="00E24ABC">
        <w:rPr>
          <w:rFonts w:cstheme="minorHAnsi"/>
          <w:color w:val="222222"/>
          <w:sz w:val="22"/>
          <w:shd w:val="clear" w:color="auto" w:fill="FFFFFF"/>
        </w:rPr>
        <w:t>(6149), 976-980.</w:t>
      </w:r>
    </w:p>
    <w:p w14:paraId="4DEE2594"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sz w:val="22"/>
        </w:rPr>
        <w:t xml:space="preserve">Matthews, P. (2021). The activist telling the ‘real’ story of disability. </w:t>
      </w:r>
      <w:r w:rsidRPr="00E24ABC">
        <w:rPr>
          <w:rFonts w:cstheme="minorHAnsi"/>
          <w:i/>
          <w:iCs/>
          <w:sz w:val="22"/>
        </w:rPr>
        <w:t>Stuff</w:t>
      </w:r>
      <w:r w:rsidRPr="00E24ABC">
        <w:rPr>
          <w:rFonts w:cstheme="minorHAnsi"/>
          <w:sz w:val="22"/>
        </w:rPr>
        <w:t xml:space="preserve">. Retrieved from </w:t>
      </w:r>
      <w:hyperlink r:id="rId62" w:history="1">
        <w:r w:rsidRPr="00E24ABC">
          <w:rPr>
            <w:rStyle w:val="Hyperlink"/>
            <w:rFonts w:cstheme="minorHAnsi"/>
            <w:sz w:val="22"/>
          </w:rPr>
          <w:t>https://www.stuff.co.nz/dominion-post/wellington/126794927/the-activist-telling-the-real-story-of-disability</w:t>
        </w:r>
      </w:hyperlink>
    </w:p>
    <w:p w14:paraId="442483C5"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McAllister, J. (2020). </w:t>
      </w:r>
      <w:r w:rsidRPr="00E24ABC">
        <w:rPr>
          <w:rFonts w:cstheme="minorHAnsi"/>
          <w:i/>
          <w:iCs/>
          <w:color w:val="222222"/>
          <w:sz w:val="22"/>
          <w:shd w:val="clear" w:color="auto" w:fill="FFFFFF"/>
        </w:rPr>
        <w:t>The effects of 2020/21 income support changes on After Housing Costs (AHC) incomes for representative households receiving benefit.</w:t>
      </w:r>
      <w:r w:rsidRPr="00E24ABC">
        <w:rPr>
          <w:rFonts w:cstheme="minorHAnsi"/>
          <w:color w:val="222222"/>
          <w:sz w:val="22"/>
          <w:shd w:val="clear" w:color="auto" w:fill="FFFFFF"/>
        </w:rPr>
        <w:t xml:space="preserve"> Child Poverty Action Group. Retrieved from </w:t>
      </w:r>
      <w:hyperlink r:id="rId63" w:history="1">
        <w:r w:rsidRPr="00E24ABC">
          <w:rPr>
            <w:rStyle w:val="Hyperlink"/>
            <w:rFonts w:cstheme="minorHAnsi"/>
            <w:sz w:val="22"/>
            <w:shd w:val="clear" w:color="auto" w:fill="FFFFFF"/>
          </w:rPr>
          <w:t>https://www.cpag.org.nz/assets/Backgrounders/13052020_The%20effects%20of%202020_21%20income%20support%20changes%20on%20AHC%20income%20for%20representative%20households%20receiving%20benefits-final.pdf</w:t>
        </w:r>
      </w:hyperlink>
      <w:r w:rsidRPr="00E24ABC">
        <w:rPr>
          <w:rFonts w:cstheme="minorHAnsi"/>
          <w:color w:val="222222"/>
          <w:sz w:val="22"/>
          <w:shd w:val="clear" w:color="auto" w:fill="FFFFFF"/>
        </w:rPr>
        <w:t xml:space="preserve"> </w:t>
      </w:r>
    </w:p>
    <w:p w14:paraId="47DFF0B6"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McClure, T. (2021). ‘Perfect storm’: how Covid is compounding New Zealand’s existing social crises. </w:t>
      </w:r>
      <w:r w:rsidRPr="00E24ABC">
        <w:rPr>
          <w:rFonts w:cstheme="minorHAnsi"/>
          <w:i/>
          <w:iCs/>
          <w:color w:val="222222"/>
          <w:sz w:val="22"/>
          <w:shd w:val="clear" w:color="auto" w:fill="FFFFFF"/>
        </w:rPr>
        <w:t>The Guardian</w:t>
      </w:r>
      <w:r w:rsidRPr="00E24ABC">
        <w:rPr>
          <w:rFonts w:cstheme="minorHAnsi"/>
          <w:color w:val="222222"/>
          <w:sz w:val="22"/>
          <w:shd w:val="clear" w:color="auto" w:fill="FFFFFF"/>
        </w:rPr>
        <w:t xml:space="preserve">. Retrieved from </w:t>
      </w:r>
      <w:hyperlink r:id="rId64" w:history="1">
        <w:r w:rsidRPr="00E24ABC">
          <w:rPr>
            <w:rStyle w:val="Hyperlink"/>
            <w:rFonts w:cstheme="minorHAnsi"/>
            <w:sz w:val="22"/>
            <w:shd w:val="clear" w:color="auto" w:fill="FFFFFF"/>
          </w:rPr>
          <w:t>https://www.theguardian.com/world/2021/oct/06/perfect-storm-how-covid-is-compounding-new-zealands-existing-social-crises</w:t>
        </w:r>
      </w:hyperlink>
      <w:r w:rsidRPr="00E24ABC">
        <w:rPr>
          <w:rFonts w:cstheme="minorHAnsi"/>
          <w:color w:val="222222"/>
          <w:sz w:val="22"/>
          <w:shd w:val="clear" w:color="auto" w:fill="FFFFFF"/>
        </w:rPr>
        <w:t xml:space="preserve"> </w:t>
      </w:r>
    </w:p>
    <w:p w14:paraId="75224F47"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Mental Health and Wellbeing Commission (2020). He Ara Oranga – Mānuka Takoto, Kawea Ake / </w:t>
      </w:r>
    </w:p>
    <w:p w14:paraId="40485CD7"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Upholding the Wero Laid in He Ara Oranga. Retrieved from </w:t>
      </w:r>
      <w:hyperlink r:id="rId65" w:history="1">
        <w:r w:rsidRPr="00E24ABC">
          <w:rPr>
            <w:rStyle w:val="Hyperlink"/>
            <w:rFonts w:cstheme="minorHAnsi"/>
            <w:sz w:val="22"/>
            <w:shd w:val="clear" w:color="auto" w:fill="FFFFFF"/>
          </w:rPr>
          <w:t>https://www.mhwc.govt.nz/interim-report/</w:t>
        </w:r>
      </w:hyperlink>
      <w:r w:rsidRPr="00E24ABC">
        <w:rPr>
          <w:rFonts w:cstheme="minorHAnsi"/>
          <w:color w:val="222222"/>
          <w:sz w:val="22"/>
          <w:shd w:val="clear" w:color="auto" w:fill="FFFFFF"/>
        </w:rPr>
        <w:t xml:space="preserve"> </w:t>
      </w:r>
    </w:p>
    <w:p w14:paraId="331E7C4C" w14:textId="77777777" w:rsidR="00FB528E" w:rsidRPr="00E24ABC" w:rsidRDefault="00FB528E" w:rsidP="00D34D47">
      <w:pPr>
        <w:spacing w:line="240" w:lineRule="auto"/>
        <w:rPr>
          <w:rFonts w:cstheme="minorHAnsi"/>
          <w:sz w:val="22"/>
          <w:lang w:val="en-US"/>
        </w:rPr>
      </w:pPr>
      <w:r w:rsidRPr="00E24ABC">
        <w:rPr>
          <w:rFonts w:cstheme="minorHAnsi"/>
          <w:sz w:val="22"/>
          <w:lang w:val="en-US"/>
        </w:rPr>
        <w:t xml:space="preserve">Ministry of Business, Innovation and Employment &amp; Ministry of Social Development (2020). Briefing to the Incoming Minister for Social Development and Employment. Retrieved from </w:t>
      </w:r>
      <w:hyperlink r:id="rId66" w:history="1">
        <w:r w:rsidRPr="00E24ABC">
          <w:rPr>
            <w:rStyle w:val="Hyperlink"/>
            <w:rFonts w:cstheme="minorHAnsi"/>
            <w:sz w:val="22"/>
            <w:lang w:val="en-US"/>
          </w:rPr>
          <w:t>https://www.beehive.govt.nz/sites/default/files/2020-12/Social%20Development%20and%20Employment.pdf</w:t>
        </w:r>
      </w:hyperlink>
      <w:r w:rsidRPr="00E24ABC">
        <w:rPr>
          <w:rFonts w:cstheme="minorHAnsi"/>
          <w:sz w:val="22"/>
          <w:lang w:val="en-US"/>
        </w:rPr>
        <w:t xml:space="preserve"> </w:t>
      </w:r>
    </w:p>
    <w:p w14:paraId="3393416F" w14:textId="77777777" w:rsidR="00FB528E" w:rsidRPr="00E24ABC" w:rsidRDefault="00FB528E" w:rsidP="00D34D47">
      <w:pPr>
        <w:spacing w:line="240" w:lineRule="auto"/>
        <w:rPr>
          <w:rFonts w:cstheme="minorHAnsi"/>
          <w:sz w:val="22"/>
          <w:lang w:val="en-US"/>
        </w:rPr>
      </w:pPr>
      <w:r w:rsidRPr="00E24ABC">
        <w:rPr>
          <w:rFonts w:cstheme="minorHAnsi"/>
          <w:sz w:val="22"/>
          <w:lang w:val="en-US"/>
        </w:rPr>
        <w:t xml:space="preserve">Ministry of Business, Innovation and Employment (2020). Just Transition. Retrieved from </w:t>
      </w:r>
      <w:hyperlink r:id="rId67" w:anchor="just-transitions-unit" w:history="1">
        <w:r w:rsidRPr="00E24ABC">
          <w:rPr>
            <w:rStyle w:val="Hyperlink"/>
            <w:rFonts w:cstheme="minorHAnsi"/>
            <w:sz w:val="22"/>
            <w:lang w:val="en-US"/>
          </w:rPr>
          <w:t>https://www.mbie.govt.nz/business-and-employment/economic-development/just-transition/#just-transitions-unit</w:t>
        </w:r>
      </w:hyperlink>
      <w:r w:rsidRPr="00E24ABC">
        <w:rPr>
          <w:rFonts w:cstheme="minorHAnsi"/>
          <w:sz w:val="22"/>
          <w:lang w:val="en-US"/>
        </w:rPr>
        <w:t xml:space="preserve"> </w:t>
      </w:r>
    </w:p>
    <w:p w14:paraId="3342004A" w14:textId="77777777" w:rsidR="00FB528E" w:rsidRPr="00E24ABC" w:rsidRDefault="00FB528E" w:rsidP="00D34D47">
      <w:pPr>
        <w:spacing w:line="240" w:lineRule="auto"/>
        <w:rPr>
          <w:rFonts w:cstheme="minorHAnsi"/>
          <w:sz w:val="22"/>
          <w:lang w:val="en-US"/>
        </w:rPr>
      </w:pPr>
      <w:r w:rsidRPr="00E24ABC">
        <w:rPr>
          <w:rFonts w:cstheme="minorHAnsi"/>
          <w:sz w:val="22"/>
          <w:lang w:val="en-US"/>
        </w:rPr>
        <w:t xml:space="preserve">Ministry of Business, Innovation and Employment (2021). Regional Skills Leadership Groups. Retrieved from </w:t>
      </w:r>
      <w:hyperlink r:id="rId68" w:history="1">
        <w:r w:rsidRPr="00E24ABC">
          <w:rPr>
            <w:rStyle w:val="Hyperlink"/>
            <w:rFonts w:cstheme="minorHAnsi"/>
            <w:sz w:val="22"/>
            <w:lang w:val="en-US"/>
          </w:rPr>
          <w:t>https://www.mbie.govt.nz/business-and-employment/employment-and-skills/regional-skills-leadership-groups/</w:t>
        </w:r>
      </w:hyperlink>
      <w:r w:rsidRPr="00E24ABC">
        <w:rPr>
          <w:rFonts w:cstheme="minorHAnsi"/>
          <w:sz w:val="22"/>
          <w:lang w:val="en-US"/>
        </w:rPr>
        <w:t xml:space="preserve"> </w:t>
      </w:r>
    </w:p>
    <w:p w14:paraId="0611DCDF" w14:textId="77777777" w:rsidR="00FB528E" w:rsidRPr="00E24ABC" w:rsidRDefault="00FB528E" w:rsidP="00D34D47">
      <w:pPr>
        <w:spacing w:line="240" w:lineRule="auto"/>
        <w:rPr>
          <w:rFonts w:cstheme="minorHAnsi"/>
          <w:sz w:val="22"/>
          <w:lang w:val="en-US"/>
        </w:rPr>
      </w:pPr>
      <w:r w:rsidRPr="00E24ABC">
        <w:rPr>
          <w:rFonts w:cstheme="minorHAnsi"/>
          <w:sz w:val="22"/>
          <w:lang w:val="en-US"/>
        </w:rPr>
        <w:t xml:space="preserve">Ministry of Health (2013). </w:t>
      </w:r>
      <w:r w:rsidRPr="00E24ABC">
        <w:rPr>
          <w:rFonts w:cstheme="minorHAnsi"/>
          <w:i/>
          <w:iCs/>
          <w:sz w:val="22"/>
          <w:lang w:val="en-US"/>
        </w:rPr>
        <w:t xml:space="preserve">Disability. </w:t>
      </w:r>
      <w:r w:rsidRPr="00E24ABC">
        <w:rPr>
          <w:rFonts w:cstheme="minorHAnsi"/>
          <w:sz w:val="22"/>
          <w:lang w:val="en-US"/>
        </w:rPr>
        <w:t xml:space="preserve">Retrieved from </w:t>
      </w:r>
      <w:hyperlink r:id="rId69" w:history="1">
        <w:r w:rsidRPr="00E24ABC">
          <w:rPr>
            <w:rStyle w:val="Hyperlink"/>
            <w:rFonts w:cstheme="minorHAnsi"/>
            <w:sz w:val="22"/>
          </w:rPr>
          <w:t>https://www.health.govt.nz/our-work/populations/maori-health/tatau-kahukura-maori-health-statistics/nga-mana-hauora-tutohu-health-status-indicators/disability</w:t>
        </w:r>
      </w:hyperlink>
    </w:p>
    <w:p w14:paraId="7652FD26" w14:textId="77777777" w:rsidR="00FB528E" w:rsidRPr="00E24ABC" w:rsidRDefault="00FB528E" w:rsidP="00D34D47">
      <w:pPr>
        <w:spacing w:line="240" w:lineRule="auto"/>
        <w:rPr>
          <w:rFonts w:cstheme="minorHAnsi"/>
          <w:sz w:val="22"/>
          <w:lang w:val="en-US"/>
        </w:rPr>
      </w:pPr>
      <w:r w:rsidRPr="00E24ABC">
        <w:rPr>
          <w:rFonts w:cstheme="minorHAnsi"/>
          <w:sz w:val="22"/>
          <w:lang w:val="en-US"/>
        </w:rPr>
        <w:t xml:space="preserve">Ministry of Housing and Urban Development (2020). Progressive Home Ownership. Retrieved from </w:t>
      </w:r>
      <w:hyperlink r:id="rId70" w:history="1">
        <w:r w:rsidRPr="00E24ABC">
          <w:rPr>
            <w:rStyle w:val="Hyperlink"/>
            <w:rFonts w:cstheme="minorHAnsi"/>
            <w:sz w:val="22"/>
            <w:lang w:val="en-US"/>
          </w:rPr>
          <w:t>https://www.hud.govt.nz/residential-housing/progressive-home-ownership/</w:t>
        </w:r>
      </w:hyperlink>
      <w:r w:rsidRPr="00E24ABC">
        <w:rPr>
          <w:rFonts w:cstheme="minorHAnsi"/>
          <w:sz w:val="22"/>
          <w:lang w:val="en-US"/>
        </w:rPr>
        <w:t xml:space="preserve"> </w:t>
      </w:r>
    </w:p>
    <w:p w14:paraId="68C6861A"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sz w:val="22"/>
          <w:lang w:val="en-US"/>
        </w:rPr>
        <w:t xml:space="preserve">Ministry of Housing and Urban Development (2021a). </w:t>
      </w:r>
      <w:r w:rsidRPr="00E24ABC">
        <w:rPr>
          <w:rFonts w:cstheme="minorHAnsi"/>
          <w:i/>
          <w:iCs/>
          <w:sz w:val="22"/>
          <w:lang w:val="en-US"/>
        </w:rPr>
        <w:t>Public Housing Quarterly Report | June 2021</w:t>
      </w:r>
      <w:r w:rsidRPr="00E24ABC">
        <w:rPr>
          <w:rFonts w:cstheme="minorHAnsi"/>
          <w:sz w:val="22"/>
          <w:lang w:val="en-US"/>
        </w:rPr>
        <w:t xml:space="preserve">. Retrieved from </w:t>
      </w:r>
      <w:hyperlink r:id="rId71" w:history="1">
        <w:r w:rsidRPr="00E24ABC">
          <w:rPr>
            <w:rStyle w:val="Hyperlink"/>
            <w:rFonts w:cstheme="minorHAnsi"/>
            <w:sz w:val="22"/>
            <w:lang w:val="en-US"/>
          </w:rPr>
          <w:t>https://www.hud.govt.nz/assets/News-and-Resources/Statistics-and-Research/Public-housing-reports/Quarterly-reports/Public-housing-quarterly-report-June-2021.pdf</w:t>
        </w:r>
      </w:hyperlink>
      <w:r w:rsidRPr="00E24ABC">
        <w:rPr>
          <w:rFonts w:cstheme="minorHAnsi"/>
          <w:sz w:val="22"/>
          <w:lang w:val="en-US"/>
        </w:rPr>
        <w:t xml:space="preserve"> </w:t>
      </w:r>
    </w:p>
    <w:p w14:paraId="2313717B" w14:textId="77777777" w:rsidR="00FB528E" w:rsidRPr="00E24ABC" w:rsidRDefault="00FB528E" w:rsidP="00D34D47">
      <w:pPr>
        <w:spacing w:line="240" w:lineRule="auto"/>
        <w:rPr>
          <w:rStyle w:val="Hyperlink"/>
          <w:rFonts w:cstheme="minorHAnsi"/>
          <w:sz w:val="22"/>
        </w:rPr>
      </w:pPr>
      <w:r w:rsidRPr="00E24ABC">
        <w:rPr>
          <w:rFonts w:cstheme="minorHAnsi"/>
          <w:sz w:val="22"/>
        </w:rPr>
        <w:t xml:space="preserve">Ministry of Housing and Urban Development (2021b). The Housing Acceleration Fund. Retrieved from </w:t>
      </w:r>
      <w:hyperlink r:id="rId72" w:history="1">
        <w:r w:rsidRPr="00E24ABC">
          <w:rPr>
            <w:rStyle w:val="Hyperlink"/>
            <w:rFonts w:cstheme="minorHAnsi"/>
            <w:sz w:val="22"/>
          </w:rPr>
          <w:t>https://www.hud.govt.nz/urban-development/the-housing-acceleration-fund/</w:t>
        </w:r>
      </w:hyperlink>
    </w:p>
    <w:p w14:paraId="3BF553F3" w14:textId="77777777" w:rsidR="00FB528E" w:rsidRPr="00E24ABC" w:rsidRDefault="00FB528E" w:rsidP="00D34D47">
      <w:pPr>
        <w:spacing w:line="240" w:lineRule="auto"/>
        <w:rPr>
          <w:rFonts w:cstheme="minorHAnsi"/>
          <w:sz w:val="22"/>
          <w:lang w:val="mi-NZ"/>
        </w:rPr>
      </w:pPr>
      <w:r w:rsidRPr="00E24ABC">
        <w:rPr>
          <w:rStyle w:val="Hyperlink"/>
          <w:rFonts w:cstheme="minorHAnsi"/>
          <w:color w:val="auto"/>
          <w:sz w:val="22"/>
          <w:u w:val="none"/>
        </w:rPr>
        <w:t>Ministry of Housing and Urban Development (2021c). Whai K</w:t>
      </w:r>
      <w:r w:rsidRPr="00E24ABC">
        <w:rPr>
          <w:rStyle w:val="Hyperlink"/>
          <w:rFonts w:cstheme="minorHAnsi"/>
          <w:color w:val="auto"/>
          <w:sz w:val="22"/>
          <w:u w:val="none"/>
          <w:lang w:val="mi-NZ"/>
        </w:rPr>
        <w:t xml:space="preserve">āinga Whai Oranga. Retrieved from </w:t>
      </w:r>
      <w:hyperlink r:id="rId73" w:history="1">
        <w:r w:rsidRPr="00E24ABC">
          <w:rPr>
            <w:rStyle w:val="Hyperlink"/>
            <w:sz w:val="22"/>
          </w:rPr>
          <w:t>https://www.hud.govt.nz/maihi-and-maori-housing/whai-kainga-whai-oranga/</w:t>
        </w:r>
      </w:hyperlink>
    </w:p>
    <w:p w14:paraId="4DA26A11" w14:textId="77777777" w:rsidR="00FB528E" w:rsidRPr="00E24ABC" w:rsidRDefault="00FB528E" w:rsidP="00D34D47">
      <w:pPr>
        <w:spacing w:line="240" w:lineRule="auto"/>
        <w:rPr>
          <w:rFonts w:cstheme="minorHAnsi"/>
          <w:sz w:val="22"/>
        </w:rPr>
      </w:pPr>
      <w:r w:rsidRPr="00E24ABC">
        <w:rPr>
          <w:rFonts w:cstheme="minorHAnsi"/>
          <w:sz w:val="22"/>
        </w:rPr>
        <w:t xml:space="preserve">Ministry of Pacific Peoples (n.d.). Tupu Aotearoa. Retrieved from </w:t>
      </w:r>
      <w:hyperlink r:id="rId74" w:history="1">
        <w:r w:rsidRPr="00E24ABC">
          <w:rPr>
            <w:rStyle w:val="Hyperlink"/>
            <w:rFonts w:cstheme="minorHAnsi"/>
            <w:sz w:val="22"/>
          </w:rPr>
          <w:t>https://www.mpp.govt.nz/programmes/tupu-aotearoa/</w:t>
        </w:r>
      </w:hyperlink>
      <w:r w:rsidRPr="00E24ABC">
        <w:rPr>
          <w:rFonts w:cstheme="minorHAnsi"/>
          <w:sz w:val="22"/>
        </w:rPr>
        <w:t xml:space="preserve"> </w:t>
      </w:r>
    </w:p>
    <w:p w14:paraId="6ACBF161" w14:textId="77777777" w:rsidR="00FB528E" w:rsidRPr="00E24ABC" w:rsidRDefault="00FB528E" w:rsidP="00D34D47">
      <w:pPr>
        <w:spacing w:line="240" w:lineRule="auto"/>
        <w:rPr>
          <w:rFonts w:cstheme="minorHAnsi"/>
          <w:sz w:val="22"/>
        </w:rPr>
      </w:pPr>
      <w:r w:rsidRPr="00E24ABC">
        <w:rPr>
          <w:rFonts w:cstheme="minorHAnsi"/>
          <w:sz w:val="22"/>
        </w:rPr>
        <w:t>Ministry of Social Development (2016). Response to Official Information Act Request 2015-02-15.</w:t>
      </w:r>
    </w:p>
    <w:p w14:paraId="2CF802F6" w14:textId="77777777" w:rsidR="00FB528E" w:rsidRPr="00E24ABC" w:rsidRDefault="00FB528E" w:rsidP="00D34D47">
      <w:pPr>
        <w:spacing w:line="240" w:lineRule="auto"/>
        <w:rPr>
          <w:rStyle w:val="Hyperlink"/>
          <w:rFonts w:cstheme="minorHAnsi"/>
          <w:sz w:val="22"/>
          <w:lang w:val="en-US"/>
        </w:rPr>
      </w:pPr>
      <w:r w:rsidRPr="00E24ABC">
        <w:rPr>
          <w:rFonts w:cstheme="minorHAnsi"/>
          <w:sz w:val="22"/>
        </w:rPr>
        <w:t>Ministry of Social Development (2019a). Welfare Overhaul: Update on Progress and Long-Term Plan (November 2019). Retrieved from</w:t>
      </w:r>
      <w:r w:rsidRPr="00E24ABC">
        <w:rPr>
          <w:rFonts w:cstheme="minorHAnsi"/>
          <w:sz w:val="22"/>
          <w:lang w:val="en-US"/>
        </w:rPr>
        <w:t xml:space="preserve"> </w:t>
      </w:r>
      <w:hyperlink r:id="rId75" w:history="1">
        <w:r w:rsidRPr="00E24ABC">
          <w:rPr>
            <w:rStyle w:val="Hyperlink"/>
            <w:rFonts w:cstheme="minorHAnsi"/>
            <w:sz w:val="22"/>
            <w:lang w:val="en-US"/>
          </w:rPr>
          <w:t>https://www.msd.govt.nz/documents/about-msd-and-our-work/publications-resources/information-releases/welfare-overhaul-update/cabinet-paper-welfare-overhaul-update-on-progress-and-long-term-plan.pdf</w:t>
        </w:r>
      </w:hyperlink>
    </w:p>
    <w:p w14:paraId="4196606C"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(2019b). Repealing the Section 192 (formerly Section 70A) sanction.  Retrieved from </w:t>
      </w:r>
      <w:hyperlink r:id="rId76" w:history="1">
        <w:r w:rsidRPr="00E24ABC">
          <w:rPr>
            <w:rStyle w:val="Hyperlink"/>
            <w:rFonts w:cstheme="minorHAnsi"/>
            <w:sz w:val="22"/>
          </w:rPr>
          <w:t>https://www.msd.govt.nz/documents/about-msd-and-our-work/newsroom/factsheets/budget/factsheet-removing-deductions-sole-parents-2019.pdf</w:t>
        </w:r>
      </w:hyperlink>
      <w:r w:rsidRPr="00E24ABC">
        <w:rPr>
          <w:rFonts w:cstheme="minorHAnsi"/>
          <w:sz w:val="22"/>
        </w:rPr>
        <w:t xml:space="preserve"> </w:t>
      </w:r>
    </w:p>
    <w:p w14:paraId="40FDECE5"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(2019c). Welfare Overhaul: Update on Progress and Next Steps (May 2019). Retrieved from https://www.msd.govt.nz/documents/about-msd-and-ourwork/publications-resources/information-releases/weag-report-release/cabinet-paper-welfareoverhaul-advice-from-the-welfare-expert-advisor....pdf </w:t>
      </w:r>
    </w:p>
    <w:p w14:paraId="6875E8FA" w14:textId="77777777" w:rsidR="00FB528E" w:rsidRPr="00E24ABC" w:rsidRDefault="00FB528E" w:rsidP="00D34D47">
      <w:pPr>
        <w:spacing w:line="240" w:lineRule="auto"/>
        <w:rPr>
          <w:rStyle w:val="Hyperlink"/>
          <w:rFonts w:cstheme="minorHAnsi"/>
          <w:sz w:val="22"/>
        </w:rPr>
      </w:pPr>
      <w:r w:rsidRPr="00E24ABC">
        <w:rPr>
          <w:rFonts w:cstheme="minorHAnsi"/>
          <w:sz w:val="22"/>
        </w:rPr>
        <w:t xml:space="preserve">Ministry of Social Development (2020a). Welfare Overhaul: Removing the Subsequent Child Policy. Retrieved from </w:t>
      </w:r>
      <w:hyperlink r:id="rId77" w:history="1">
        <w:r w:rsidRPr="00E24ABC">
          <w:rPr>
            <w:rStyle w:val="Hyperlink"/>
            <w:rFonts w:cstheme="minorHAnsi"/>
            <w:sz w:val="22"/>
          </w:rPr>
          <w:t>https://www.msd.govt.nz/documents/about-msd-and-our-work/publications-resources/information-releases/welfare-overhaul-removing-the-subsequent-child-policy/cabinet-paper-welfare-overhaul-removing-the-subsequent-child-policy.pdf</w:t>
        </w:r>
      </w:hyperlink>
    </w:p>
    <w:p w14:paraId="0E77AC38"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(2020c) Response to OIA request, dated 25 June 2020. Available at </w:t>
      </w:r>
      <w:hyperlink r:id="rId78" w:history="1">
        <w:r w:rsidRPr="00E24ABC">
          <w:rPr>
            <w:rStyle w:val="Hyperlink"/>
            <w:rFonts w:cstheme="minorHAnsi"/>
            <w:sz w:val="22"/>
          </w:rPr>
          <w:t>https://www.msd.govt.nz/documents/about-msd-and-our-work/publications-resources/official-information-responses/2020/june/r-20200625-request-to-know-how-many-people-have-been-prosecuted-of-benefit-fraud-since-2014-to-date-and-what-cost-benefit-fraud-has-every-financial-year-since-2011.pdf</w:t>
        </w:r>
      </w:hyperlink>
      <w:r w:rsidRPr="00E24ABC">
        <w:rPr>
          <w:rFonts w:cstheme="minorHAnsi"/>
          <w:sz w:val="22"/>
        </w:rPr>
        <w:t xml:space="preserve"> </w:t>
      </w:r>
    </w:p>
    <w:p w14:paraId="20169B51"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(2020d). Response to OIA request, dated 2 October 2020. Available at </w:t>
      </w:r>
      <w:hyperlink r:id="rId79" w:history="1">
        <w:r w:rsidRPr="00E24ABC">
          <w:rPr>
            <w:rStyle w:val="Hyperlink"/>
            <w:rFonts w:cstheme="minorHAnsi"/>
            <w:sz w:val="22"/>
          </w:rPr>
          <w:t>https://www.msd.govt.nz/documents/about-msd-and-our-work/publications-resources/official-information-responses/2020/october/20201002-request-a-copy-of-the-information-on-the-july-2019-report-concerning-the-issue-of-volunteering-and-being-eligible-for-benefits.pdf</w:t>
        </w:r>
      </w:hyperlink>
      <w:r w:rsidRPr="00E24ABC">
        <w:rPr>
          <w:rFonts w:cstheme="minorHAnsi"/>
          <w:sz w:val="22"/>
        </w:rPr>
        <w:t xml:space="preserve"> </w:t>
      </w:r>
    </w:p>
    <w:p w14:paraId="1E512408"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(2020e). Funding for Building Financial Capability services through Budget 2020. Retrieved from </w:t>
      </w:r>
      <w:hyperlink r:id="rId80" w:history="1">
        <w:r w:rsidRPr="00E24ABC">
          <w:rPr>
            <w:rStyle w:val="Hyperlink"/>
            <w:rFonts w:cstheme="minorHAnsi"/>
            <w:sz w:val="22"/>
          </w:rPr>
          <w:t>https://www.msd.govt.nz/what-we-can-do/providers/building-financial-capability/funding-for-bfc-services-through-budget-2020.html</w:t>
        </w:r>
      </w:hyperlink>
      <w:r w:rsidRPr="00E24ABC">
        <w:rPr>
          <w:rFonts w:cstheme="minorHAnsi"/>
          <w:sz w:val="22"/>
        </w:rPr>
        <w:t xml:space="preserve"> </w:t>
      </w:r>
    </w:p>
    <w:p w14:paraId="29E003D3"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(2021a). A more flexible medical certificate process for MSD clients. Retrieved from </w:t>
      </w:r>
      <w:hyperlink r:id="rId81" w:history="1">
        <w:r w:rsidRPr="00E24ABC">
          <w:rPr>
            <w:rStyle w:val="Hyperlink"/>
            <w:rFonts w:cstheme="minorHAnsi"/>
            <w:sz w:val="22"/>
          </w:rPr>
          <w:t>https://msd.govt.nz/documents/about-msd-and-our-work/newsroom/factsheets/budget/2021/budget-2021-factsheet-improving-work-capacity-medical-certificates.pdf</w:t>
        </w:r>
      </w:hyperlink>
    </w:p>
    <w:p w14:paraId="11FF82FB"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(2021b). Benefit Fact Sheets. Retrieved from </w:t>
      </w:r>
      <w:hyperlink r:id="rId82" w:history="1">
        <w:r w:rsidRPr="00E24ABC">
          <w:rPr>
            <w:rStyle w:val="Hyperlink"/>
            <w:rFonts w:cstheme="minorHAnsi"/>
            <w:sz w:val="22"/>
          </w:rPr>
          <w:t>https://www.msd.govt.nz/about-msd-and-our-work/publications-resources/statistics/benefit/index.html</w:t>
        </w:r>
      </w:hyperlink>
      <w:r w:rsidRPr="00E24ABC">
        <w:rPr>
          <w:rFonts w:cstheme="minorHAnsi"/>
          <w:sz w:val="22"/>
        </w:rPr>
        <w:t xml:space="preserve"> </w:t>
      </w:r>
    </w:p>
    <w:p w14:paraId="12509C0C"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(2021c). Appendix One: Work Programme Overview 2021. </w:t>
      </w:r>
    </w:p>
    <w:p w14:paraId="397F2910" w14:textId="77777777" w:rsidR="00FB528E" w:rsidRPr="00E24ABC" w:rsidRDefault="00FB528E" w:rsidP="00D34D47">
      <w:pPr>
        <w:pStyle w:val="FootnoteText"/>
        <w:rPr>
          <w:rStyle w:val="Hyperlink"/>
          <w:rFonts w:cstheme="minorHAnsi"/>
          <w:sz w:val="22"/>
          <w:szCs w:val="22"/>
          <w:lang w:val="en-US"/>
        </w:rPr>
      </w:pPr>
      <w:r w:rsidRPr="00E24ABC">
        <w:rPr>
          <w:rFonts w:cstheme="minorHAnsi"/>
          <w:sz w:val="22"/>
          <w:szCs w:val="22"/>
        </w:rPr>
        <w:t xml:space="preserve">Ministry of Social Development (2021d). Appendix Three: Work Programme Overview 2021. Retrieved from </w:t>
      </w:r>
      <w:hyperlink r:id="rId83" w:history="1">
        <w:r w:rsidRPr="00E24ABC">
          <w:rPr>
            <w:rStyle w:val="Hyperlink"/>
            <w:rFonts w:cstheme="minorHAnsi"/>
            <w:sz w:val="22"/>
            <w:szCs w:val="22"/>
            <w:lang w:val="en-US"/>
          </w:rPr>
          <w:t>https://www.msd.govt.nz/documents/about-msd-and-our-work/publications-resources/information-releases/cabinet-papers/2021/welfare-overhaul-work-programme-update/appendix-three-weag-recommendations-and-progress-to-date.pdf</w:t>
        </w:r>
      </w:hyperlink>
    </w:p>
    <w:p w14:paraId="5E572733" w14:textId="77777777" w:rsidR="00FB528E" w:rsidRPr="00E24ABC" w:rsidRDefault="00FB528E" w:rsidP="00D34D47">
      <w:pPr>
        <w:pStyle w:val="FootnoteText"/>
        <w:rPr>
          <w:rStyle w:val="Hyperlink"/>
          <w:rFonts w:cstheme="minorHAnsi"/>
          <w:sz w:val="22"/>
          <w:szCs w:val="22"/>
          <w:lang w:val="en-US"/>
        </w:rPr>
      </w:pPr>
    </w:p>
    <w:p w14:paraId="5087A7F1"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(2021e). Welfare Overhaul: Work Programme Update 2021. Retrieved from </w:t>
      </w:r>
      <w:hyperlink r:id="rId84" w:history="1">
        <w:r w:rsidRPr="00E24ABC">
          <w:rPr>
            <w:rStyle w:val="Hyperlink"/>
            <w:rFonts w:cstheme="minorHAnsi"/>
            <w:sz w:val="22"/>
            <w:lang w:val="en-US"/>
          </w:rPr>
          <w:t>https://www.msd.govt.nz/documents/about-msd-and-our-work/publications-resources/information-releases/cabinet-papers/2021/welfare-overhaul-work-programme-update/welfare-overhaul-work-programme-update.pdf</w:t>
        </w:r>
      </w:hyperlink>
    </w:p>
    <w:p w14:paraId="7F42AF46"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(2021f). OIA response 22 September 2021. </w:t>
      </w:r>
    </w:p>
    <w:p w14:paraId="3C4B11C2"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(2021g). Housing Register. Retrieved from </w:t>
      </w:r>
      <w:hyperlink r:id="rId85" w:history="1">
        <w:r w:rsidRPr="00E24ABC">
          <w:rPr>
            <w:rStyle w:val="Hyperlink"/>
            <w:rFonts w:cstheme="minorHAnsi"/>
            <w:sz w:val="22"/>
          </w:rPr>
          <w:t>https://www.msd.govt.nz/about-msd-and-our-work/publications-resources/statistics/housing/index.html</w:t>
        </w:r>
      </w:hyperlink>
      <w:r w:rsidRPr="00E24ABC">
        <w:rPr>
          <w:rFonts w:cstheme="minorHAnsi"/>
          <w:sz w:val="22"/>
        </w:rPr>
        <w:t xml:space="preserve"> </w:t>
      </w:r>
    </w:p>
    <w:p w14:paraId="26F506BC"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(2021h). OIA response 31 May 2021. Available at </w:t>
      </w:r>
      <w:hyperlink r:id="rId86" w:history="1">
        <w:r w:rsidRPr="00E24ABC">
          <w:rPr>
            <w:rStyle w:val="Hyperlink"/>
            <w:rFonts w:cstheme="minorHAnsi"/>
            <w:sz w:val="22"/>
          </w:rPr>
          <w:t>https://www.msd.govt.nz/documents/about-msd-and-our-work/publications-resources/official-information-responses/2021/may/20210531-why-the-steps-to-freedom-grant-has-not-been-increased-to-with-the-rise-of-living-costs.pdf</w:t>
        </w:r>
      </w:hyperlink>
      <w:r w:rsidRPr="00E24ABC">
        <w:rPr>
          <w:rFonts w:cstheme="minorHAnsi"/>
          <w:sz w:val="22"/>
        </w:rPr>
        <w:t xml:space="preserve"> </w:t>
      </w:r>
    </w:p>
    <w:p w14:paraId="21102A2C"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(2021i). OIA response 16 September 2021. Available at </w:t>
      </w:r>
      <w:hyperlink r:id="rId87" w:history="1">
        <w:r w:rsidRPr="00E24ABC">
          <w:rPr>
            <w:rStyle w:val="Hyperlink"/>
            <w:rFonts w:cstheme="minorHAnsi"/>
            <w:sz w:val="22"/>
          </w:rPr>
          <w:t>https://www.msd.govt.nz/documents/about-msd-and-our-work/publications-resources/official-information-responses/2021/september/20210916-request-for-information-on-the-review-of-the-current-upcoming-accommodation-supplement-and-on-the-working-for-families-review-that-the-government-has-signaled..pdf</w:t>
        </w:r>
      </w:hyperlink>
      <w:r w:rsidRPr="00E24ABC">
        <w:rPr>
          <w:rFonts w:cstheme="minorHAnsi"/>
          <w:sz w:val="22"/>
        </w:rPr>
        <w:t xml:space="preserve"> </w:t>
      </w:r>
    </w:p>
    <w:p w14:paraId="042EA597"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(2021j). Supporting disabled New Zealanders to find and keep work. Retrieved from </w:t>
      </w:r>
      <w:hyperlink r:id="rId88" w:history="1">
        <w:r w:rsidRPr="00E24ABC">
          <w:rPr>
            <w:rStyle w:val="Hyperlink"/>
            <w:rFonts w:cstheme="minorHAnsi"/>
            <w:sz w:val="22"/>
          </w:rPr>
          <w:t>https://www.msd.govt.nz/about-msd-and-our-work/publications-resources/corporate/annual-report/2018-2019/outcome-new-zealanders-participate-positively-in-society-and-reach-their-potential/supporting-disabled-new-zealanders-to-find-and-keep-work.html</w:t>
        </w:r>
      </w:hyperlink>
      <w:r w:rsidRPr="00E24ABC">
        <w:rPr>
          <w:rFonts w:cstheme="minorHAnsi"/>
          <w:sz w:val="22"/>
        </w:rPr>
        <w:t xml:space="preserve"> </w:t>
      </w:r>
    </w:p>
    <w:p w14:paraId="0C934FE6"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(2021k). A more flexible medical certificate process for MSD clients - Budget 2021. Retrieved from </w:t>
      </w:r>
      <w:hyperlink r:id="rId89" w:history="1">
        <w:r w:rsidRPr="00E24ABC">
          <w:rPr>
            <w:rStyle w:val="Hyperlink"/>
            <w:rFonts w:cstheme="minorHAnsi"/>
            <w:sz w:val="22"/>
          </w:rPr>
          <w:t>https://msd.govt.nz/about-msd-and-our-work/newsroom/budget/2021/factsheets/improving-work-capacity-medical-certificates.html</w:t>
        </w:r>
      </w:hyperlink>
      <w:r w:rsidRPr="00E24ABC">
        <w:rPr>
          <w:rFonts w:cstheme="minorHAnsi"/>
          <w:sz w:val="22"/>
        </w:rPr>
        <w:t xml:space="preserve"> </w:t>
      </w:r>
    </w:p>
    <w:p w14:paraId="0A6CED52" w14:textId="77777777" w:rsidR="00FB528E" w:rsidRPr="00E24ABC" w:rsidRDefault="00FB528E" w:rsidP="00D34D47">
      <w:pPr>
        <w:spacing w:line="240" w:lineRule="auto"/>
        <w:rPr>
          <w:rFonts w:cstheme="minorHAnsi"/>
          <w:sz w:val="22"/>
        </w:rPr>
      </w:pPr>
      <w:r w:rsidRPr="00E24ABC">
        <w:rPr>
          <w:rFonts w:cstheme="minorHAnsi"/>
          <w:sz w:val="22"/>
        </w:rPr>
        <w:t xml:space="preserve">Ministry of Social Development (n.d.). What happened to people who left benefit system during the year ended 30 June 2014. Retrieved from </w:t>
      </w:r>
      <w:hyperlink r:id="rId90" w:history="1">
        <w:r w:rsidRPr="00E24ABC">
          <w:rPr>
            <w:rStyle w:val="Hyperlink"/>
            <w:sz w:val="22"/>
          </w:rPr>
          <w:t>https://www.msd.govt.nz/about-msd-and-our-work/publications-resources/research/benefit-system/what-happened-to-people-who-left-benefit-system-during-the-year-ended-30-june-2014.html</w:t>
        </w:r>
      </w:hyperlink>
    </w:p>
    <w:p w14:paraId="0FD91033" w14:textId="77777777" w:rsidR="00FB528E" w:rsidRPr="00E24ABC" w:rsidRDefault="00FB528E" w:rsidP="00D34D47">
      <w:pPr>
        <w:spacing w:line="240" w:lineRule="auto"/>
        <w:rPr>
          <w:rFonts w:cstheme="minorHAnsi"/>
          <w:sz w:val="22"/>
        </w:rPr>
      </w:pPr>
      <w:r w:rsidRPr="00E24ABC">
        <w:rPr>
          <w:rFonts w:cstheme="minorHAnsi"/>
          <w:sz w:val="22"/>
        </w:rPr>
        <w:t>Murray, S. (2019). The state of wellbeing and equality for disabled people, their families, and wh</w:t>
      </w:r>
      <w:r w:rsidRPr="00E24ABC">
        <w:rPr>
          <w:rFonts w:cstheme="minorHAnsi"/>
          <w:sz w:val="22"/>
          <w:lang w:val="mi-NZ"/>
        </w:rPr>
        <w:t>ānau. CCS Disability Action</w:t>
      </w:r>
      <w:r w:rsidRPr="00E24ABC">
        <w:rPr>
          <w:rFonts w:cstheme="minorHAnsi"/>
          <w:i/>
          <w:iCs/>
          <w:sz w:val="22"/>
          <w:lang w:val="mi-NZ"/>
        </w:rPr>
        <w:t xml:space="preserve">. </w:t>
      </w:r>
      <w:r w:rsidRPr="00E24ABC">
        <w:rPr>
          <w:rFonts w:cstheme="minorHAnsi"/>
          <w:sz w:val="22"/>
          <w:lang w:val="mi-NZ"/>
        </w:rPr>
        <w:t>Retrieved from</w:t>
      </w:r>
      <w:r w:rsidRPr="00E24ABC">
        <w:rPr>
          <w:rFonts w:cstheme="minorHAnsi"/>
          <w:sz w:val="22"/>
        </w:rPr>
        <w:t xml:space="preserve"> </w:t>
      </w:r>
      <w:hyperlink r:id="rId91" w:history="1">
        <w:r w:rsidRPr="00E24ABC">
          <w:rPr>
            <w:rStyle w:val="Hyperlink"/>
            <w:rFonts w:cstheme="minorHAnsi"/>
            <w:sz w:val="22"/>
          </w:rPr>
          <w:t>https://ccsdisabilityaction.org.nz/assets/resource-files/The-State-of-wellbeing-and-equality-FINAL-ONLINE.pdf</w:t>
        </w:r>
      </w:hyperlink>
    </w:p>
    <w:p w14:paraId="154F2ADA" w14:textId="77777777" w:rsidR="00FB528E" w:rsidRPr="00E24ABC" w:rsidRDefault="00FB528E" w:rsidP="00D34D47">
      <w:pPr>
        <w:pStyle w:val="FootnoteText"/>
        <w:rPr>
          <w:rFonts w:cstheme="minorHAnsi"/>
          <w:sz w:val="22"/>
          <w:szCs w:val="22"/>
        </w:rPr>
      </w:pPr>
      <w:r w:rsidRPr="00E24ABC">
        <w:rPr>
          <w:rFonts w:cstheme="minorHAnsi"/>
          <w:sz w:val="22"/>
          <w:szCs w:val="22"/>
        </w:rPr>
        <w:t xml:space="preserve">Neuwelt-Kearns, C., Murray, S., Russell, J. &amp; Lee, J. (2020). ‘Living well’? Children with disability need far greater income support in Aotearoa. Child Poverty Action Group. Retrieved from </w:t>
      </w:r>
      <w:hyperlink r:id="rId92" w:anchor="d=gs_cit&amp;u=%2Fscholar%3Fq%3Dinfo%3A-U06XGZNYUQJ%3Ascholar.google.com%2F%26output%3Dcite%26scirp%3D1%26hl%3Den" w:history="1">
        <w:r w:rsidRPr="00E24ABC">
          <w:rPr>
            <w:rStyle w:val="Hyperlink"/>
            <w:rFonts w:cstheme="minorHAnsi"/>
            <w:sz w:val="22"/>
            <w:szCs w:val="22"/>
          </w:rPr>
          <w:t>https://scholar.google.com/scholar?hl=en&amp;as_sdt=0%2C5&amp;q=neuwelt-kearns+murray+living+well&amp;btnG=#d=gs_cit&amp;u=%2Fscholar%3Fq%3Dinfo%3A-U06XGZNYUQJ%3Ascholar.google.com%2F%26output%3Dcite%26scirp%3D1%26hl%3Den</w:t>
        </w:r>
      </w:hyperlink>
      <w:r w:rsidRPr="00E24ABC">
        <w:rPr>
          <w:rFonts w:cstheme="minorHAnsi"/>
          <w:sz w:val="22"/>
          <w:szCs w:val="22"/>
        </w:rPr>
        <w:t xml:space="preserve"> </w:t>
      </w:r>
    </w:p>
    <w:p w14:paraId="192BBB20" w14:textId="77777777" w:rsidR="00FB528E" w:rsidRPr="00E24ABC" w:rsidRDefault="00FB528E" w:rsidP="00D34D47">
      <w:pPr>
        <w:pStyle w:val="FootnoteText"/>
        <w:rPr>
          <w:rFonts w:cstheme="minorHAnsi"/>
          <w:sz w:val="22"/>
          <w:szCs w:val="22"/>
        </w:rPr>
      </w:pPr>
    </w:p>
    <w:p w14:paraId="3DB66A81" w14:textId="77777777" w:rsidR="00FB528E" w:rsidRPr="00E24ABC" w:rsidRDefault="00FB528E" w:rsidP="00D34D47">
      <w:pPr>
        <w:pStyle w:val="FootnoteText"/>
        <w:rPr>
          <w:rFonts w:cstheme="minorHAnsi"/>
          <w:sz w:val="22"/>
          <w:szCs w:val="22"/>
        </w:rPr>
      </w:pPr>
      <w:r w:rsidRPr="00E24ABC">
        <w:rPr>
          <w:rFonts w:cstheme="minorHAnsi"/>
          <w:sz w:val="22"/>
          <w:szCs w:val="22"/>
        </w:rPr>
        <w:t xml:space="preserve">Neuwelt-Kearns, C. &amp; St John, S. (2021). 2021 Series: Rethinking Income Support for Children Part 1: Ensuring Adequate Indexation of Working for Families. </w:t>
      </w:r>
      <w:r w:rsidRPr="00E24ABC">
        <w:rPr>
          <w:rFonts w:cstheme="minorHAnsi"/>
          <w:i/>
          <w:iCs/>
          <w:sz w:val="22"/>
          <w:szCs w:val="22"/>
        </w:rPr>
        <w:t>Child Poverty Action Group.</w:t>
      </w:r>
      <w:r w:rsidRPr="00E24ABC">
        <w:rPr>
          <w:rFonts w:cstheme="minorHAnsi"/>
          <w:sz w:val="22"/>
          <w:szCs w:val="22"/>
        </w:rPr>
        <w:t xml:space="preserve"> Retrieved from </w:t>
      </w:r>
      <w:hyperlink r:id="rId93" w:history="1">
        <w:r w:rsidRPr="00E24ABC">
          <w:rPr>
            <w:rStyle w:val="Hyperlink"/>
            <w:rFonts w:cstheme="minorHAnsi"/>
            <w:sz w:val="22"/>
            <w:szCs w:val="22"/>
          </w:rPr>
          <w:t>https://www.cpag.org.nz/assets/WFFSeries1EnsuringAdequateIndexationofWorkingforFamilies5May2021.pdf</w:t>
        </w:r>
      </w:hyperlink>
      <w:r w:rsidRPr="00E24ABC">
        <w:rPr>
          <w:rFonts w:cstheme="minorHAnsi"/>
          <w:sz w:val="22"/>
          <w:szCs w:val="22"/>
        </w:rPr>
        <w:t xml:space="preserve"> </w:t>
      </w:r>
    </w:p>
    <w:p w14:paraId="1A20B354" w14:textId="77777777" w:rsidR="00FB528E" w:rsidRPr="00E24ABC" w:rsidRDefault="00FB528E" w:rsidP="00D34D47">
      <w:pPr>
        <w:pStyle w:val="FootnoteText"/>
        <w:rPr>
          <w:rFonts w:cstheme="minorHAnsi"/>
          <w:sz w:val="22"/>
          <w:szCs w:val="22"/>
        </w:rPr>
      </w:pPr>
    </w:p>
    <w:p w14:paraId="738C5689" w14:textId="1090C056" w:rsidR="00FB528E" w:rsidRPr="00E24ABC" w:rsidRDefault="00FB528E" w:rsidP="00D34D47">
      <w:pPr>
        <w:spacing w:line="240" w:lineRule="auto"/>
        <w:rPr>
          <w:rFonts w:cstheme="minorHAnsi"/>
          <w:sz w:val="22"/>
        </w:rPr>
      </w:pPr>
      <w:r w:rsidRPr="00E24ABC">
        <w:rPr>
          <w:rFonts w:cstheme="minorHAnsi"/>
          <w:sz w:val="22"/>
        </w:rPr>
        <w:t xml:space="preserve">New Zealand Government (2018). Terms of Reference for the Welfare Expert Advisory Group. Retrieved from </w:t>
      </w:r>
      <w:hyperlink r:id="rId94" w:history="1">
        <w:r w:rsidR="00E24ABC" w:rsidRPr="00E24ABC">
          <w:rPr>
            <w:rStyle w:val="Hyperlink"/>
            <w:rFonts w:cstheme="minorHAnsi"/>
            <w:sz w:val="22"/>
          </w:rPr>
          <w:t>https://www.beehive.govt.nz/sites/default/files/2018-05/WEAG%20Terms%20of%20Reference_0.pdf</w:t>
        </w:r>
      </w:hyperlink>
      <w:r w:rsidR="00E24ABC" w:rsidRPr="00E24ABC">
        <w:rPr>
          <w:rFonts w:cstheme="minorHAnsi"/>
          <w:sz w:val="22"/>
        </w:rPr>
        <w:t xml:space="preserve"> </w:t>
      </w:r>
    </w:p>
    <w:p w14:paraId="69E0A85F"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(2019). Disabled people and people with health conditions – improving employment and wider wellbeing. Retrieved from </w:t>
      </w:r>
      <w:hyperlink r:id="rId95" w:history="1">
        <w:r w:rsidRPr="00E24ABC">
          <w:rPr>
            <w:rStyle w:val="Hyperlink"/>
            <w:rFonts w:cstheme="minorHAnsi"/>
            <w:sz w:val="22"/>
          </w:rPr>
          <w:t>https://www.msd.govt.nz/documents/about-msd-and-our-work/newsroom/factsheets/budget/factsheet-disabled-people-employment-2019.pdf</w:t>
        </w:r>
      </w:hyperlink>
      <w:r w:rsidRPr="00E24ABC">
        <w:rPr>
          <w:rFonts w:cstheme="minorHAnsi"/>
          <w:sz w:val="22"/>
        </w:rPr>
        <w:t xml:space="preserve"> </w:t>
      </w:r>
    </w:p>
    <w:p w14:paraId="6AA84636"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(2020). Benefit settings rise in line with wages as of 1 April. Retrieved from </w:t>
      </w:r>
      <w:hyperlink r:id="rId96" w:tgtFrame="_blank" w:history="1">
        <w:r w:rsidRPr="00E24ABC">
          <w:rPr>
            <w:rStyle w:val="Hyperlink"/>
            <w:rFonts w:cstheme="minorHAnsi"/>
            <w:color w:val="1155CC"/>
            <w:sz w:val="22"/>
            <w:shd w:val="clear" w:color="auto" w:fill="FFFFFF"/>
          </w:rPr>
          <w:t>https://www.beehive.govt.nz/release/benefit-settings-rise-line-wages-1-april</w:t>
        </w:r>
      </w:hyperlink>
      <w:r w:rsidRPr="00E24ABC">
        <w:rPr>
          <w:rStyle w:val="Hyperlink"/>
          <w:rFonts w:cstheme="minorHAnsi"/>
          <w:color w:val="1155CC"/>
          <w:sz w:val="22"/>
          <w:shd w:val="clear" w:color="auto" w:fill="FFFFFF"/>
        </w:rPr>
        <w:t xml:space="preserve"> </w:t>
      </w:r>
    </w:p>
    <w:p w14:paraId="549A6F91"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(2021a). Better childcare assistance for low and middle income families. Retrieved from </w:t>
      </w:r>
      <w:hyperlink r:id="rId97" w:history="1">
        <w:r w:rsidRPr="00E24ABC">
          <w:rPr>
            <w:rStyle w:val="Hyperlink"/>
            <w:rFonts w:cstheme="minorHAnsi"/>
            <w:sz w:val="22"/>
          </w:rPr>
          <w:t>https://www.beehive.govt.nz/release/better-childcare-assistance-low-and-middle-income-families</w:t>
        </w:r>
      </w:hyperlink>
    </w:p>
    <w:p w14:paraId="43B6E15F" w14:textId="77777777" w:rsidR="00FB528E" w:rsidRPr="00E24ABC" w:rsidRDefault="00FB528E" w:rsidP="00D34D47">
      <w:pPr>
        <w:spacing w:line="240" w:lineRule="auto"/>
        <w:rPr>
          <w:rStyle w:val="Hyperlink"/>
          <w:rFonts w:cstheme="minorHAnsi"/>
          <w:sz w:val="22"/>
        </w:rPr>
      </w:pPr>
      <w:r w:rsidRPr="00E24ABC">
        <w:rPr>
          <w:rFonts w:cstheme="minorHAnsi"/>
          <w:sz w:val="22"/>
        </w:rPr>
        <w:t xml:space="preserve">New Zealand Government (2021b). Government delivers on promise to working low-income families. Retrieved from </w:t>
      </w:r>
      <w:hyperlink r:id="rId98" w:history="1">
        <w:r w:rsidRPr="00E24ABC">
          <w:rPr>
            <w:rStyle w:val="Hyperlink"/>
            <w:rFonts w:cstheme="minorHAnsi"/>
            <w:sz w:val="22"/>
          </w:rPr>
          <w:t>https://www.beehive.govt.nz/release/government-delivers-promise-working-low-income-families</w:t>
        </w:r>
      </w:hyperlink>
    </w:p>
    <w:p w14:paraId="59F0CF3A" w14:textId="77777777" w:rsidR="00FB528E" w:rsidRPr="00E24ABC" w:rsidRDefault="00FB528E" w:rsidP="00D34D47">
      <w:pPr>
        <w:spacing w:line="240" w:lineRule="auto"/>
        <w:rPr>
          <w:rFonts w:cstheme="minorHAnsi"/>
          <w:sz w:val="22"/>
        </w:rPr>
      </w:pPr>
      <w:r w:rsidRPr="00E24ABC">
        <w:rPr>
          <w:rFonts w:cstheme="minorHAnsi"/>
          <w:sz w:val="22"/>
        </w:rPr>
        <w:t>New Zealand Government (2021c). Significant boost for M</w:t>
      </w:r>
      <w:r w:rsidRPr="00E24ABC">
        <w:rPr>
          <w:rFonts w:cstheme="minorHAnsi"/>
          <w:sz w:val="22"/>
          <w:lang w:val="mi-NZ"/>
        </w:rPr>
        <w:t xml:space="preserve">āori Housing in Budget 2021. Retrieved from </w:t>
      </w:r>
      <w:hyperlink r:id="rId99" w:history="1">
        <w:r w:rsidRPr="00E24ABC">
          <w:rPr>
            <w:rStyle w:val="Hyperlink"/>
            <w:rFonts w:cstheme="minorHAnsi"/>
            <w:sz w:val="22"/>
          </w:rPr>
          <w:t>https://www.beehive.govt.nz/release/significant-boost-m%C4%81ori-housing-budget-2021</w:t>
        </w:r>
      </w:hyperlink>
    </w:p>
    <w:p w14:paraId="064ADC7C"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(2021d). Training Incentive Allowance to support 16,000 New Zealanders into jobs. Retrieved from </w:t>
      </w:r>
      <w:hyperlink r:id="rId100" w:history="1">
        <w:r w:rsidRPr="00E24ABC">
          <w:rPr>
            <w:rStyle w:val="Hyperlink"/>
            <w:rFonts w:cstheme="minorHAnsi"/>
            <w:sz w:val="22"/>
          </w:rPr>
          <w:t>https://www.beehive.govt.nz/release/training-incentive-allowance-support-16000-new-zealanders-jobs</w:t>
        </w:r>
      </w:hyperlink>
    </w:p>
    <w:p w14:paraId="00F9308E"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(2021e). Main benefit boost: up to 33,000 children lifted out of poverty. Retrieved from </w:t>
      </w:r>
      <w:hyperlink r:id="rId101" w:history="1">
        <w:r w:rsidRPr="00E24ABC">
          <w:rPr>
            <w:rStyle w:val="Hyperlink"/>
            <w:rFonts w:cstheme="minorHAnsi"/>
            <w:sz w:val="22"/>
          </w:rPr>
          <w:t>https://www.beehive.govt.nz/release/main-benefit-boost-33000-children-lifted-out-poverty</w:t>
        </w:r>
      </w:hyperlink>
    </w:p>
    <w:p w14:paraId="72C87134"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(2021f). Community Housing Providers to get upfront funding to deliver new builds faster. Retrieved from </w:t>
      </w:r>
      <w:hyperlink r:id="rId102" w:history="1">
        <w:r w:rsidRPr="00E24ABC">
          <w:rPr>
            <w:rStyle w:val="Hyperlink"/>
            <w:rFonts w:cstheme="minorHAnsi"/>
            <w:sz w:val="22"/>
          </w:rPr>
          <w:t>https://www.beehive.govt.nz/release/community-housing-providers-get-upfront-funding-deliver-new-builds-faster</w:t>
        </w:r>
      </w:hyperlink>
    </w:p>
    <w:p w14:paraId="0EABCBE2" w14:textId="77777777" w:rsidR="00FB528E" w:rsidRPr="00E24ABC" w:rsidRDefault="00FB528E" w:rsidP="00D34D47">
      <w:pPr>
        <w:pStyle w:val="FootnoteText"/>
        <w:rPr>
          <w:rFonts w:cstheme="minorHAnsi"/>
          <w:sz w:val="22"/>
          <w:szCs w:val="22"/>
        </w:rPr>
      </w:pPr>
      <w:r w:rsidRPr="00E24ABC">
        <w:rPr>
          <w:rFonts w:cstheme="minorHAnsi"/>
          <w:sz w:val="22"/>
          <w:szCs w:val="22"/>
        </w:rPr>
        <w:t xml:space="preserve">New Zealand Government (2021g). Ineffective Subsequent Child Policy Sanction Removed. Retrieved from </w:t>
      </w:r>
      <w:hyperlink r:id="rId103" w:history="1">
        <w:r w:rsidRPr="00E24ABC">
          <w:rPr>
            <w:rStyle w:val="Hyperlink"/>
            <w:rFonts w:cstheme="minorHAnsi"/>
            <w:sz w:val="22"/>
            <w:szCs w:val="22"/>
          </w:rPr>
          <w:t>https://www.beehive.govt.nz/release/ineffective-subsequent-child-policy-sanction-removed</w:t>
        </w:r>
      </w:hyperlink>
      <w:r w:rsidRPr="00E24ABC">
        <w:rPr>
          <w:rFonts w:cstheme="minorHAnsi"/>
          <w:sz w:val="22"/>
          <w:szCs w:val="22"/>
        </w:rPr>
        <w:t xml:space="preserve"> </w:t>
      </w:r>
    </w:p>
    <w:p w14:paraId="6FB96302" w14:textId="77777777" w:rsidR="00FB528E" w:rsidRPr="00E24ABC" w:rsidRDefault="00FB528E" w:rsidP="00D34D47">
      <w:pPr>
        <w:pStyle w:val="FootnoteText"/>
        <w:rPr>
          <w:rFonts w:cstheme="minorHAnsi"/>
          <w:sz w:val="22"/>
          <w:szCs w:val="22"/>
        </w:rPr>
      </w:pPr>
    </w:p>
    <w:p w14:paraId="36182FA0" w14:textId="77777777" w:rsidR="00FB528E" w:rsidRPr="00E24ABC" w:rsidRDefault="00FB528E" w:rsidP="00D34D47">
      <w:pPr>
        <w:pStyle w:val="FootnoteText"/>
        <w:rPr>
          <w:rStyle w:val="Hyperlink"/>
          <w:rFonts w:cstheme="minorHAnsi"/>
          <w:sz w:val="22"/>
          <w:szCs w:val="22"/>
        </w:rPr>
      </w:pPr>
      <w:r w:rsidRPr="00E24ABC">
        <w:rPr>
          <w:rFonts w:cstheme="minorHAnsi"/>
          <w:sz w:val="22"/>
          <w:szCs w:val="22"/>
        </w:rPr>
        <w:t xml:space="preserve">New Zealand Government (2021h). Finance Minister's Budget 2021 speech. Retrieved from </w:t>
      </w:r>
      <w:hyperlink r:id="rId104" w:history="1">
        <w:r w:rsidRPr="00E24ABC">
          <w:rPr>
            <w:rStyle w:val="Hyperlink"/>
            <w:rFonts w:cstheme="minorHAnsi"/>
            <w:sz w:val="22"/>
            <w:szCs w:val="22"/>
          </w:rPr>
          <w:t>https://www.beehive.govt.nz/speech/finance-ministers-budget-2021-speech</w:t>
        </w:r>
      </w:hyperlink>
    </w:p>
    <w:p w14:paraId="58E7D62E" w14:textId="77777777" w:rsidR="00FB528E" w:rsidRPr="00E24ABC" w:rsidRDefault="00FB528E" w:rsidP="00D34D47">
      <w:pPr>
        <w:pStyle w:val="FootnoteText"/>
        <w:rPr>
          <w:rFonts w:cstheme="minorHAnsi"/>
          <w:sz w:val="22"/>
          <w:szCs w:val="22"/>
        </w:rPr>
      </w:pPr>
    </w:p>
    <w:p w14:paraId="5110805F" w14:textId="77777777" w:rsidR="00FB528E" w:rsidRPr="00E24ABC" w:rsidRDefault="00FB528E" w:rsidP="00D34D47">
      <w:pPr>
        <w:pStyle w:val="FootnoteText"/>
        <w:rPr>
          <w:rStyle w:val="Hyperlink"/>
          <w:rFonts w:cstheme="minorHAnsi"/>
          <w:sz w:val="22"/>
          <w:szCs w:val="22"/>
        </w:rPr>
      </w:pPr>
      <w:r w:rsidRPr="00E24ABC">
        <w:rPr>
          <w:rFonts w:cstheme="minorHAnsi"/>
          <w:sz w:val="22"/>
          <w:szCs w:val="22"/>
        </w:rPr>
        <w:t xml:space="preserve">New Zealand Government (2021i). Budget 2021: Tackling inequality and child poverty: Main benefit increases. Retrieved from </w:t>
      </w:r>
      <w:hyperlink r:id="rId105" w:history="1">
        <w:r w:rsidRPr="00E24ABC">
          <w:rPr>
            <w:rStyle w:val="Hyperlink"/>
            <w:rFonts w:cstheme="minorHAnsi"/>
            <w:sz w:val="22"/>
            <w:szCs w:val="22"/>
          </w:rPr>
          <w:t>https://www.treasury.govt.nz/sites/default/files/2021-05/b21-tackling-inequality-child-poverty.pdf</w:t>
        </w:r>
      </w:hyperlink>
    </w:p>
    <w:p w14:paraId="0119984E" w14:textId="77777777" w:rsidR="00FB528E" w:rsidRPr="00E24ABC" w:rsidRDefault="00FB528E" w:rsidP="00D34D47">
      <w:pPr>
        <w:pStyle w:val="FootnoteText"/>
        <w:rPr>
          <w:rFonts w:cstheme="minorHAnsi"/>
          <w:sz w:val="22"/>
          <w:szCs w:val="22"/>
        </w:rPr>
      </w:pPr>
    </w:p>
    <w:p w14:paraId="4DF48901" w14:textId="77777777" w:rsidR="00FB528E" w:rsidRPr="00E24ABC" w:rsidRDefault="00FB528E" w:rsidP="00D34D47">
      <w:pPr>
        <w:pStyle w:val="FootnoteText"/>
        <w:rPr>
          <w:rFonts w:cstheme="minorHAnsi"/>
          <w:sz w:val="22"/>
          <w:szCs w:val="22"/>
          <w:lang w:val="mi-NZ"/>
        </w:rPr>
      </w:pPr>
      <w:r w:rsidRPr="00E24ABC">
        <w:rPr>
          <w:rFonts w:cstheme="minorHAnsi"/>
          <w:sz w:val="22"/>
          <w:szCs w:val="22"/>
        </w:rPr>
        <w:t xml:space="preserve">New Zealand Government (2021j). Families Factsheet: </w:t>
      </w:r>
      <w:r w:rsidRPr="00E24ABC">
        <w:rPr>
          <w:rFonts w:cstheme="minorHAnsi"/>
          <w:sz w:val="22"/>
          <w:szCs w:val="22"/>
          <w:lang w:val="mi-NZ"/>
        </w:rPr>
        <w:t>We’re backing New Zealand Families.</w:t>
      </w:r>
    </w:p>
    <w:p w14:paraId="3938CCB2" w14:textId="77777777" w:rsidR="00FB528E" w:rsidRPr="00E24ABC" w:rsidRDefault="00FB528E" w:rsidP="00D34D47">
      <w:pPr>
        <w:pStyle w:val="FootnoteText"/>
        <w:rPr>
          <w:rFonts w:cstheme="minorHAnsi"/>
          <w:sz w:val="22"/>
          <w:szCs w:val="22"/>
          <w:lang w:val="mi-NZ"/>
        </w:rPr>
      </w:pPr>
    </w:p>
    <w:p w14:paraId="5311AC18"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(2021l). Significant boost for Māori Housing in Budget 2021. Retrieved from </w:t>
      </w:r>
      <w:hyperlink r:id="rId106" w:history="1">
        <w:r w:rsidRPr="00E24ABC">
          <w:rPr>
            <w:rStyle w:val="Hyperlink"/>
            <w:rFonts w:cstheme="minorHAnsi"/>
            <w:sz w:val="22"/>
          </w:rPr>
          <w:t>https://www.beehive.govt.nz/release/significant-boost-m%C4%81ori-housing-budget-2021</w:t>
        </w:r>
      </w:hyperlink>
      <w:r w:rsidRPr="00E24ABC">
        <w:rPr>
          <w:rFonts w:cstheme="minorHAnsi"/>
          <w:sz w:val="22"/>
        </w:rPr>
        <w:t xml:space="preserve"> </w:t>
      </w:r>
    </w:p>
    <w:p w14:paraId="6803EFFB" w14:textId="77777777" w:rsidR="00FB528E" w:rsidRPr="00E24ABC" w:rsidRDefault="00FB528E" w:rsidP="00D34D47">
      <w:pPr>
        <w:spacing w:line="240" w:lineRule="auto"/>
        <w:rPr>
          <w:rFonts w:cstheme="minorHAnsi"/>
          <w:sz w:val="22"/>
        </w:rPr>
      </w:pPr>
      <w:r w:rsidRPr="00E24ABC">
        <w:rPr>
          <w:rFonts w:cstheme="minorHAnsi"/>
          <w:sz w:val="22"/>
        </w:rPr>
        <w:t xml:space="preserve">New Zealand Government (2021m). Incomes lifted for 346,000 families. Retrieved from </w:t>
      </w:r>
      <w:hyperlink r:id="rId107" w:history="1">
        <w:r w:rsidRPr="00E24ABC">
          <w:rPr>
            <w:rStyle w:val="Hyperlink"/>
            <w:rFonts w:cstheme="minorHAnsi"/>
            <w:sz w:val="22"/>
          </w:rPr>
          <w:t>https://www.beehive.govt.nz/release/incomes-lifted-346000-families</w:t>
        </w:r>
      </w:hyperlink>
      <w:r w:rsidRPr="00E24ABC">
        <w:rPr>
          <w:rFonts w:cstheme="minorHAnsi"/>
          <w:sz w:val="22"/>
        </w:rPr>
        <w:t xml:space="preserve"> </w:t>
      </w:r>
    </w:p>
    <w:p w14:paraId="7A1A5329" w14:textId="77777777" w:rsidR="00FB528E" w:rsidRPr="00E24ABC" w:rsidRDefault="00FB528E" w:rsidP="00D34D47">
      <w:pPr>
        <w:spacing w:line="240" w:lineRule="auto"/>
        <w:rPr>
          <w:rStyle w:val="Hyperlink"/>
          <w:rFonts w:cstheme="minorHAnsi"/>
          <w:color w:val="1155CC"/>
          <w:sz w:val="22"/>
          <w:shd w:val="clear" w:color="auto" w:fill="FFFFFF"/>
        </w:rPr>
      </w:pPr>
      <w:r w:rsidRPr="00E24ABC">
        <w:rPr>
          <w:rFonts w:cstheme="minorHAnsi"/>
          <w:sz w:val="22"/>
        </w:rPr>
        <w:t xml:space="preserve">New Zealand Government (2021n). Main benefits to increase in line with wages. Retrieved from </w:t>
      </w:r>
      <w:hyperlink r:id="rId108" w:tgtFrame="_blank" w:history="1">
        <w:r w:rsidRPr="00E24ABC">
          <w:rPr>
            <w:rStyle w:val="Hyperlink"/>
            <w:rFonts w:cstheme="minorHAnsi"/>
            <w:color w:val="1155CC"/>
            <w:sz w:val="22"/>
            <w:shd w:val="clear" w:color="auto" w:fill="FFFFFF"/>
          </w:rPr>
          <w:t>https://www.beehive.govt.nz/release/main-benefits-increase-line-wages</w:t>
        </w:r>
      </w:hyperlink>
    </w:p>
    <w:p w14:paraId="5EF54A12" w14:textId="77777777" w:rsidR="00FB528E" w:rsidRPr="00E24ABC" w:rsidRDefault="00FB528E" w:rsidP="00D34D47">
      <w:pPr>
        <w:spacing w:line="240" w:lineRule="auto"/>
        <w:rPr>
          <w:rStyle w:val="Hyperlink"/>
          <w:rFonts w:cstheme="minorHAnsi"/>
          <w:color w:val="1155CC"/>
          <w:sz w:val="22"/>
          <w:shd w:val="clear" w:color="auto" w:fill="FFFFFF"/>
        </w:rPr>
      </w:pPr>
      <w:r w:rsidRPr="00E24ABC">
        <w:rPr>
          <w:rStyle w:val="Hyperlink"/>
          <w:rFonts w:cstheme="minorHAnsi"/>
          <w:color w:val="auto"/>
          <w:sz w:val="22"/>
          <w:u w:val="none"/>
          <w:shd w:val="clear" w:color="auto" w:fill="FFFFFF"/>
        </w:rPr>
        <w:t xml:space="preserve">New Zealand Government (2021o). Main benefit boost: up to 33,000 children lifted out of poverty. Retrieved from </w:t>
      </w:r>
      <w:hyperlink r:id="rId109" w:history="1">
        <w:r w:rsidRPr="00E24ABC">
          <w:rPr>
            <w:rStyle w:val="Hyperlink"/>
            <w:rFonts w:cstheme="minorHAnsi"/>
            <w:sz w:val="22"/>
            <w:shd w:val="clear" w:color="auto" w:fill="FFFFFF"/>
          </w:rPr>
          <w:t>https://budget.govt.nz/budget/pdfs/releases/r2-ardern-sepuloni-main-benefit-boost-up-to-33000-children-lifted-out-of-poverty.pdf</w:t>
        </w:r>
      </w:hyperlink>
      <w:r w:rsidRPr="00E24ABC">
        <w:rPr>
          <w:rStyle w:val="Hyperlink"/>
          <w:rFonts w:cstheme="minorHAnsi"/>
          <w:color w:val="1155CC"/>
          <w:sz w:val="22"/>
          <w:shd w:val="clear" w:color="auto" w:fill="FFFFFF"/>
        </w:rPr>
        <w:t xml:space="preserve"> </w:t>
      </w:r>
    </w:p>
    <w:p w14:paraId="1FD59675" w14:textId="77777777" w:rsidR="00FB528E" w:rsidRPr="00E24ABC" w:rsidRDefault="00FB528E" w:rsidP="00D34D47">
      <w:pPr>
        <w:spacing w:line="240" w:lineRule="auto"/>
        <w:rPr>
          <w:rStyle w:val="Hyperlink"/>
          <w:sz w:val="22"/>
        </w:rPr>
      </w:pPr>
      <w:r w:rsidRPr="00E24ABC">
        <w:rPr>
          <w:rStyle w:val="Hyperlink"/>
          <w:rFonts w:cstheme="minorHAnsi"/>
          <w:color w:val="auto"/>
          <w:sz w:val="22"/>
          <w:u w:val="none"/>
          <w:shd w:val="clear" w:color="auto" w:fill="FFFFFF"/>
        </w:rPr>
        <w:t xml:space="preserve">NZ Government (2021q). Government continues support for rangatahi to get into employment, education and training. Retrieved from </w:t>
      </w:r>
      <w:hyperlink r:id="rId110" w:history="1">
        <w:r w:rsidRPr="00E24ABC">
          <w:rPr>
            <w:rStyle w:val="Hyperlink"/>
            <w:sz w:val="22"/>
          </w:rPr>
          <w:t>https://www.beehive.govt.nz/release/government-continues-support-rangatahi-get-employment-education-and-training</w:t>
        </w:r>
      </w:hyperlink>
      <w:r w:rsidRPr="00E24ABC">
        <w:rPr>
          <w:rStyle w:val="Hyperlink"/>
          <w:sz w:val="22"/>
        </w:rPr>
        <w:t xml:space="preserve"> </w:t>
      </w:r>
    </w:p>
    <w:p w14:paraId="5FF9CA9D" w14:textId="77777777" w:rsidR="00FB528E" w:rsidRPr="00E24ABC" w:rsidRDefault="00FB528E" w:rsidP="00D34D47">
      <w:pPr>
        <w:spacing w:line="240" w:lineRule="auto"/>
        <w:rPr>
          <w:rStyle w:val="Hyperlink"/>
          <w:sz w:val="22"/>
        </w:rPr>
      </w:pPr>
      <w:r w:rsidRPr="00E24ABC">
        <w:rPr>
          <w:rFonts w:cstheme="minorHAnsi"/>
          <w:sz w:val="22"/>
          <w:shd w:val="clear" w:color="auto" w:fill="FFFFFF"/>
        </w:rPr>
        <w:t xml:space="preserve">NZ Government (2021r). Employment boost for rural communities. Retrieved from </w:t>
      </w:r>
      <w:hyperlink r:id="rId111" w:history="1">
        <w:r w:rsidRPr="00E24ABC">
          <w:rPr>
            <w:rStyle w:val="Hyperlink"/>
            <w:sz w:val="22"/>
          </w:rPr>
          <w:t>https://www.beehive.govt.nz/release/employment-boost-rural-communities</w:t>
        </w:r>
      </w:hyperlink>
      <w:r w:rsidRPr="00E24ABC">
        <w:rPr>
          <w:rStyle w:val="Hyperlink"/>
          <w:sz w:val="22"/>
        </w:rPr>
        <w:t xml:space="preserve"> </w:t>
      </w:r>
    </w:p>
    <w:p w14:paraId="0CDEDE27" w14:textId="77777777" w:rsidR="00FB528E" w:rsidRPr="00E24ABC" w:rsidRDefault="00FB528E" w:rsidP="00D34D47">
      <w:pPr>
        <w:spacing w:line="240" w:lineRule="auto"/>
        <w:rPr>
          <w:rStyle w:val="Hyperlink"/>
          <w:rFonts w:cstheme="minorHAnsi"/>
          <w:sz w:val="22"/>
        </w:rPr>
      </w:pPr>
      <w:r w:rsidRPr="00E24ABC">
        <w:rPr>
          <w:rFonts w:cstheme="minorHAnsi"/>
          <w:sz w:val="22"/>
        </w:rPr>
        <w:t xml:space="preserve">Ngā Tāngata Microfinance (2021). Research shows that families, females, Māori and Pacific people hardest hit by lockdowns. Retrieved from  </w:t>
      </w:r>
      <w:hyperlink r:id="rId112" w:history="1">
        <w:r w:rsidRPr="00E24ABC">
          <w:rPr>
            <w:rStyle w:val="Hyperlink"/>
            <w:rFonts w:cstheme="minorHAnsi"/>
            <w:sz w:val="22"/>
          </w:rPr>
          <w:t>https://www.ngatangatamicrofinance.org.nz/news-media/research-shows-that-families-females-maori-and-pacific-people-hardest-hit-by-lockdowns/</w:t>
        </w:r>
      </w:hyperlink>
    </w:p>
    <w:p w14:paraId="5CFD2DF9" w14:textId="68A97CA6" w:rsidR="00FB528E" w:rsidRPr="00E24ABC" w:rsidRDefault="00FB528E" w:rsidP="00D34D47">
      <w:pPr>
        <w:spacing w:line="240" w:lineRule="auto"/>
        <w:rPr>
          <w:rStyle w:val="Hyperlink"/>
          <w:rFonts w:cstheme="minorHAnsi"/>
          <w:sz w:val="22"/>
        </w:rPr>
      </w:pPr>
      <w:r w:rsidRPr="00E24ABC">
        <w:rPr>
          <w:rFonts w:cstheme="minorHAnsi"/>
          <w:sz w:val="22"/>
        </w:rPr>
        <w:t>RNZ (2021</w:t>
      </w:r>
      <w:r w:rsidR="00583B10" w:rsidRPr="00E24ABC">
        <w:rPr>
          <w:rFonts w:cstheme="minorHAnsi"/>
          <w:sz w:val="22"/>
        </w:rPr>
        <w:t>a</w:t>
      </w:r>
      <w:r w:rsidRPr="00E24ABC">
        <w:rPr>
          <w:rFonts w:cstheme="minorHAnsi"/>
          <w:sz w:val="22"/>
        </w:rPr>
        <w:t xml:space="preserve">). Working for Families next on the list after benefits rise, Ardern says. </w:t>
      </w:r>
      <w:r w:rsidRPr="00E24ABC">
        <w:rPr>
          <w:rFonts w:cstheme="minorHAnsi"/>
          <w:i/>
          <w:iCs/>
          <w:sz w:val="22"/>
        </w:rPr>
        <w:t>RNZ</w:t>
      </w:r>
      <w:r w:rsidRPr="00E24ABC">
        <w:rPr>
          <w:rFonts w:cstheme="minorHAnsi"/>
          <w:sz w:val="22"/>
        </w:rPr>
        <w:t xml:space="preserve">. Retrieved from  </w:t>
      </w:r>
      <w:hyperlink r:id="rId113" w:history="1">
        <w:r w:rsidRPr="00E24ABC">
          <w:rPr>
            <w:rStyle w:val="Hyperlink"/>
            <w:rFonts w:cstheme="minorHAnsi"/>
            <w:sz w:val="22"/>
          </w:rPr>
          <w:t>https://www.rnz.co.nz/news/political/443226/working-for-families-next-on-the-list-after-benefits-rise-ardern-says</w:t>
        </w:r>
      </w:hyperlink>
    </w:p>
    <w:p w14:paraId="77D97EF2"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RNZ (2021b). Progressive Home Ownership Scheme houses just 12 families in seven months. Retrieved from </w:t>
      </w:r>
      <w:hyperlink r:id="rId114" w:history="1">
        <w:r w:rsidRPr="00E24ABC">
          <w:rPr>
            <w:rStyle w:val="Hyperlink"/>
            <w:rFonts w:cstheme="minorHAnsi"/>
            <w:sz w:val="22"/>
          </w:rPr>
          <w:t>https://www.rnz.co.nz/news/political/437079/progressive-home-ownership-scheme-houses-just-12-families-in-seven-months</w:t>
        </w:r>
      </w:hyperlink>
      <w:r w:rsidRPr="00E24ABC">
        <w:rPr>
          <w:rStyle w:val="Hyperlink"/>
          <w:rFonts w:cstheme="minorHAnsi"/>
          <w:color w:val="auto"/>
          <w:sz w:val="22"/>
          <w:u w:val="none"/>
        </w:rPr>
        <w:t xml:space="preserve"> </w:t>
      </w:r>
    </w:p>
    <w:p w14:paraId="6DE813C8"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RNZ (2021c). Rangatahi and Māori trades and training intiatives get funding boost. Retrieved from </w:t>
      </w:r>
      <w:hyperlink r:id="rId115" w:history="1">
        <w:r w:rsidRPr="00E24ABC">
          <w:rPr>
            <w:rStyle w:val="Hyperlink"/>
            <w:rFonts w:cstheme="minorHAnsi"/>
            <w:sz w:val="22"/>
          </w:rPr>
          <w:t>https://www.rnz.co.nz/news/political/448942/rangatahi-and-maori-trades-and-training-intiatives-get-funding-boost</w:t>
        </w:r>
      </w:hyperlink>
      <w:r w:rsidRPr="00E24ABC">
        <w:rPr>
          <w:rStyle w:val="Hyperlink"/>
          <w:rFonts w:cstheme="minorHAnsi"/>
          <w:color w:val="auto"/>
          <w:sz w:val="22"/>
          <w:u w:val="none"/>
        </w:rPr>
        <w:t xml:space="preserve"> </w:t>
      </w:r>
    </w:p>
    <w:p w14:paraId="7B4BC1E2" w14:textId="77777777" w:rsidR="00FB528E" w:rsidRPr="00E24ABC" w:rsidRDefault="00FB528E" w:rsidP="00D34D47">
      <w:pPr>
        <w:spacing w:line="240" w:lineRule="auto"/>
        <w:rPr>
          <w:rStyle w:val="Hyperlink"/>
          <w:sz w:val="22"/>
        </w:rPr>
      </w:pPr>
      <w:r w:rsidRPr="00E24ABC">
        <w:rPr>
          <w:rStyle w:val="Hyperlink"/>
          <w:rFonts w:cstheme="minorHAnsi"/>
          <w:color w:val="auto"/>
          <w:sz w:val="22"/>
          <w:u w:val="none"/>
        </w:rPr>
        <w:t xml:space="preserve">Robertson, G. (2021). Budget Speech. Retrieved from </w:t>
      </w:r>
      <w:hyperlink r:id="rId116" w:history="1">
        <w:r w:rsidRPr="00E24ABC">
          <w:rPr>
            <w:rStyle w:val="Hyperlink"/>
            <w:sz w:val="22"/>
          </w:rPr>
          <w:t>https://www.treasury.govt.nz/sites/default/files/2021-05/b21-speech.pdf</w:t>
        </w:r>
      </w:hyperlink>
      <w:r w:rsidRPr="00E24ABC">
        <w:rPr>
          <w:rStyle w:val="Hyperlink"/>
          <w:sz w:val="22"/>
        </w:rPr>
        <w:t xml:space="preserve"> </w:t>
      </w:r>
    </w:p>
    <w:p w14:paraId="245A0067" w14:textId="77777777" w:rsidR="00FB528E" w:rsidRPr="00E24ABC" w:rsidRDefault="00FB528E" w:rsidP="00D34D47">
      <w:pPr>
        <w:spacing w:line="240" w:lineRule="auto"/>
        <w:rPr>
          <w:rStyle w:val="Hyperlink"/>
          <w:rFonts w:cstheme="minorHAnsi"/>
          <w:color w:val="auto"/>
          <w:sz w:val="22"/>
          <w:u w:val="none"/>
        </w:rPr>
      </w:pPr>
      <w:r w:rsidRPr="00E24ABC">
        <w:rPr>
          <w:rStyle w:val="Hyperlink"/>
          <w:color w:val="auto"/>
          <w:sz w:val="22"/>
          <w:u w:val="none"/>
        </w:rPr>
        <w:t xml:space="preserve">Robson, S. (2021). Advocates welcome 'less intrusive' approach from MSD but say more needs to be done. </w:t>
      </w:r>
      <w:r w:rsidRPr="00E24ABC">
        <w:rPr>
          <w:rStyle w:val="Hyperlink"/>
          <w:i/>
          <w:iCs/>
          <w:color w:val="auto"/>
          <w:sz w:val="22"/>
          <w:u w:val="none"/>
        </w:rPr>
        <w:t>RNZ</w:t>
      </w:r>
      <w:r w:rsidRPr="00E24ABC">
        <w:rPr>
          <w:rStyle w:val="Hyperlink"/>
          <w:color w:val="auto"/>
          <w:sz w:val="22"/>
          <w:u w:val="none"/>
        </w:rPr>
        <w:t xml:space="preserve">. Retrieved from </w:t>
      </w:r>
      <w:hyperlink r:id="rId117" w:history="1">
        <w:r w:rsidRPr="00E24ABC">
          <w:rPr>
            <w:rStyle w:val="Hyperlink"/>
            <w:sz w:val="22"/>
          </w:rPr>
          <w:t>https://www.rnz.co.nz/news/national/452621/advocates-welcome-less-intrusive-approach-from-msd-but-say-more-needs-to-be-done</w:t>
        </w:r>
      </w:hyperlink>
      <w:r w:rsidRPr="00E24ABC">
        <w:rPr>
          <w:rStyle w:val="Hyperlink"/>
          <w:color w:val="auto"/>
          <w:sz w:val="22"/>
          <w:u w:val="none"/>
        </w:rPr>
        <w:t xml:space="preserve"> </w:t>
      </w:r>
    </w:p>
    <w:p w14:paraId="2BCE284A" w14:textId="77777777" w:rsidR="00FB528E" w:rsidRPr="00E24ABC" w:rsidRDefault="00FB528E" w:rsidP="00D34D47">
      <w:pPr>
        <w:spacing w:line="240" w:lineRule="auto"/>
        <w:rPr>
          <w:rFonts w:cstheme="minorHAnsi"/>
          <w:sz w:val="22"/>
        </w:rPr>
      </w:pPr>
      <w:r w:rsidRPr="00E24ABC">
        <w:rPr>
          <w:rFonts w:cstheme="minorHAnsi"/>
          <w:sz w:val="22"/>
        </w:rPr>
        <w:t xml:space="preserve">Save the Children (2021). Urgent Inquiry Needed Into "Demeaning And Inhumane" Culture At MSD. </w:t>
      </w:r>
      <w:r w:rsidRPr="00E24ABC">
        <w:rPr>
          <w:rFonts w:cstheme="minorHAnsi"/>
          <w:i/>
          <w:iCs/>
          <w:sz w:val="22"/>
        </w:rPr>
        <w:t>Scoop</w:t>
      </w:r>
      <w:r w:rsidRPr="00E24ABC">
        <w:rPr>
          <w:rFonts w:cstheme="minorHAnsi"/>
          <w:sz w:val="22"/>
        </w:rPr>
        <w:t xml:space="preserve">. Retrieved from </w:t>
      </w:r>
      <w:hyperlink r:id="rId118" w:history="1">
        <w:r w:rsidRPr="00E24ABC">
          <w:rPr>
            <w:rStyle w:val="Hyperlink"/>
            <w:sz w:val="22"/>
          </w:rPr>
          <w:t>https://www.scoop.co.nz/stories/AK2109/S00152/urgent-inquiry-needed-into-demeaning-and-inhumane-culture-at-msd.htm</w:t>
        </w:r>
      </w:hyperlink>
      <w:r w:rsidRPr="00E24ABC">
        <w:rPr>
          <w:sz w:val="22"/>
        </w:rPr>
        <w:t xml:space="preserve"> </w:t>
      </w:r>
    </w:p>
    <w:p w14:paraId="1EEC738E" w14:textId="77777777" w:rsidR="00FB528E" w:rsidRPr="00E24ABC" w:rsidRDefault="00FB528E" w:rsidP="00D34D47">
      <w:pPr>
        <w:spacing w:line="240" w:lineRule="auto"/>
        <w:rPr>
          <w:rFonts w:cstheme="minorHAnsi"/>
          <w:sz w:val="22"/>
        </w:rPr>
      </w:pPr>
      <w:r w:rsidRPr="00E24ABC">
        <w:rPr>
          <w:rFonts w:cstheme="minorHAnsi"/>
          <w:sz w:val="22"/>
        </w:rPr>
        <w:t xml:space="preserve">Stats NZ (2020). Labour market statistics (disability): June 2020 quarter. Retrieved from </w:t>
      </w:r>
      <w:hyperlink r:id="rId119" w:history="1">
        <w:r w:rsidRPr="00E24ABC">
          <w:rPr>
            <w:rStyle w:val="Hyperlink"/>
            <w:rFonts w:cstheme="minorHAnsi"/>
            <w:sz w:val="22"/>
          </w:rPr>
          <w:t>https://www.stats.govt.nz/information-releases/labour-market-statistics-disability-june-2020-quarter</w:t>
        </w:r>
      </w:hyperlink>
      <w:r w:rsidRPr="00E24ABC">
        <w:rPr>
          <w:rFonts w:cstheme="minorHAnsi"/>
          <w:sz w:val="22"/>
        </w:rPr>
        <w:t xml:space="preserve"> </w:t>
      </w:r>
    </w:p>
    <w:p w14:paraId="7019CBCD" w14:textId="77777777" w:rsidR="00FB528E" w:rsidRPr="00E24ABC" w:rsidRDefault="00FB528E" w:rsidP="00D34D47">
      <w:pPr>
        <w:spacing w:line="240" w:lineRule="auto"/>
        <w:rPr>
          <w:rStyle w:val="Hyperlink"/>
          <w:rFonts w:cstheme="minorHAnsi"/>
          <w:sz w:val="22"/>
        </w:rPr>
      </w:pPr>
      <w:r w:rsidRPr="00E24ABC">
        <w:rPr>
          <w:rFonts w:cstheme="minorHAnsi"/>
          <w:sz w:val="22"/>
        </w:rPr>
        <w:t xml:space="preserve">Stats NZ (2021). Child poverty statistics for households with disabled people released for the first time. Retrieved from </w:t>
      </w:r>
      <w:hyperlink r:id="rId120" w:history="1">
        <w:r w:rsidRPr="00E24ABC">
          <w:rPr>
            <w:rStyle w:val="Hyperlink"/>
            <w:rFonts w:cstheme="minorHAnsi"/>
            <w:sz w:val="22"/>
          </w:rPr>
          <w:t>https://www.stats.govt.nz/news/child-poverty-statistics-for-households-with-disabled-people-released-for-the-first-time</w:t>
        </w:r>
      </w:hyperlink>
    </w:p>
    <w:p w14:paraId="28AC60AC" w14:textId="77777777" w:rsidR="00FB528E" w:rsidRPr="00E24ABC" w:rsidRDefault="00FB528E" w:rsidP="00D34D47">
      <w:pPr>
        <w:spacing w:line="240" w:lineRule="auto"/>
        <w:rPr>
          <w:rFonts w:cstheme="minorHAnsi"/>
          <w:sz w:val="22"/>
        </w:rPr>
      </w:pPr>
      <w:r w:rsidRPr="00E24ABC">
        <w:rPr>
          <w:rStyle w:val="Hyperlink"/>
          <w:rFonts w:cstheme="minorHAnsi"/>
          <w:color w:val="auto"/>
          <w:sz w:val="22"/>
          <w:u w:val="none"/>
        </w:rPr>
        <w:t>Stats NZ (2021b).</w:t>
      </w:r>
      <w:r w:rsidRPr="00E24ABC">
        <w:rPr>
          <w:sz w:val="22"/>
        </w:rPr>
        <w:t xml:space="preserve"> </w:t>
      </w:r>
      <w:r w:rsidRPr="00E24ABC">
        <w:rPr>
          <w:rStyle w:val="Hyperlink"/>
          <w:rFonts w:cstheme="minorHAnsi"/>
          <w:color w:val="auto"/>
          <w:sz w:val="22"/>
          <w:u w:val="none"/>
        </w:rPr>
        <w:t xml:space="preserve">Labour market statistics (disability): June 2021 quarter. Retrieved from </w:t>
      </w:r>
      <w:hyperlink r:id="rId121" w:history="1">
        <w:r w:rsidRPr="00E24ABC">
          <w:rPr>
            <w:rStyle w:val="Hyperlink"/>
            <w:rFonts w:cstheme="minorHAnsi"/>
            <w:sz w:val="22"/>
          </w:rPr>
          <w:t>https://www.stats.govt.nz/information-releases/labour-market-statistics-disability-june-2021-quarter</w:t>
        </w:r>
      </w:hyperlink>
      <w:r w:rsidRPr="00E24ABC">
        <w:rPr>
          <w:rStyle w:val="Hyperlink"/>
          <w:rFonts w:cstheme="minorHAnsi"/>
          <w:color w:val="auto"/>
          <w:sz w:val="22"/>
          <w:u w:val="none"/>
        </w:rPr>
        <w:t xml:space="preserve"> </w:t>
      </w:r>
    </w:p>
    <w:p w14:paraId="78058138" w14:textId="77777777" w:rsidR="00FB528E" w:rsidRPr="00E24ABC" w:rsidRDefault="00FB528E" w:rsidP="00D34D47">
      <w:pPr>
        <w:spacing w:line="240" w:lineRule="auto"/>
        <w:rPr>
          <w:rFonts w:cstheme="minorHAnsi"/>
          <w:sz w:val="22"/>
        </w:rPr>
      </w:pPr>
      <w:r w:rsidRPr="00E24ABC">
        <w:rPr>
          <w:rFonts w:cstheme="minorHAnsi"/>
          <w:sz w:val="22"/>
        </w:rPr>
        <w:t>Te Pūtahitanga o Te Waipounamu (2021). Te P</w:t>
      </w:r>
      <w:r w:rsidRPr="00E24ABC">
        <w:rPr>
          <w:rFonts w:cstheme="minorHAnsi"/>
          <w:sz w:val="22"/>
          <w:lang w:val="mi-NZ"/>
        </w:rPr>
        <w:t xml:space="preserve">ūtahitanga o Te Waipounamu Celebrates Changes to Disability System. </w:t>
      </w:r>
      <w:r w:rsidRPr="00E24ABC">
        <w:rPr>
          <w:rFonts w:cstheme="minorHAnsi"/>
          <w:i/>
          <w:iCs/>
          <w:sz w:val="22"/>
          <w:lang w:val="mi-NZ"/>
        </w:rPr>
        <w:t>Scoop Politics</w:t>
      </w:r>
      <w:r w:rsidRPr="00E24ABC">
        <w:rPr>
          <w:rFonts w:cstheme="minorHAnsi"/>
          <w:sz w:val="22"/>
          <w:lang w:val="mi-NZ"/>
        </w:rPr>
        <w:t xml:space="preserve">. Retrieved from </w:t>
      </w:r>
      <w:hyperlink r:id="rId122" w:history="1">
        <w:r w:rsidRPr="00E24ABC">
          <w:rPr>
            <w:rStyle w:val="Hyperlink"/>
            <w:rFonts w:cstheme="minorHAnsi"/>
            <w:sz w:val="22"/>
          </w:rPr>
          <w:t>https://www.scoop.co.nz/stories/PO2110/S00292/te-putahitanga-o-te-waipounamu-celebrates-changes-to-disability-system.htm</w:t>
        </w:r>
      </w:hyperlink>
    </w:p>
    <w:p w14:paraId="063B4047" w14:textId="77777777" w:rsidR="00FB528E" w:rsidRPr="00E24ABC" w:rsidRDefault="00FB528E" w:rsidP="00D34D47">
      <w:pPr>
        <w:spacing w:line="240" w:lineRule="auto"/>
        <w:rPr>
          <w:rFonts w:cstheme="minorHAnsi"/>
          <w:color w:val="0563C1" w:themeColor="hyperlink"/>
          <w:sz w:val="22"/>
          <w:u w:val="single"/>
          <w:lang w:val="mi-NZ"/>
        </w:rPr>
      </w:pPr>
      <w:r w:rsidRPr="00E24ABC">
        <w:rPr>
          <w:rFonts w:cstheme="minorHAnsi"/>
          <w:sz w:val="22"/>
        </w:rPr>
        <w:t xml:space="preserve">Te Wake, W. (2021). Great dames set their sights on social welfare ministry. </w:t>
      </w:r>
      <w:r w:rsidRPr="00E24ABC">
        <w:rPr>
          <w:rFonts w:cstheme="minorHAnsi"/>
          <w:i/>
          <w:iCs/>
          <w:sz w:val="22"/>
        </w:rPr>
        <w:t>Te Ao M</w:t>
      </w:r>
      <w:r w:rsidRPr="00E24ABC">
        <w:rPr>
          <w:rFonts w:cstheme="minorHAnsi"/>
          <w:i/>
          <w:iCs/>
          <w:sz w:val="22"/>
          <w:lang w:val="mi-NZ"/>
        </w:rPr>
        <w:t xml:space="preserve">āori News. </w:t>
      </w:r>
      <w:r w:rsidRPr="00E24ABC">
        <w:rPr>
          <w:rFonts w:cstheme="minorHAnsi"/>
          <w:sz w:val="22"/>
          <w:lang w:val="mi-NZ"/>
        </w:rPr>
        <w:t>Retrieved from</w:t>
      </w:r>
      <w:r w:rsidRPr="00E24ABC">
        <w:rPr>
          <w:rStyle w:val="Hyperlink"/>
          <w:rFonts w:cstheme="minorHAnsi"/>
          <w:sz w:val="22"/>
          <w:lang w:val="mi-NZ"/>
        </w:rPr>
        <w:t xml:space="preserve"> </w:t>
      </w:r>
      <w:hyperlink r:id="rId123" w:history="1">
        <w:r w:rsidRPr="00E24ABC">
          <w:rPr>
            <w:rStyle w:val="Hyperlink"/>
            <w:rFonts w:cstheme="minorHAnsi"/>
            <w:sz w:val="22"/>
          </w:rPr>
          <w:t>https://www.teaomaori.news/great-dames-set-their-sights-on-social-welfare-ministry</w:t>
        </w:r>
      </w:hyperlink>
      <w:r w:rsidRPr="00E24ABC">
        <w:rPr>
          <w:rStyle w:val="Hyperlink"/>
          <w:rFonts w:cstheme="minorHAnsi"/>
          <w:sz w:val="22"/>
        </w:rPr>
        <w:t xml:space="preserve"> </w:t>
      </w:r>
    </w:p>
    <w:p w14:paraId="2A1D8BE2" w14:textId="77777777" w:rsidR="00FB528E" w:rsidRPr="00E24ABC" w:rsidRDefault="00FB528E" w:rsidP="00D34D47">
      <w:pPr>
        <w:spacing w:line="240" w:lineRule="auto"/>
        <w:rPr>
          <w:rFonts w:cstheme="minorHAnsi"/>
          <w:sz w:val="22"/>
        </w:rPr>
      </w:pPr>
      <w:r w:rsidRPr="00E24ABC">
        <w:rPr>
          <w:rFonts w:cstheme="minorHAnsi"/>
          <w:sz w:val="22"/>
        </w:rPr>
        <w:t xml:space="preserve">Tenancy Services (2021). Rent increases and reductions. Retrieved from </w:t>
      </w:r>
      <w:hyperlink r:id="rId124" w:history="1">
        <w:r w:rsidRPr="00E24ABC">
          <w:rPr>
            <w:rStyle w:val="Hyperlink"/>
            <w:rFonts w:cstheme="minorHAnsi"/>
            <w:sz w:val="22"/>
          </w:rPr>
          <w:t>https://www.tenancy.govt.nz/rent-bond-and-bills/rent/increasing-rent/</w:t>
        </w:r>
      </w:hyperlink>
      <w:r w:rsidRPr="00E24ABC">
        <w:rPr>
          <w:rFonts w:cstheme="minorHAnsi"/>
          <w:sz w:val="22"/>
        </w:rPr>
        <w:t xml:space="preserve"> </w:t>
      </w:r>
    </w:p>
    <w:p w14:paraId="4A8C1765" w14:textId="77777777" w:rsidR="00FB528E" w:rsidRPr="00E24ABC" w:rsidRDefault="00FB528E" w:rsidP="00D34D47">
      <w:pPr>
        <w:spacing w:line="240" w:lineRule="auto"/>
        <w:rPr>
          <w:rStyle w:val="Hyperlink"/>
          <w:rFonts w:cstheme="minorHAnsi"/>
          <w:sz w:val="22"/>
        </w:rPr>
      </w:pPr>
      <w:r w:rsidRPr="00E24ABC">
        <w:rPr>
          <w:rFonts w:cstheme="minorHAnsi"/>
          <w:sz w:val="22"/>
        </w:rPr>
        <w:t xml:space="preserve">Ternouth, L. (2021). Disabled people in relationships paying for the price of love. </w:t>
      </w:r>
      <w:r w:rsidRPr="00E24ABC">
        <w:rPr>
          <w:rFonts w:cstheme="minorHAnsi"/>
          <w:i/>
          <w:iCs/>
          <w:sz w:val="22"/>
        </w:rPr>
        <w:t>RNZ</w:t>
      </w:r>
      <w:r w:rsidRPr="00E24ABC">
        <w:rPr>
          <w:rFonts w:cstheme="minorHAnsi"/>
          <w:sz w:val="22"/>
        </w:rPr>
        <w:t xml:space="preserve">. Retrieved from </w:t>
      </w:r>
      <w:hyperlink r:id="rId125" w:history="1">
        <w:r w:rsidRPr="00E24ABC">
          <w:rPr>
            <w:rStyle w:val="Hyperlink"/>
            <w:rFonts w:cstheme="minorHAnsi"/>
            <w:sz w:val="22"/>
          </w:rPr>
          <w:t>https://www.rnz.co.nz/national/programmes/checkpoint/audio/2018806504/disabled-people-in-relationships-paying-for-the-price-of-love</w:t>
        </w:r>
      </w:hyperlink>
    </w:p>
    <w:p w14:paraId="7B6A63AA"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Tertiary Education Commission (2020a). Targeted Training and Apprenticeship Fund (free trades training). Retrieved from </w:t>
      </w:r>
      <w:hyperlink r:id="rId126" w:history="1">
        <w:r w:rsidRPr="00E24ABC">
          <w:rPr>
            <w:rStyle w:val="Hyperlink"/>
            <w:rFonts w:cstheme="minorHAnsi"/>
            <w:sz w:val="22"/>
            <w:shd w:val="clear" w:color="auto" w:fill="FFFFFF"/>
          </w:rPr>
          <w:t>https://www.tec.govt.nz/funding/funding-and-performance/funding/fund-finder/targeted-training-and-apprenticeship-fund/</w:t>
        </w:r>
      </w:hyperlink>
      <w:r w:rsidRPr="00E24ABC">
        <w:rPr>
          <w:rFonts w:cstheme="minorHAnsi"/>
          <w:color w:val="222222"/>
          <w:sz w:val="22"/>
          <w:shd w:val="clear" w:color="auto" w:fill="FFFFFF"/>
        </w:rPr>
        <w:t xml:space="preserve"> </w:t>
      </w:r>
    </w:p>
    <w:p w14:paraId="3B7E7921"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Tertiary Education Commission (2020b). Reform of Vocational Education (RoVE). Retrieved from </w:t>
      </w:r>
      <w:hyperlink r:id="rId127" w:history="1">
        <w:r w:rsidRPr="00E24ABC">
          <w:rPr>
            <w:rStyle w:val="Hyperlink"/>
            <w:rFonts w:cstheme="minorHAnsi"/>
            <w:sz w:val="22"/>
            <w:shd w:val="clear" w:color="auto" w:fill="FFFFFF"/>
          </w:rPr>
          <w:t>https://www.tec.govt.nz/rove/reform-of-vocational-education/</w:t>
        </w:r>
      </w:hyperlink>
      <w:r w:rsidRPr="00E24ABC">
        <w:rPr>
          <w:rFonts w:cstheme="minorHAnsi"/>
          <w:color w:val="222222"/>
          <w:sz w:val="22"/>
          <w:shd w:val="clear" w:color="auto" w:fill="FFFFFF"/>
        </w:rPr>
        <w:t xml:space="preserve"> </w:t>
      </w:r>
    </w:p>
    <w:p w14:paraId="7DF9B0F0"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Tertiary Education Commission (n.d.). Workforce Development Councils. Retrieved from </w:t>
      </w:r>
      <w:hyperlink r:id="rId128" w:history="1">
        <w:r w:rsidRPr="00E24ABC">
          <w:rPr>
            <w:rStyle w:val="Hyperlink"/>
            <w:rFonts w:cstheme="minorHAnsi"/>
            <w:sz w:val="22"/>
            <w:shd w:val="clear" w:color="auto" w:fill="FFFFFF"/>
          </w:rPr>
          <w:t>https://www.tec.govt.nz/rove/workforce-development-councils/</w:t>
        </w:r>
      </w:hyperlink>
      <w:r w:rsidRPr="00E24ABC">
        <w:rPr>
          <w:rFonts w:cstheme="minorHAnsi"/>
          <w:color w:val="222222"/>
          <w:sz w:val="22"/>
          <w:shd w:val="clear" w:color="auto" w:fill="FFFFFF"/>
        </w:rPr>
        <w:t xml:space="preserve"> </w:t>
      </w:r>
    </w:p>
    <w:p w14:paraId="6F05F21A" w14:textId="77777777" w:rsidR="00FB528E" w:rsidRPr="00E24ABC" w:rsidRDefault="00FB528E" w:rsidP="00D34D47">
      <w:pPr>
        <w:spacing w:line="240" w:lineRule="auto"/>
        <w:rPr>
          <w:rFonts w:cstheme="minorHAnsi"/>
          <w:color w:val="222222"/>
          <w:sz w:val="22"/>
          <w:shd w:val="clear" w:color="auto" w:fill="FFFFFF"/>
        </w:rPr>
      </w:pPr>
      <w:r w:rsidRPr="00E24ABC">
        <w:rPr>
          <w:rFonts w:cstheme="minorHAnsi"/>
          <w:color w:val="222222"/>
          <w:sz w:val="22"/>
          <w:shd w:val="clear" w:color="auto" w:fill="FFFFFF"/>
        </w:rPr>
        <w:t xml:space="preserve">Tinetti, J. (2021). Hansard Oral Question Q7, 11 Nov 2021. Retrieved from </w:t>
      </w:r>
      <w:hyperlink r:id="rId129" w:history="1">
        <w:r w:rsidRPr="00E24ABC">
          <w:rPr>
            <w:rStyle w:val="Hyperlink"/>
            <w:rFonts w:cstheme="minorHAnsi"/>
            <w:sz w:val="22"/>
            <w:shd w:val="clear" w:color="auto" w:fill="FFFFFF"/>
          </w:rPr>
          <w:t>https://www.parliament.nz/en/pb/hansard-debates/rhr/document/HansS_20211111_050940000/7-question-no-7-social-development-and-employment</w:t>
        </w:r>
      </w:hyperlink>
      <w:r w:rsidRPr="00E24ABC">
        <w:rPr>
          <w:rFonts w:cstheme="minorHAnsi"/>
          <w:color w:val="222222"/>
          <w:sz w:val="22"/>
          <w:shd w:val="clear" w:color="auto" w:fill="FFFFFF"/>
        </w:rPr>
        <w:t xml:space="preserve"> </w:t>
      </w:r>
    </w:p>
    <w:p w14:paraId="5225C6A8" w14:textId="77777777" w:rsidR="00FB528E" w:rsidRPr="00E24ABC" w:rsidRDefault="00FB528E" w:rsidP="00D34D47">
      <w:pPr>
        <w:spacing w:line="240" w:lineRule="auto"/>
        <w:rPr>
          <w:rFonts w:cstheme="minorHAnsi"/>
          <w:sz w:val="22"/>
        </w:rPr>
      </w:pPr>
      <w:r w:rsidRPr="00E24ABC">
        <w:rPr>
          <w:rFonts w:cstheme="minorHAnsi"/>
          <w:sz w:val="22"/>
        </w:rPr>
        <w:t xml:space="preserve">Treasury (2020). Future of Work Tripartite Forum. Retrieved from </w:t>
      </w:r>
      <w:hyperlink r:id="rId130" w:history="1">
        <w:r w:rsidRPr="00E24ABC">
          <w:rPr>
            <w:rStyle w:val="Hyperlink"/>
            <w:rFonts w:cstheme="minorHAnsi"/>
            <w:sz w:val="22"/>
          </w:rPr>
          <w:t>https://www.treasury.govt.nz/information-and-services/nz-economy/future-work-tripartite-forum</w:t>
        </w:r>
      </w:hyperlink>
      <w:r w:rsidRPr="00E24ABC">
        <w:rPr>
          <w:rFonts w:cstheme="minorHAnsi"/>
          <w:sz w:val="22"/>
        </w:rPr>
        <w:t xml:space="preserve"> </w:t>
      </w:r>
    </w:p>
    <w:p w14:paraId="0E42F493" w14:textId="77777777" w:rsidR="00FB528E" w:rsidRPr="00E24ABC" w:rsidRDefault="00FB528E" w:rsidP="00D34D47">
      <w:pPr>
        <w:spacing w:line="240" w:lineRule="auto"/>
        <w:rPr>
          <w:rFonts w:cstheme="minorHAnsi"/>
          <w:sz w:val="22"/>
        </w:rPr>
      </w:pPr>
      <w:r w:rsidRPr="00E24ABC">
        <w:rPr>
          <w:rFonts w:cstheme="minorHAnsi"/>
          <w:sz w:val="22"/>
        </w:rPr>
        <w:t xml:space="preserve">Treasury (2021). </w:t>
      </w:r>
      <w:r w:rsidRPr="00E24ABC">
        <w:rPr>
          <w:rFonts w:cstheme="minorHAnsi"/>
          <w:i/>
          <w:iCs/>
          <w:sz w:val="22"/>
        </w:rPr>
        <w:t xml:space="preserve">Budget 2021 Information Release: August 2021. </w:t>
      </w:r>
      <w:r w:rsidRPr="00E24ABC">
        <w:rPr>
          <w:rFonts w:cstheme="minorHAnsi"/>
          <w:sz w:val="22"/>
        </w:rPr>
        <w:t xml:space="preserve">Retrieved from </w:t>
      </w:r>
      <w:hyperlink r:id="rId131" w:history="1">
        <w:r w:rsidRPr="00E24ABC">
          <w:rPr>
            <w:rStyle w:val="Hyperlink"/>
            <w:rFonts w:cstheme="minorHAnsi"/>
            <w:sz w:val="22"/>
          </w:rPr>
          <w:t>https://budget.govt.nz/information-release/2021/pdf/b21-t2020-3574-4381994.pdf</w:t>
        </w:r>
      </w:hyperlink>
      <w:r w:rsidRPr="00E24ABC">
        <w:rPr>
          <w:rStyle w:val="Hyperlink"/>
          <w:rFonts w:cstheme="minorHAnsi"/>
          <w:sz w:val="22"/>
        </w:rPr>
        <w:t xml:space="preserve"> </w:t>
      </w:r>
    </w:p>
    <w:p w14:paraId="39AD6134" w14:textId="77777777" w:rsidR="00FB528E" w:rsidRPr="00E24ABC" w:rsidRDefault="00FB528E" w:rsidP="00D34D47">
      <w:pPr>
        <w:spacing w:line="240" w:lineRule="auto"/>
        <w:rPr>
          <w:rFonts w:cstheme="minorHAnsi"/>
          <w:sz w:val="22"/>
        </w:rPr>
      </w:pPr>
      <w:r w:rsidRPr="00E24ABC">
        <w:rPr>
          <w:rFonts w:cstheme="minorHAnsi"/>
          <w:sz w:val="22"/>
        </w:rPr>
        <w:t xml:space="preserve">Welfare Expert Advisory Group (2019). Whakamana Tāngata: Restoring Dignity to Social Security in New Zealand. Retrieved from </w:t>
      </w:r>
      <w:hyperlink r:id="rId132" w:history="1">
        <w:r w:rsidRPr="00E24ABC">
          <w:rPr>
            <w:rStyle w:val="Hyperlink"/>
            <w:rFonts w:cstheme="minorHAnsi"/>
            <w:sz w:val="22"/>
          </w:rPr>
          <w:t>http://www.weag.govt.nz/assets/documents/WEAGreport/aed960c3ce/WEAG-Report.pdf</w:t>
        </w:r>
      </w:hyperlink>
      <w:r w:rsidRPr="00E24ABC">
        <w:rPr>
          <w:rFonts w:cstheme="minorHAnsi"/>
          <w:sz w:val="22"/>
        </w:rPr>
        <w:t xml:space="preserve">     </w:t>
      </w:r>
    </w:p>
    <w:p w14:paraId="4B76CB67" w14:textId="77777777" w:rsidR="00FB528E" w:rsidRPr="00E24ABC" w:rsidRDefault="00FB528E" w:rsidP="00D34D47">
      <w:pPr>
        <w:spacing w:line="240" w:lineRule="auto"/>
        <w:rPr>
          <w:rFonts w:cstheme="minorHAnsi"/>
          <w:sz w:val="22"/>
        </w:rPr>
      </w:pPr>
      <w:r w:rsidRPr="00E24ABC">
        <w:rPr>
          <w:rFonts w:cstheme="minorHAnsi"/>
          <w:sz w:val="22"/>
        </w:rPr>
        <w:t xml:space="preserve">Work and Income (2020). Stand-down periods. Retrieved from </w:t>
      </w:r>
      <w:hyperlink r:id="rId133" w:anchor="null" w:history="1">
        <w:r w:rsidRPr="00E24ABC">
          <w:rPr>
            <w:rStyle w:val="Hyperlink"/>
            <w:rFonts w:cstheme="minorHAnsi"/>
            <w:sz w:val="22"/>
          </w:rPr>
          <w:t>https://www.workandincome.govt.nz/online-services/apply/what-is-a-stand-down.html#null</w:t>
        </w:r>
      </w:hyperlink>
      <w:r w:rsidRPr="00E24ABC">
        <w:rPr>
          <w:rFonts w:cstheme="minorHAnsi"/>
          <w:sz w:val="22"/>
        </w:rPr>
        <w:t xml:space="preserve"> </w:t>
      </w:r>
    </w:p>
    <w:p w14:paraId="2765FB25"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Work and Income (2021).</w:t>
      </w:r>
      <w:r w:rsidRPr="00E24ABC">
        <w:rPr>
          <w:sz w:val="22"/>
        </w:rPr>
        <w:t xml:space="preserve"> </w:t>
      </w:r>
      <w:r w:rsidRPr="00E24ABC">
        <w:rPr>
          <w:rStyle w:val="Hyperlink"/>
          <w:rFonts w:cstheme="minorHAnsi"/>
          <w:color w:val="auto"/>
          <w:sz w:val="22"/>
          <w:u w:val="none"/>
        </w:rPr>
        <w:t xml:space="preserve">Changes to how much you can earn from 1 April. Retrieved from </w:t>
      </w:r>
      <w:hyperlink r:id="rId134" w:history="1">
        <w:r w:rsidRPr="00E24ABC">
          <w:rPr>
            <w:rStyle w:val="Hyperlink"/>
            <w:rFonts w:cstheme="minorHAnsi"/>
            <w:sz w:val="22"/>
          </w:rPr>
          <w:t>https://www.workandincome.govt.nz/about-work-and-income/news/2021/income-abatement-changes.html</w:t>
        </w:r>
      </w:hyperlink>
      <w:r w:rsidRPr="00E24ABC">
        <w:rPr>
          <w:rStyle w:val="Hyperlink"/>
          <w:rFonts w:cstheme="minorHAnsi"/>
          <w:color w:val="auto"/>
          <w:sz w:val="22"/>
          <w:u w:val="none"/>
        </w:rPr>
        <w:t xml:space="preserve"> </w:t>
      </w:r>
    </w:p>
    <w:p w14:paraId="0E609449"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Work and Income (n.d.). He Poutama Rangatahi – Youth Employment Pathways. Retrieved from </w:t>
      </w:r>
      <w:hyperlink r:id="rId135" w:anchor="null" w:history="1">
        <w:r w:rsidRPr="00E24ABC">
          <w:rPr>
            <w:rStyle w:val="Hyperlink"/>
            <w:rFonts w:cstheme="minorHAnsi"/>
            <w:sz w:val="22"/>
          </w:rPr>
          <w:t>https://workandincome.govt.nz/providers/programmes-and-projects/he-poutama-rangatahi-youth-employment-pathways.html#null</w:t>
        </w:r>
      </w:hyperlink>
      <w:r w:rsidRPr="00E24ABC">
        <w:rPr>
          <w:rStyle w:val="Hyperlink"/>
          <w:rFonts w:cstheme="minorHAnsi"/>
          <w:color w:val="auto"/>
          <w:sz w:val="22"/>
          <w:u w:val="none"/>
        </w:rPr>
        <w:t xml:space="preserve"> </w:t>
      </w:r>
    </w:p>
    <w:p w14:paraId="2A255FD4" w14:textId="77777777" w:rsidR="00FB528E" w:rsidRPr="00E24ABC"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Work and Income (n.d.). Shared care. Retrieved from </w:t>
      </w:r>
      <w:hyperlink r:id="rId136" w:history="1">
        <w:r w:rsidRPr="00E24ABC">
          <w:rPr>
            <w:rStyle w:val="Hyperlink"/>
            <w:rFonts w:cstheme="minorHAnsi"/>
            <w:sz w:val="22"/>
          </w:rPr>
          <w:t>https://www.workandincome.govt.nz/map/income-support/main-benefits/sole-parent-support/shared-care.html</w:t>
        </w:r>
      </w:hyperlink>
      <w:r w:rsidRPr="00E24ABC">
        <w:rPr>
          <w:rStyle w:val="Hyperlink"/>
          <w:rFonts w:cstheme="minorHAnsi"/>
          <w:color w:val="auto"/>
          <w:sz w:val="22"/>
          <w:u w:val="none"/>
        </w:rPr>
        <w:t xml:space="preserve"> </w:t>
      </w:r>
    </w:p>
    <w:p w14:paraId="76DA2167" w14:textId="77777777" w:rsidR="00FB528E" w:rsidRDefault="00FB528E" w:rsidP="00D34D47">
      <w:pPr>
        <w:spacing w:line="240" w:lineRule="auto"/>
        <w:rPr>
          <w:rStyle w:val="Hyperlink"/>
          <w:rFonts w:cstheme="minorHAnsi"/>
          <w:color w:val="auto"/>
          <w:sz w:val="22"/>
          <w:u w:val="none"/>
        </w:rPr>
      </w:pPr>
      <w:r w:rsidRPr="00E24ABC">
        <w:rPr>
          <w:rStyle w:val="Hyperlink"/>
          <w:rFonts w:cstheme="minorHAnsi"/>
          <w:color w:val="auto"/>
          <w:sz w:val="22"/>
          <w:u w:val="none"/>
        </w:rPr>
        <w:t xml:space="preserve">Work and Income (n.d.). Youth Payment application. Retrieved from </w:t>
      </w:r>
      <w:hyperlink r:id="rId137" w:history="1">
        <w:r w:rsidRPr="00E24ABC">
          <w:rPr>
            <w:rStyle w:val="Hyperlink"/>
            <w:rFonts w:cstheme="minorHAnsi"/>
            <w:sz w:val="22"/>
          </w:rPr>
          <w:t>https://www.workandincome.govt.nz/documents/forms/youth-payment-application.pdf</w:t>
        </w:r>
      </w:hyperlink>
      <w:r>
        <w:rPr>
          <w:rStyle w:val="Hyperlink"/>
          <w:rFonts w:cstheme="minorHAnsi"/>
          <w:color w:val="auto"/>
          <w:sz w:val="22"/>
          <w:u w:val="none"/>
        </w:rPr>
        <w:t xml:space="preserve"> </w:t>
      </w:r>
    </w:p>
    <w:p w14:paraId="402074BD" w14:textId="76CB234C" w:rsidR="00FD0A92" w:rsidRPr="00711BE7" w:rsidRDefault="00FD0A92" w:rsidP="007963BB">
      <w:pPr>
        <w:spacing w:line="276" w:lineRule="auto"/>
        <w:rPr>
          <w:rFonts w:cstheme="minorHAnsi"/>
          <w:sz w:val="22"/>
          <w:lang w:val="mi-NZ"/>
        </w:rPr>
      </w:pPr>
      <w:r w:rsidRPr="00711BE7">
        <w:rPr>
          <w:rStyle w:val="Hyperlink"/>
          <w:rFonts w:cstheme="minorHAnsi"/>
          <w:i/>
          <w:iCs/>
          <w:sz w:val="22"/>
        </w:rPr>
        <w:t xml:space="preserve"> </w:t>
      </w:r>
    </w:p>
    <w:bookmarkEnd w:id="41"/>
    <w:p w14:paraId="39A87C0D" w14:textId="0A437735" w:rsidR="003669A5" w:rsidRPr="003669A5" w:rsidRDefault="003669A5" w:rsidP="003669A5">
      <w:pPr>
        <w:sectPr w:rsidR="003669A5" w:rsidRPr="003669A5" w:rsidSect="007B5139">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276" w:left="1440" w:header="708" w:footer="708" w:gutter="0"/>
          <w:cols w:space="708"/>
          <w:titlePg/>
          <w:docGrid w:linePitch="360"/>
        </w:sectPr>
      </w:pPr>
    </w:p>
    <w:p w14:paraId="61E4976D" w14:textId="77777777" w:rsidR="007D5E58" w:rsidRPr="00C15C71" w:rsidRDefault="007D5E58" w:rsidP="007D5E58">
      <w:pPr>
        <w:pStyle w:val="Heading1"/>
      </w:pPr>
      <w:bookmarkStart w:id="42" w:name="_Toc89330021"/>
      <w:r w:rsidRPr="00CA2018">
        <w:t>Appendix A: Full list of WEAG’s Key Recommendations and the Government’s implementation progress as at November 2021</w:t>
      </w:r>
      <w:bookmarkEnd w:id="42"/>
    </w:p>
    <w:p w14:paraId="1992165A" w14:textId="77777777" w:rsidR="007D5E58" w:rsidRPr="00CA2018" w:rsidRDefault="007D5E58" w:rsidP="007D5E58">
      <w:pPr>
        <w:rPr>
          <w:rFonts w:ascii="Calibri" w:hAnsi="Calibri" w:cs="Calibri"/>
          <w:b/>
        </w:rPr>
      </w:pPr>
      <w:r>
        <w:rPr>
          <w:rFonts w:ascii="Calibri" w:hAnsi="Calibri" w:cs="Calibri"/>
          <w:b/>
        </w:rPr>
        <w:t xml:space="preserve">2021 </w:t>
      </w:r>
      <w:r w:rsidRPr="00CA2018">
        <w:rPr>
          <w:rFonts w:ascii="Calibri" w:hAnsi="Calibri" w:cs="Calibri"/>
          <w:b/>
        </w:rPr>
        <w:t>Summary of implementation progress for key recommendations within each chapter of Whakamana Tāngata</w:t>
      </w:r>
    </w:p>
    <w:tbl>
      <w:tblPr>
        <w:tblStyle w:val="TableGrid"/>
        <w:tblW w:w="13320" w:type="dxa"/>
        <w:tblLayout w:type="fixed"/>
        <w:tblLook w:val="04A0" w:firstRow="1" w:lastRow="0" w:firstColumn="1" w:lastColumn="0" w:noHBand="0" w:noVBand="1"/>
      </w:tblPr>
      <w:tblGrid>
        <w:gridCol w:w="3114"/>
        <w:gridCol w:w="2126"/>
        <w:gridCol w:w="1843"/>
        <w:gridCol w:w="1843"/>
        <w:gridCol w:w="1842"/>
        <w:gridCol w:w="2552"/>
      </w:tblGrid>
      <w:tr w:rsidR="007D5E58" w:rsidRPr="00CA2018" w14:paraId="4ADFFF5E" w14:textId="77777777" w:rsidTr="00A53840">
        <w:tc>
          <w:tcPr>
            <w:tcW w:w="3114" w:type="dxa"/>
            <w:shd w:val="clear" w:color="auto" w:fill="E7E6E6" w:themeFill="background2"/>
            <w:vAlign w:val="center"/>
          </w:tcPr>
          <w:p w14:paraId="147047CD" w14:textId="77777777" w:rsidR="007D5E58" w:rsidRPr="00CA2018" w:rsidRDefault="007D5E58" w:rsidP="00A53840">
            <w:pPr>
              <w:spacing w:before="60" w:after="60"/>
              <w:rPr>
                <w:b/>
                <w:bCs/>
              </w:rPr>
            </w:pPr>
            <w:r w:rsidRPr="00CA2018">
              <w:rPr>
                <w:b/>
                <w:bCs/>
              </w:rPr>
              <w:t>Topic</w:t>
            </w:r>
          </w:p>
        </w:tc>
        <w:tc>
          <w:tcPr>
            <w:tcW w:w="2126" w:type="dxa"/>
            <w:shd w:val="clear" w:color="auto" w:fill="FF0000"/>
            <w:vAlign w:val="center"/>
          </w:tcPr>
          <w:p w14:paraId="327F336E" w14:textId="77777777" w:rsidR="007D5E58" w:rsidRPr="00CA2018" w:rsidRDefault="007D5E58" w:rsidP="00A53840">
            <w:pPr>
              <w:spacing w:before="60" w:after="60"/>
              <w:ind w:left="114" w:hanging="28"/>
              <w:jc w:val="center"/>
              <w:rPr>
                <w:b/>
                <w:bCs/>
              </w:rPr>
            </w:pPr>
            <w:r w:rsidRPr="00CA2018">
              <w:rPr>
                <w:b/>
                <w:bCs/>
              </w:rPr>
              <w:t>No</w:t>
            </w:r>
            <w:r>
              <w:rPr>
                <w:b/>
                <w:bCs/>
              </w:rPr>
              <w:t xml:space="preserve"> degree of</w:t>
            </w:r>
            <w:r w:rsidRPr="00CA2018">
              <w:rPr>
                <w:b/>
                <w:bCs/>
              </w:rPr>
              <w:t xml:space="preserve"> implement</w:t>
            </w:r>
            <w:r>
              <w:rPr>
                <w:b/>
                <w:bCs/>
              </w:rPr>
              <w:t>ation</w:t>
            </w:r>
          </w:p>
        </w:tc>
        <w:tc>
          <w:tcPr>
            <w:tcW w:w="1843" w:type="dxa"/>
            <w:shd w:val="clear" w:color="auto" w:fill="FFC000"/>
            <w:vAlign w:val="center"/>
          </w:tcPr>
          <w:p w14:paraId="54E4C007" w14:textId="77777777" w:rsidR="007D5E58" w:rsidRPr="00CA2018" w:rsidRDefault="007D5E58" w:rsidP="00A53840">
            <w:pPr>
              <w:spacing w:before="60" w:after="60"/>
              <w:ind w:left="114" w:hanging="28"/>
              <w:jc w:val="center"/>
              <w:rPr>
                <w:b/>
                <w:bCs/>
              </w:rPr>
            </w:pPr>
            <w:r w:rsidRPr="00CA2018">
              <w:rPr>
                <w:b/>
                <w:bCs/>
              </w:rPr>
              <w:t>Minimally implemented</w:t>
            </w:r>
          </w:p>
        </w:tc>
        <w:tc>
          <w:tcPr>
            <w:tcW w:w="1843" w:type="dxa"/>
            <w:shd w:val="clear" w:color="auto" w:fill="FFFF00"/>
            <w:vAlign w:val="center"/>
          </w:tcPr>
          <w:p w14:paraId="66A7A7CE" w14:textId="77777777" w:rsidR="007D5E58" w:rsidRPr="00CA2018" w:rsidRDefault="007D5E58" w:rsidP="00A53840">
            <w:pPr>
              <w:spacing w:before="60" w:after="60"/>
              <w:ind w:left="114" w:hanging="28"/>
              <w:jc w:val="center"/>
              <w:rPr>
                <w:b/>
                <w:bCs/>
              </w:rPr>
            </w:pPr>
            <w:r w:rsidRPr="00CA2018">
              <w:rPr>
                <w:b/>
                <w:bCs/>
              </w:rPr>
              <w:t>Partially implemented</w:t>
            </w:r>
          </w:p>
        </w:tc>
        <w:tc>
          <w:tcPr>
            <w:tcW w:w="1842" w:type="dxa"/>
            <w:shd w:val="clear" w:color="auto" w:fill="92D050"/>
            <w:vAlign w:val="center"/>
          </w:tcPr>
          <w:p w14:paraId="48DD6CD1" w14:textId="77777777" w:rsidR="007D5E58" w:rsidRPr="00CA2018" w:rsidRDefault="007D5E58" w:rsidP="00A53840">
            <w:pPr>
              <w:spacing w:before="60" w:after="60"/>
              <w:ind w:left="114" w:hanging="28"/>
              <w:jc w:val="center"/>
              <w:rPr>
                <w:b/>
                <w:bCs/>
              </w:rPr>
            </w:pPr>
            <w:r w:rsidRPr="00CA2018">
              <w:rPr>
                <w:b/>
                <w:bCs/>
              </w:rPr>
              <w:t>Fully implemented</w:t>
            </w:r>
          </w:p>
        </w:tc>
        <w:tc>
          <w:tcPr>
            <w:tcW w:w="2552" w:type="dxa"/>
            <w:shd w:val="clear" w:color="auto" w:fill="F2F2F2" w:themeFill="background1" w:themeFillShade="F2"/>
            <w:vAlign w:val="center"/>
          </w:tcPr>
          <w:p w14:paraId="71A465BD" w14:textId="77777777" w:rsidR="007D5E58" w:rsidRPr="00CA2018" w:rsidRDefault="007D5E58" w:rsidP="00A53840">
            <w:pPr>
              <w:spacing w:before="60" w:after="60"/>
              <w:ind w:left="114" w:hanging="28"/>
              <w:jc w:val="center"/>
              <w:rPr>
                <w:b/>
                <w:bCs/>
              </w:rPr>
            </w:pPr>
            <w:r>
              <w:rPr>
                <w:b/>
                <w:bCs/>
              </w:rPr>
              <w:t>Number of K</w:t>
            </w:r>
            <w:r w:rsidRPr="00CA2018">
              <w:rPr>
                <w:b/>
                <w:bCs/>
              </w:rPr>
              <w:t>ey rec</w:t>
            </w:r>
            <w:r>
              <w:rPr>
                <w:b/>
                <w:bCs/>
              </w:rPr>
              <w:t>ommendations (and their numbers)</w:t>
            </w:r>
          </w:p>
        </w:tc>
      </w:tr>
      <w:tr w:rsidR="007D5E58" w:rsidRPr="00CA2018" w14:paraId="59DC62AC" w14:textId="77777777" w:rsidTr="00A53840">
        <w:tc>
          <w:tcPr>
            <w:tcW w:w="3114" w:type="dxa"/>
            <w:vAlign w:val="center"/>
          </w:tcPr>
          <w:p w14:paraId="0E548ECB" w14:textId="77777777" w:rsidR="007D5E58" w:rsidRPr="007429A2" w:rsidRDefault="007D5E58" w:rsidP="00A53840">
            <w:pPr>
              <w:spacing w:before="60" w:after="60"/>
              <w:ind w:left="252" w:firstLine="0"/>
              <w:rPr>
                <w:rFonts w:ascii="Museo Sans 500" w:hAnsi="Museo Sans 500" w:cs="Museo Sans 500"/>
                <w:sz w:val="20"/>
                <w:szCs w:val="20"/>
              </w:rPr>
            </w:pPr>
            <w:r w:rsidRPr="00CA2018">
              <w:rPr>
                <w:rFonts w:ascii="Museo Sans 500" w:hAnsi="Museo Sans 500" w:cs="Museo Sans 500"/>
                <w:sz w:val="20"/>
                <w:szCs w:val="20"/>
              </w:rPr>
              <w:t xml:space="preserve">Reforming social security </w:t>
            </w:r>
            <w:r>
              <w:rPr>
                <w:rFonts w:ascii="Museo Sans 500" w:hAnsi="Museo Sans 500" w:cs="Museo Sans 500"/>
                <w:sz w:val="20"/>
                <w:szCs w:val="20"/>
              </w:rPr>
              <w:br/>
            </w:r>
            <w:r w:rsidRPr="00CA2018">
              <w:rPr>
                <w:rFonts w:ascii="Museo Sans 500" w:hAnsi="Museo Sans 500" w:cs="Museo Sans 500"/>
                <w:sz w:val="20"/>
                <w:szCs w:val="20"/>
              </w:rPr>
              <w:t>Kia Piki Ake Te Mana Tangata</w:t>
            </w:r>
          </w:p>
        </w:tc>
        <w:tc>
          <w:tcPr>
            <w:tcW w:w="2126" w:type="dxa"/>
            <w:shd w:val="clear" w:color="auto" w:fill="FDCBD7"/>
            <w:vAlign w:val="center"/>
          </w:tcPr>
          <w:p w14:paraId="5CF6CCD3" w14:textId="77777777" w:rsidR="007D5E58" w:rsidRPr="00CA2018" w:rsidRDefault="007D5E58" w:rsidP="00A53840">
            <w:pPr>
              <w:spacing w:before="60" w:after="60"/>
              <w:jc w:val="center"/>
            </w:pPr>
            <w:r w:rsidRPr="00CA2018">
              <w:t>4</w:t>
            </w:r>
          </w:p>
        </w:tc>
        <w:tc>
          <w:tcPr>
            <w:tcW w:w="1843" w:type="dxa"/>
            <w:shd w:val="clear" w:color="auto" w:fill="FBE4D5" w:themeFill="accent2" w:themeFillTint="33"/>
            <w:vAlign w:val="center"/>
          </w:tcPr>
          <w:p w14:paraId="031C94A5" w14:textId="77777777" w:rsidR="007D5E58" w:rsidRPr="00CA2018" w:rsidRDefault="007D5E58" w:rsidP="00A53840">
            <w:pPr>
              <w:spacing w:before="60" w:after="60"/>
              <w:jc w:val="center"/>
            </w:pPr>
            <w:r w:rsidRPr="00CA2018">
              <w:t>1</w:t>
            </w:r>
          </w:p>
        </w:tc>
        <w:tc>
          <w:tcPr>
            <w:tcW w:w="1843" w:type="dxa"/>
            <w:shd w:val="clear" w:color="auto" w:fill="FFF2CC" w:themeFill="accent4" w:themeFillTint="33"/>
            <w:vAlign w:val="center"/>
          </w:tcPr>
          <w:p w14:paraId="7A7F372F" w14:textId="77777777" w:rsidR="007D5E58" w:rsidRPr="00CA2018" w:rsidRDefault="007D5E58" w:rsidP="00A53840">
            <w:pPr>
              <w:spacing w:before="60" w:after="60"/>
              <w:jc w:val="center"/>
            </w:pPr>
            <w:r w:rsidRPr="00CA2018">
              <w:t>3</w:t>
            </w:r>
          </w:p>
        </w:tc>
        <w:tc>
          <w:tcPr>
            <w:tcW w:w="1842" w:type="dxa"/>
            <w:shd w:val="clear" w:color="auto" w:fill="E2EFD9" w:themeFill="accent6" w:themeFillTint="33"/>
            <w:vAlign w:val="center"/>
          </w:tcPr>
          <w:p w14:paraId="7D74FD95"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0C314979" w14:textId="77777777" w:rsidR="007D5E58" w:rsidRPr="00CA2018" w:rsidRDefault="007D5E58" w:rsidP="00A53840">
            <w:pPr>
              <w:spacing w:before="60" w:after="60"/>
              <w:jc w:val="center"/>
            </w:pPr>
            <w:r w:rsidRPr="00CA2018">
              <w:t>8</w:t>
            </w:r>
            <w:r>
              <w:t xml:space="preserve"> (1-8)</w:t>
            </w:r>
          </w:p>
        </w:tc>
      </w:tr>
      <w:tr w:rsidR="007D5E58" w:rsidRPr="00CA2018" w14:paraId="7ECBDE4A" w14:textId="77777777" w:rsidTr="00A53840">
        <w:tc>
          <w:tcPr>
            <w:tcW w:w="3114" w:type="dxa"/>
            <w:vAlign w:val="center"/>
          </w:tcPr>
          <w:p w14:paraId="76C257C4" w14:textId="77777777" w:rsidR="007D5E58" w:rsidRPr="00CA2018" w:rsidRDefault="007D5E58" w:rsidP="00A53840">
            <w:pPr>
              <w:pStyle w:val="Pa9"/>
              <w:spacing w:before="60" w:after="60" w:line="240" w:lineRule="auto"/>
              <w:ind w:left="252" w:firstLine="0"/>
            </w:pPr>
            <w:r w:rsidRPr="00CA2018">
              <w:rPr>
                <w:rFonts w:ascii="Museo Sans 500" w:hAnsi="Museo Sans 500" w:cs="Museo Sans 500"/>
                <w:sz w:val="20"/>
                <w:szCs w:val="20"/>
              </w:rPr>
              <w:t>Delivering for Māori</w:t>
            </w:r>
          </w:p>
        </w:tc>
        <w:tc>
          <w:tcPr>
            <w:tcW w:w="2126" w:type="dxa"/>
            <w:shd w:val="clear" w:color="auto" w:fill="FDCBD7"/>
            <w:vAlign w:val="center"/>
          </w:tcPr>
          <w:p w14:paraId="18AE0100" w14:textId="77777777" w:rsidR="007D5E58" w:rsidRPr="00CA2018" w:rsidRDefault="007D5E58" w:rsidP="00A53840">
            <w:pPr>
              <w:spacing w:before="60" w:after="60"/>
              <w:jc w:val="center"/>
            </w:pPr>
            <w:r>
              <w:t>0</w:t>
            </w:r>
          </w:p>
        </w:tc>
        <w:tc>
          <w:tcPr>
            <w:tcW w:w="1843" w:type="dxa"/>
            <w:shd w:val="clear" w:color="auto" w:fill="FBE4D5" w:themeFill="accent2" w:themeFillTint="33"/>
            <w:vAlign w:val="center"/>
          </w:tcPr>
          <w:p w14:paraId="66692E25" w14:textId="77777777" w:rsidR="007D5E58" w:rsidRPr="00CA2018" w:rsidRDefault="007D5E58" w:rsidP="00A53840">
            <w:pPr>
              <w:spacing w:before="60" w:after="60"/>
              <w:jc w:val="center"/>
            </w:pPr>
            <w:r w:rsidRPr="00CA2018">
              <w:t>0</w:t>
            </w:r>
          </w:p>
        </w:tc>
        <w:tc>
          <w:tcPr>
            <w:tcW w:w="1843" w:type="dxa"/>
            <w:shd w:val="clear" w:color="auto" w:fill="FFF2CC" w:themeFill="accent4" w:themeFillTint="33"/>
            <w:vAlign w:val="center"/>
          </w:tcPr>
          <w:p w14:paraId="6C1C36C7" w14:textId="77777777" w:rsidR="007D5E58" w:rsidRPr="00CA2018" w:rsidRDefault="007D5E58" w:rsidP="00A53840">
            <w:pPr>
              <w:spacing w:before="60" w:after="60"/>
              <w:jc w:val="center"/>
            </w:pPr>
            <w:r>
              <w:t>1</w:t>
            </w:r>
          </w:p>
        </w:tc>
        <w:tc>
          <w:tcPr>
            <w:tcW w:w="1842" w:type="dxa"/>
            <w:shd w:val="clear" w:color="auto" w:fill="E2EFD9" w:themeFill="accent6" w:themeFillTint="33"/>
            <w:vAlign w:val="center"/>
          </w:tcPr>
          <w:p w14:paraId="116E5B5E"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51B3EE5A" w14:textId="77777777" w:rsidR="007D5E58" w:rsidRPr="00CA2018" w:rsidRDefault="007D5E58" w:rsidP="00A53840">
            <w:pPr>
              <w:spacing w:before="60" w:after="60"/>
              <w:jc w:val="center"/>
            </w:pPr>
            <w:r w:rsidRPr="00CA2018">
              <w:t>1</w:t>
            </w:r>
            <w:r>
              <w:t xml:space="preserve"> (9)</w:t>
            </w:r>
          </w:p>
        </w:tc>
      </w:tr>
      <w:tr w:rsidR="007D5E58" w:rsidRPr="00CA2018" w14:paraId="26D06CB2" w14:textId="77777777" w:rsidTr="00A53840">
        <w:tc>
          <w:tcPr>
            <w:tcW w:w="3114" w:type="dxa"/>
            <w:vAlign w:val="center"/>
          </w:tcPr>
          <w:p w14:paraId="6E1BB6CA" w14:textId="77777777" w:rsidR="007D5E58" w:rsidRPr="007429A2" w:rsidRDefault="007D5E58" w:rsidP="00A53840">
            <w:pPr>
              <w:pStyle w:val="Pa9"/>
              <w:spacing w:before="60" w:after="60" w:line="240" w:lineRule="auto"/>
              <w:ind w:left="252" w:firstLine="0"/>
              <w:rPr>
                <w:rFonts w:ascii="Museo Sans 500" w:hAnsi="Museo Sans 500" w:cs="Museo Sans 500"/>
                <w:sz w:val="20"/>
                <w:szCs w:val="20"/>
              </w:rPr>
            </w:pPr>
            <w:r w:rsidRPr="00CA2018">
              <w:rPr>
                <w:rFonts w:ascii="Museo Sans 500" w:hAnsi="Museo Sans 500" w:cs="Museo Sans 500"/>
                <w:sz w:val="20"/>
                <w:szCs w:val="20"/>
              </w:rPr>
              <w:t>Restoring trust with people using the welfare system</w:t>
            </w:r>
          </w:p>
        </w:tc>
        <w:tc>
          <w:tcPr>
            <w:tcW w:w="2126" w:type="dxa"/>
            <w:shd w:val="clear" w:color="auto" w:fill="FDCBD7"/>
            <w:vAlign w:val="center"/>
          </w:tcPr>
          <w:p w14:paraId="3840519A" w14:textId="77777777" w:rsidR="007D5E58" w:rsidRPr="00CA2018" w:rsidRDefault="007D5E58" w:rsidP="00A53840">
            <w:pPr>
              <w:spacing w:before="60" w:after="60"/>
              <w:jc w:val="center"/>
            </w:pPr>
            <w:r w:rsidRPr="00CA2018">
              <w:t>6</w:t>
            </w:r>
          </w:p>
        </w:tc>
        <w:tc>
          <w:tcPr>
            <w:tcW w:w="1843" w:type="dxa"/>
            <w:shd w:val="clear" w:color="auto" w:fill="FBE4D5" w:themeFill="accent2" w:themeFillTint="33"/>
            <w:vAlign w:val="center"/>
          </w:tcPr>
          <w:p w14:paraId="16876248" w14:textId="77777777" w:rsidR="007D5E58" w:rsidRPr="00CA2018" w:rsidRDefault="007D5E58" w:rsidP="00A53840">
            <w:pPr>
              <w:spacing w:before="60" w:after="60"/>
              <w:jc w:val="center"/>
            </w:pPr>
            <w:r w:rsidRPr="00CA2018">
              <w:t>2</w:t>
            </w:r>
          </w:p>
        </w:tc>
        <w:tc>
          <w:tcPr>
            <w:tcW w:w="1843" w:type="dxa"/>
            <w:shd w:val="clear" w:color="auto" w:fill="FFF2CC" w:themeFill="accent4" w:themeFillTint="33"/>
            <w:vAlign w:val="center"/>
          </w:tcPr>
          <w:p w14:paraId="62D215C2" w14:textId="77777777" w:rsidR="007D5E58" w:rsidRPr="00CA2018" w:rsidRDefault="007D5E58" w:rsidP="00A53840">
            <w:pPr>
              <w:spacing w:before="60" w:after="60"/>
              <w:jc w:val="center"/>
            </w:pPr>
            <w:r w:rsidRPr="00CA2018">
              <w:t>1</w:t>
            </w:r>
          </w:p>
        </w:tc>
        <w:tc>
          <w:tcPr>
            <w:tcW w:w="1842" w:type="dxa"/>
            <w:shd w:val="clear" w:color="auto" w:fill="E2EFD9" w:themeFill="accent6" w:themeFillTint="33"/>
            <w:vAlign w:val="center"/>
          </w:tcPr>
          <w:p w14:paraId="309996C2"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0F395DCE" w14:textId="77777777" w:rsidR="007D5E58" w:rsidRPr="00CA2018" w:rsidRDefault="007D5E58" w:rsidP="00A53840">
            <w:pPr>
              <w:spacing w:before="60" w:after="60"/>
              <w:jc w:val="center"/>
            </w:pPr>
            <w:r w:rsidRPr="00CA2018">
              <w:t>9</w:t>
            </w:r>
            <w:r>
              <w:t xml:space="preserve"> (10-18)</w:t>
            </w:r>
          </w:p>
        </w:tc>
      </w:tr>
      <w:tr w:rsidR="007D5E58" w:rsidRPr="00CA2018" w14:paraId="536A1121" w14:textId="77777777" w:rsidTr="00A53840">
        <w:tc>
          <w:tcPr>
            <w:tcW w:w="3114" w:type="dxa"/>
            <w:vAlign w:val="center"/>
          </w:tcPr>
          <w:p w14:paraId="24E6BFBC" w14:textId="77777777" w:rsidR="007D5E58" w:rsidRPr="007429A2" w:rsidRDefault="007D5E58" w:rsidP="00A53840">
            <w:pPr>
              <w:pStyle w:val="Pa9"/>
              <w:spacing w:before="60" w:after="60" w:line="240" w:lineRule="auto"/>
              <w:ind w:left="252" w:firstLine="0"/>
              <w:rPr>
                <w:rFonts w:ascii="Museo Sans 500" w:hAnsi="Museo Sans 500" w:cs="Museo Sans 500"/>
                <w:sz w:val="20"/>
                <w:szCs w:val="20"/>
              </w:rPr>
            </w:pPr>
            <w:r w:rsidRPr="00CA2018">
              <w:rPr>
                <w:rFonts w:ascii="Museo Sans 500" w:hAnsi="Museo Sans 500" w:cs="Museo Sans 500"/>
                <w:sz w:val="20"/>
                <w:szCs w:val="20"/>
              </w:rPr>
              <w:t>Achieving security requires adequate income</w:t>
            </w:r>
          </w:p>
        </w:tc>
        <w:tc>
          <w:tcPr>
            <w:tcW w:w="2126" w:type="dxa"/>
            <w:shd w:val="clear" w:color="auto" w:fill="FDCBD7"/>
            <w:vAlign w:val="center"/>
          </w:tcPr>
          <w:p w14:paraId="43564552" w14:textId="77777777" w:rsidR="007D5E58" w:rsidRPr="00CA2018" w:rsidRDefault="007D5E58" w:rsidP="00A53840">
            <w:pPr>
              <w:spacing w:before="60" w:after="60"/>
              <w:jc w:val="center"/>
            </w:pPr>
            <w:r>
              <w:t>6</w:t>
            </w:r>
          </w:p>
        </w:tc>
        <w:tc>
          <w:tcPr>
            <w:tcW w:w="1843" w:type="dxa"/>
            <w:shd w:val="clear" w:color="auto" w:fill="FBE4D5" w:themeFill="accent2" w:themeFillTint="33"/>
            <w:vAlign w:val="center"/>
          </w:tcPr>
          <w:p w14:paraId="5FAE3334" w14:textId="77777777" w:rsidR="007D5E58" w:rsidRPr="00CA2018" w:rsidRDefault="007D5E58" w:rsidP="00A53840">
            <w:pPr>
              <w:spacing w:before="60" w:after="60"/>
              <w:jc w:val="center"/>
            </w:pPr>
            <w:r>
              <w:t>2</w:t>
            </w:r>
          </w:p>
        </w:tc>
        <w:tc>
          <w:tcPr>
            <w:tcW w:w="1843" w:type="dxa"/>
            <w:shd w:val="clear" w:color="auto" w:fill="FFF2CC" w:themeFill="accent4" w:themeFillTint="33"/>
            <w:vAlign w:val="center"/>
          </w:tcPr>
          <w:p w14:paraId="38EF389E" w14:textId="77777777" w:rsidR="007D5E58" w:rsidRPr="00CA2018" w:rsidRDefault="007D5E58" w:rsidP="00A53840">
            <w:pPr>
              <w:spacing w:before="60" w:after="60"/>
              <w:jc w:val="center"/>
            </w:pPr>
            <w:r w:rsidRPr="00CA2018">
              <w:t>2</w:t>
            </w:r>
          </w:p>
        </w:tc>
        <w:tc>
          <w:tcPr>
            <w:tcW w:w="1842" w:type="dxa"/>
            <w:shd w:val="clear" w:color="auto" w:fill="E2EFD9" w:themeFill="accent6" w:themeFillTint="33"/>
            <w:vAlign w:val="center"/>
          </w:tcPr>
          <w:p w14:paraId="4C5BE05C"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7BBB16E4" w14:textId="77777777" w:rsidR="007D5E58" w:rsidRPr="00CA2018" w:rsidRDefault="007D5E58" w:rsidP="00A53840">
            <w:pPr>
              <w:spacing w:before="60" w:after="60"/>
              <w:jc w:val="center"/>
            </w:pPr>
            <w:r w:rsidRPr="00CA2018">
              <w:t>10</w:t>
            </w:r>
            <w:r>
              <w:t xml:space="preserve"> (19-28)</w:t>
            </w:r>
          </w:p>
        </w:tc>
      </w:tr>
      <w:tr w:rsidR="007D5E58" w:rsidRPr="00CA2018" w14:paraId="37C68898" w14:textId="77777777" w:rsidTr="00A53840">
        <w:tc>
          <w:tcPr>
            <w:tcW w:w="3114" w:type="dxa"/>
            <w:vAlign w:val="center"/>
          </w:tcPr>
          <w:p w14:paraId="271FF2D6" w14:textId="77777777" w:rsidR="007D5E58" w:rsidRPr="007429A2" w:rsidRDefault="007D5E58" w:rsidP="00A53840">
            <w:pPr>
              <w:pStyle w:val="Pa9"/>
              <w:spacing w:before="60" w:after="60" w:line="240" w:lineRule="auto"/>
              <w:ind w:left="252" w:firstLine="0"/>
              <w:rPr>
                <w:rFonts w:ascii="Museo Sans 500" w:hAnsi="Museo Sans 500" w:cs="Museo Sans 500"/>
                <w:sz w:val="20"/>
                <w:szCs w:val="20"/>
              </w:rPr>
            </w:pPr>
            <w:r w:rsidRPr="00CA2018">
              <w:rPr>
                <w:rFonts w:ascii="Museo Sans 500" w:hAnsi="Museo Sans 500" w:cs="Museo Sans 500"/>
                <w:sz w:val="20"/>
                <w:szCs w:val="20"/>
              </w:rPr>
              <w:t>Alleviating the housing conundrum</w:t>
            </w:r>
          </w:p>
        </w:tc>
        <w:tc>
          <w:tcPr>
            <w:tcW w:w="2126" w:type="dxa"/>
            <w:shd w:val="clear" w:color="auto" w:fill="FDCBD7"/>
            <w:vAlign w:val="center"/>
          </w:tcPr>
          <w:p w14:paraId="0FB3B909" w14:textId="77777777" w:rsidR="007D5E58" w:rsidRPr="00CA2018" w:rsidRDefault="007D5E58" w:rsidP="00A53840">
            <w:pPr>
              <w:spacing w:before="60" w:after="60"/>
              <w:jc w:val="center"/>
            </w:pPr>
            <w:r w:rsidRPr="00CA2018">
              <w:t>1</w:t>
            </w:r>
          </w:p>
        </w:tc>
        <w:tc>
          <w:tcPr>
            <w:tcW w:w="1843" w:type="dxa"/>
            <w:shd w:val="clear" w:color="auto" w:fill="FBE4D5" w:themeFill="accent2" w:themeFillTint="33"/>
            <w:vAlign w:val="center"/>
          </w:tcPr>
          <w:p w14:paraId="7CCE5812" w14:textId="77777777" w:rsidR="007D5E58" w:rsidRPr="00CA2018" w:rsidRDefault="007D5E58" w:rsidP="00A53840">
            <w:pPr>
              <w:spacing w:before="60" w:after="60"/>
              <w:jc w:val="center"/>
            </w:pPr>
            <w:r w:rsidRPr="00CA2018">
              <w:t>2</w:t>
            </w:r>
          </w:p>
        </w:tc>
        <w:tc>
          <w:tcPr>
            <w:tcW w:w="1843" w:type="dxa"/>
            <w:shd w:val="clear" w:color="auto" w:fill="FFF2CC" w:themeFill="accent4" w:themeFillTint="33"/>
            <w:vAlign w:val="center"/>
          </w:tcPr>
          <w:p w14:paraId="1315A786" w14:textId="77777777" w:rsidR="007D5E58" w:rsidRPr="00CA2018" w:rsidRDefault="007D5E58" w:rsidP="00A53840">
            <w:pPr>
              <w:spacing w:before="60" w:after="60"/>
              <w:jc w:val="center"/>
            </w:pPr>
            <w:r w:rsidRPr="00CA2018">
              <w:t>3</w:t>
            </w:r>
          </w:p>
        </w:tc>
        <w:tc>
          <w:tcPr>
            <w:tcW w:w="1842" w:type="dxa"/>
            <w:shd w:val="clear" w:color="auto" w:fill="E2EFD9" w:themeFill="accent6" w:themeFillTint="33"/>
            <w:vAlign w:val="center"/>
          </w:tcPr>
          <w:p w14:paraId="40C87242"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64D418C1" w14:textId="77777777" w:rsidR="007D5E58" w:rsidRPr="00CA2018" w:rsidRDefault="007D5E58" w:rsidP="00A53840">
            <w:pPr>
              <w:spacing w:before="60" w:after="60"/>
              <w:jc w:val="center"/>
            </w:pPr>
            <w:r w:rsidRPr="00CA2018">
              <w:t>6</w:t>
            </w:r>
            <w:r>
              <w:t xml:space="preserve"> (29—34)</w:t>
            </w:r>
          </w:p>
        </w:tc>
      </w:tr>
      <w:tr w:rsidR="007D5E58" w:rsidRPr="00CA2018" w14:paraId="5EC8B993" w14:textId="77777777" w:rsidTr="00A53840">
        <w:tc>
          <w:tcPr>
            <w:tcW w:w="3114" w:type="dxa"/>
            <w:vAlign w:val="center"/>
          </w:tcPr>
          <w:p w14:paraId="5672F8F2" w14:textId="77777777" w:rsidR="007D5E58" w:rsidRPr="007429A2" w:rsidRDefault="007D5E58" w:rsidP="00A53840">
            <w:pPr>
              <w:pStyle w:val="Pa9"/>
              <w:spacing w:before="60" w:after="60" w:line="240" w:lineRule="auto"/>
              <w:ind w:left="252" w:firstLine="0"/>
              <w:rPr>
                <w:rFonts w:ascii="Museo Sans 500" w:hAnsi="Museo Sans 500" w:cs="Museo Sans 500"/>
                <w:sz w:val="20"/>
                <w:szCs w:val="20"/>
              </w:rPr>
            </w:pPr>
            <w:bookmarkStart w:id="43" w:name="_Hlk88203572"/>
            <w:r w:rsidRPr="00CA2018">
              <w:rPr>
                <w:rFonts w:ascii="Museo Sans 500" w:hAnsi="Museo Sans 500" w:cs="Museo Sans 500"/>
                <w:sz w:val="20"/>
                <w:szCs w:val="20"/>
              </w:rPr>
              <w:t>Improving access to employment and labour market support</w:t>
            </w:r>
            <w:bookmarkEnd w:id="43"/>
          </w:p>
        </w:tc>
        <w:tc>
          <w:tcPr>
            <w:tcW w:w="2126" w:type="dxa"/>
            <w:shd w:val="clear" w:color="auto" w:fill="FDCBD7"/>
            <w:vAlign w:val="center"/>
          </w:tcPr>
          <w:p w14:paraId="13C551EE" w14:textId="77777777" w:rsidR="007D5E58" w:rsidRPr="00CA2018" w:rsidRDefault="007D5E58" w:rsidP="00A53840">
            <w:pPr>
              <w:spacing w:before="60" w:after="60"/>
              <w:jc w:val="center"/>
            </w:pPr>
            <w:r w:rsidRPr="00CA2018">
              <w:t>1</w:t>
            </w:r>
          </w:p>
        </w:tc>
        <w:tc>
          <w:tcPr>
            <w:tcW w:w="1843" w:type="dxa"/>
            <w:shd w:val="clear" w:color="auto" w:fill="FBE4D5" w:themeFill="accent2" w:themeFillTint="33"/>
            <w:vAlign w:val="center"/>
          </w:tcPr>
          <w:p w14:paraId="13E4CE29" w14:textId="77777777" w:rsidR="007D5E58" w:rsidRPr="00CA2018" w:rsidRDefault="007D5E58" w:rsidP="00A53840">
            <w:pPr>
              <w:spacing w:before="60" w:after="60"/>
              <w:jc w:val="center"/>
            </w:pPr>
            <w:r w:rsidRPr="00CA2018">
              <w:t>2</w:t>
            </w:r>
          </w:p>
        </w:tc>
        <w:tc>
          <w:tcPr>
            <w:tcW w:w="1843" w:type="dxa"/>
            <w:shd w:val="clear" w:color="auto" w:fill="FFF2CC" w:themeFill="accent4" w:themeFillTint="33"/>
            <w:vAlign w:val="center"/>
          </w:tcPr>
          <w:p w14:paraId="4BC5C54C" w14:textId="77777777" w:rsidR="007D5E58" w:rsidRPr="00CA2018" w:rsidRDefault="007D5E58" w:rsidP="00A53840">
            <w:pPr>
              <w:spacing w:before="60" w:after="60"/>
              <w:jc w:val="center"/>
            </w:pPr>
            <w:r w:rsidRPr="00CA2018">
              <w:t>2</w:t>
            </w:r>
          </w:p>
        </w:tc>
        <w:tc>
          <w:tcPr>
            <w:tcW w:w="1842" w:type="dxa"/>
            <w:shd w:val="clear" w:color="auto" w:fill="E2EFD9" w:themeFill="accent6" w:themeFillTint="33"/>
            <w:vAlign w:val="center"/>
          </w:tcPr>
          <w:p w14:paraId="7D2EDC9B"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09D22B03" w14:textId="77777777" w:rsidR="007D5E58" w:rsidRPr="00CA2018" w:rsidRDefault="007D5E58" w:rsidP="00A53840">
            <w:pPr>
              <w:spacing w:before="60" w:after="60"/>
              <w:jc w:val="center"/>
            </w:pPr>
            <w:r w:rsidRPr="00CA2018">
              <w:t>5</w:t>
            </w:r>
            <w:r>
              <w:t xml:space="preserve"> (35-39)</w:t>
            </w:r>
          </w:p>
        </w:tc>
      </w:tr>
      <w:tr w:rsidR="007D5E58" w:rsidRPr="00CA2018" w14:paraId="2D140D9B" w14:textId="77777777" w:rsidTr="00A53840">
        <w:tc>
          <w:tcPr>
            <w:tcW w:w="3114" w:type="dxa"/>
            <w:vAlign w:val="center"/>
          </w:tcPr>
          <w:p w14:paraId="5584320A" w14:textId="77777777" w:rsidR="007D5E58" w:rsidRPr="00CA2018" w:rsidRDefault="007D5E58" w:rsidP="00A53840">
            <w:pPr>
              <w:spacing w:before="60" w:after="60"/>
              <w:ind w:left="252" w:firstLine="0"/>
            </w:pPr>
            <w:r w:rsidRPr="00CA2018">
              <w:rPr>
                <w:rFonts w:cs="Museo Sans 500"/>
                <w:sz w:val="20"/>
                <w:szCs w:val="20"/>
              </w:rPr>
              <w:t>Creating a fairer deal for people with health conditions or disabilities and carers</w:t>
            </w:r>
          </w:p>
        </w:tc>
        <w:tc>
          <w:tcPr>
            <w:tcW w:w="2126" w:type="dxa"/>
            <w:shd w:val="clear" w:color="auto" w:fill="FDCBD7"/>
            <w:vAlign w:val="center"/>
          </w:tcPr>
          <w:p w14:paraId="4B808A37" w14:textId="77777777" w:rsidR="007D5E58" w:rsidRPr="00CA2018" w:rsidRDefault="007D5E58" w:rsidP="00A53840">
            <w:pPr>
              <w:spacing w:before="60" w:after="60"/>
              <w:jc w:val="center"/>
            </w:pPr>
            <w:r w:rsidRPr="00CA2018">
              <w:t>1</w:t>
            </w:r>
          </w:p>
        </w:tc>
        <w:tc>
          <w:tcPr>
            <w:tcW w:w="1843" w:type="dxa"/>
            <w:shd w:val="clear" w:color="auto" w:fill="FBE4D5" w:themeFill="accent2" w:themeFillTint="33"/>
            <w:vAlign w:val="center"/>
          </w:tcPr>
          <w:p w14:paraId="1D433EFE" w14:textId="77777777" w:rsidR="007D5E58" w:rsidRPr="00CA2018" w:rsidRDefault="007D5E58" w:rsidP="00A53840">
            <w:pPr>
              <w:spacing w:before="60" w:after="60"/>
              <w:jc w:val="center"/>
            </w:pPr>
            <w:r w:rsidRPr="00CA2018">
              <w:t>1</w:t>
            </w:r>
          </w:p>
        </w:tc>
        <w:tc>
          <w:tcPr>
            <w:tcW w:w="1843" w:type="dxa"/>
            <w:shd w:val="clear" w:color="auto" w:fill="FFF2CC" w:themeFill="accent4" w:themeFillTint="33"/>
            <w:vAlign w:val="center"/>
          </w:tcPr>
          <w:p w14:paraId="37D4560A" w14:textId="77777777" w:rsidR="007D5E58" w:rsidRPr="00CA2018" w:rsidRDefault="007D5E58" w:rsidP="00A53840">
            <w:pPr>
              <w:spacing w:before="60" w:after="60"/>
              <w:jc w:val="center"/>
            </w:pPr>
            <w:r w:rsidRPr="00CA2018">
              <w:t>0</w:t>
            </w:r>
          </w:p>
        </w:tc>
        <w:tc>
          <w:tcPr>
            <w:tcW w:w="1842" w:type="dxa"/>
            <w:shd w:val="clear" w:color="auto" w:fill="E2EFD9" w:themeFill="accent6" w:themeFillTint="33"/>
            <w:vAlign w:val="center"/>
          </w:tcPr>
          <w:p w14:paraId="67F58736"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51510AB1" w14:textId="77777777" w:rsidR="007D5E58" w:rsidRPr="00CA2018" w:rsidRDefault="007D5E58" w:rsidP="00A53840">
            <w:pPr>
              <w:spacing w:before="60" w:after="60"/>
              <w:jc w:val="center"/>
            </w:pPr>
            <w:r w:rsidRPr="00CA2018">
              <w:t>2</w:t>
            </w:r>
            <w:r>
              <w:t xml:space="preserve"> (40-41)</w:t>
            </w:r>
          </w:p>
        </w:tc>
      </w:tr>
      <w:tr w:rsidR="007D5E58" w:rsidRPr="00CA2018" w14:paraId="644459F2" w14:textId="77777777" w:rsidTr="00A53840">
        <w:tc>
          <w:tcPr>
            <w:tcW w:w="3114" w:type="dxa"/>
            <w:vAlign w:val="center"/>
          </w:tcPr>
          <w:p w14:paraId="755ABCF6" w14:textId="77777777" w:rsidR="007D5E58" w:rsidRPr="007429A2" w:rsidRDefault="007D5E58" w:rsidP="00A53840">
            <w:pPr>
              <w:spacing w:before="60" w:after="60"/>
              <w:ind w:left="252" w:firstLine="0"/>
              <w:rPr>
                <w:rFonts w:ascii="Museo Sans 500" w:hAnsi="Museo Sans 500" w:cs="Museo Sans 500"/>
                <w:sz w:val="20"/>
                <w:szCs w:val="20"/>
              </w:rPr>
            </w:pPr>
            <w:r w:rsidRPr="00CA2018">
              <w:rPr>
                <w:rFonts w:ascii="Museo Sans 500" w:hAnsi="Museo Sans 500" w:cs="Museo Sans 500"/>
                <w:sz w:val="20"/>
                <w:szCs w:val="20"/>
              </w:rPr>
              <w:t>Strengthening community organisations and volunteering</w:t>
            </w:r>
          </w:p>
        </w:tc>
        <w:tc>
          <w:tcPr>
            <w:tcW w:w="2126" w:type="dxa"/>
            <w:shd w:val="clear" w:color="auto" w:fill="FDCBD7"/>
            <w:vAlign w:val="center"/>
          </w:tcPr>
          <w:p w14:paraId="35101869" w14:textId="77777777" w:rsidR="007D5E58" w:rsidRPr="00CA2018" w:rsidRDefault="007D5E58" w:rsidP="00A53840">
            <w:pPr>
              <w:spacing w:before="60" w:after="60"/>
              <w:jc w:val="center"/>
            </w:pPr>
            <w:r>
              <w:t>1</w:t>
            </w:r>
          </w:p>
        </w:tc>
        <w:tc>
          <w:tcPr>
            <w:tcW w:w="1843" w:type="dxa"/>
            <w:shd w:val="clear" w:color="auto" w:fill="FBE4D5" w:themeFill="accent2" w:themeFillTint="33"/>
            <w:vAlign w:val="center"/>
          </w:tcPr>
          <w:p w14:paraId="4585557A" w14:textId="77777777" w:rsidR="007D5E58" w:rsidRPr="00CA2018" w:rsidRDefault="007D5E58" w:rsidP="00A53840">
            <w:pPr>
              <w:spacing w:before="60" w:after="60"/>
              <w:jc w:val="center"/>
            </w:pPr>
            <w:r w:rsidRPr="00CA2018">
              <w:t>0</w:t>
            </w:r>
          </w:p>
        </w:tc>
        <w:tc>
          <w:tcPr>
            <w:tcW w:w="1843" w:type="dxa"/>
            <w:shd w:val="clear" w:color="auto" w:fill="FFF2CC" w:themeFill="accent4" w:themeFillTint="33"/>
            <w:vAlign w:val="center"/>
          </w:tcPr>
          <w:p w14:paraId="272D014A" w14:textId="77777777" w:rsidR="007D5E58" w:rsidRPr="00CA2018" w:rsidRDefault="007D5E58" w:rsidP="00A53840">
            <w:pPr>
              <w:spacing w:before="60" w:after="60"/>
              <w:jc w:val="center"/>
            </w:pPr>
            <w:r w:rsidRPr="00CA2018">
              <w:t>0</w:t>
            </w:r>
          </w:p>
        </w:tc>
        <w:tc>
          <w:tcPr>
            <w:tcW w:w="1842" w:type="dxa"/>
            <w:shd w:val="clear" w:color="auto" w:fill="E2EFD9" w:themeFill="accent6" w:themeFillTint="33"/>
            <w:vAlign w:val="center"/>
          </w:tcPr>
          <w:p w14:paraId="049730CE" w14:textId="77777777" w:rsidR="007D5E58" w:rsidRPr="00CA2018" w:rsidRDefault="007D5E58" w:rsidP="00A53840">
            <w:pPr>
              <w:spacing w:before="60" w:after="60"/>
              <w:jc w:val="center"/>
            </w:pPr>
            <w:r w:rsidRPr="00CA2018">
              <w:t>0</w:t>
            </w:r>
          </w:p>
        </w:tc>
        <w:tc>
          <w:tcPr>
            <w:tcW w:w="2552" w:type="dxa"/>
            <w:shd w:val="clear" w:color="auto" w:fill="auto"/>
            <w:vAlign w:val="center"/>
          </w:tcPr>
          <w:p w14:paraId="3737F5CD" w14:textId="77777777" w:rsidR="007D5E58" w:rsidRDefault="007D5E58" w:rsidP="00A53840">
            <w:pPr>
              <w:spacing w:before="60" w:after="60"/>
              <w:jc w:val="center"/>
            </w:pPr>
            <w:r w:rsidRPr="00CA2018">
              <w:t>1</w:t>
            </w:r>
            <w:r>
              <w:t xml:space="preserve"> (42)</w:t>
            </w:r>
          </w:p>
          <w:p w14:paraId="78DD7E54" w14:textId="77777777" w:rsidR="007D5E58" w:rsidRPr="00CA2018" w:rsidRDefault="007D5E58" w:rsidP="00A53840">
            <w:pPr>
              <w:spacing w:before="60" w:after="60"/>
              <w:jc w:val="center"/>
            </w:pPr>
          </w:p>
        </w:tc>
      </w:tr>
      <w:tr w:rsidR="007D5E58" w:rsidRPr="00CA2018" w14:paraId="1D0E12A8" w14:textId="77777777" w:rsidTr="00A53840">
        <w:tc>
          <w:tcPr>
            <w:tcW w:w="3114" w:type="dxa"/>
            <w:vAlign w:val="center"/>
          </w:tcPr>
          <w:p w14:paraId="2D3B7574" w14:textId="77777777" w:rsidR="007D5E58" w:rsidRPr="00CA2018" w:rsidRDefault="007D5E58" w:rsidP="00A53840">
            <w:pPr>
              <w:spacing w:before="60" w:after="60"/>
              <w:rPr>
                <w:b/>
                <w:bCs/>
              </w:rPr>
            </w:pPr>
            <w:r w:rsidRPr="00CA2018">
              <w:rPr>
                <w:b/>
                <w:bCs/>
              </w:rPr>
              <w:t>TOTAL</w:t>
            </w:r>
          </w:p>
        </w:tc>
        <w:tc>
          <w:tcPr>
            <w:tcW w:w="2126" w:type="dxa"/>
            <w:shd w:val="clear" w:color="auto" w:fill="FF6161"/>
            <w:vAlign w:val="center"/>
          </w:tcPr>
          <w:p w14:paraId="5D15A321" w14:textId="77777777" w:rsidR="007D5E58" w:rsidRPr="00CA2018" w:rsidRDefault="007D5E58" w:rsidP="00A53840">
            <w:pPr>
              <w:spacing w:before="60" w:after="60"/>
              <w:jc w:val="center"/>
              <w:rPr>
                <w:b/>
                <w:bCs/>
              </w:rPr>
            </w:pPr>
            <w:r w:rsidRPr="00CA2018">
              <w:rPr>
                <w:b/>
                <w:bCs/>
              </w:rPr>
              <w:t>31</w:t>
            </w:r>
          </w:p>
        </w:tc>
        <w:tc>
          <w:tcPr>
            <w:tcW w:w="1843" w:type="dxa"/>
            <w:shd w:val="clear" w:color="auto" w:fill="FFC000"/>
            <w:vAlign w:val="center"/>
          </w:tcPr>
          <w:p w14:paraId="2220077A" w14:textId="77777777" w:rsidR="007D5E58" w:rsidRPr="00CA2018" w:rsidRDefault="007D5E58" w:rsidP="00A53840">
            <w:pPr>
              <w:spacing w:before="60" w:after="60"/>
              <w:jc w:val="center"/>
              <w:rPr>
                <w:b/>
                <w:bCs/>
              </w:rPr>
            </w:pPr>
            <w:r w:rsidRPr="00CA2018">
              <w:rPr>
                <w:b/>
                <w:bCs/>
              </w:rPr>
              <w:t>9</w:t>
            </w:r>
          </w:p>
        </w:tc>
        <w:tc>
          <w:tcPr>
            <w:tcW w:w="1843" w:type="dxa"/>
            <w:shd w:val="clear" w:color="auto" w:fill="FFFF00"/>
            <w:vAlign w:val="center"/>
          </w:tcPr>
          <w:p w14:paraId="41CB88AB" w14:textId="77777777" w:rsidR="007D5E58" w:rsidRPr="00CA2018" w:rsidRDefault="007D5E58" w:rsidP="00A53840">
            <w:pPr>
              <w:spacing w:before="60" w:after="60"/>
              <w:jc w:val="center"/>
              <w:rPr>
                <w:b/>
                <w:bCs/>
              </w:rPr>
            </w:pPr>
            <w:r w:rsidRPr="00CA2018">
              <w:rPr>
                <w:b/>
                <w:bCs/>
              </w:rPr>
              <w:t>11</w:t>
            </w:r>
          </w:p>
        </w:tc>
        <w:tc>
          <w:tcPr>
            <w:tcW w:w="1842" w:type="dxa"/>
            <w:shd w:val="clear" w:color="auto" w:fill="92D050"/>
            <w:vAlign w:val="center"/>
          </w:tcPr>
          <w:p w14:paraId="3846EE8D" w14:textId="77777777" w:rsidR="007D5E58" w:rsidRPr="00CA2018" w:rsidRDefault="007D5E58" w:rsidP="00A53840">
            <w:pPr>
              <w:spacing w:before="60" w:after="60"/>
              <w:jc w:val="center"/>
              <w:rPr>
                <w:b/>
                <w:bCs/>
              </w:rPr>
            </w:pPr>
            <w:r w:rsidRPr="00CA2018">
              <w:rPr>
                <w:b/>
                <w:bCs/>
              </w:rPr>
              <w:t>0</w:t>
            </w:r>
          </w:p>
        </w:tc>
        <w:tc>
          <w:tcPr>
            <w:tcW w:w="2552" w:type="dxa"/>
            <w:shd w:val="clear" w:color="auto" w:fill="F2F2F2" w:themeFill="background1" w:themeFillShade="F2"/>
            <w:vAlign w:val="center"/>
          </w:tcPr>
          <w:p w14:paraId="143A5651" w14:textId="77777777" w:rsidR="007D5E58" w:rsidRPr="00CA2018" w:rsidRDefault="007D5E58" w:rsidP="00A53840">
            <w:pPr>
              <w:spacing w:before="60" w:after="60"/>
              <w:jc w:val="center"/>
              <w:rPr>
                <w:b/>
                <w:bCs/>
              </w:rPr>
            </w:pPr>
            <w:r w:rsidRPr="00CA2018">
              <w:rPr>
                <w:b/>
                <w:bCs/>
              </w:rPr>
              <w:t>42</w:t>
            </w:r>
          </w:p>
        </w:tc>
      </w:tr>
    </w:tbl>
    <w:p w14:paraId="3FEE7778" w14:textId="77777777" w:rsidR="007D5E58" w:rsidRPr="00CA2018" w:rsidRDefault="007D5E58" w:rsidP="007D5E58"/>
    <w:p w14:paraId="3A6A1887" w14:textId="77777777" w:rsidR="007D5E58" w:rsidRPr="00CA2018" w:rsidRDefault="007D5E58" w:rsidP="007D5E58"/>
    <w:p w14:paraId="74C31337" w14:textId="77777777" w:rsidR="007D5E58" w:rsidRPr="00CA2018" w:rsidRDefault="007D5E58" w:rsidP="007D5E58">
      <w:pPr>
        <w:rPr>
          <w:b/>
          <w:sz w:val="20"/>
          <w:szCs w:val="20"/>
        </w:rPr>
      </w:pPr>
    </w:p>
    <w:tbl>
      <w:tblPr>
        <w:tblStyle w:val="TableGrid"/>
        <w:tblpPr w:leftFromText="180" w:rightFromText="180" w:vertAnchor="text" w:tblpX="-459" w:tblpY="1"/>
        <w:tblOverlap w:val="never"/>
        <w:tblW w:w="14665" w:type="dxa"/>
        <w:tblLayout w:type="fixed"/>
        <w:tblLook w:val="04A0" w:firstRow="1" w:lastRow="0" w:firstColumn="1" w:lastColumn="0" w:noHBand="0" w:noVBand="1"/>
      </w:tblPr>
      <w:tblGrid>
        <w:gridCol w:w="24"/>
        <w:gridCol w:w="3799"/>
        <w:gridCol w:w="19"/>
        <w:gridCol w:w="1170"/>
        <w:gridCol w:w="86"/>
        <w:gridCol w:w="3334"/>
        <w:gridCol w:w="113"/>
        <w:gridCol w:w="3757"/>
        <w:gridCol w:w="167"/>
        <w:gridCol w:w="2083"/>
        <w:gridCol w:w="113"/>
      </w:tblGrid>
      <w:tr w:rsidR="007D5E58" w:rsidRPr="00CA2018" w14:paraId="4FE5BFF4" w14:textId="77777777" w:rsidTr="00974425">
        <w:trPr>
          <w:trHeight w:val="604"/>
          <w:tblHeader/>
        </w:trPr>
        <w:tc>
          <w:tcPr>
            <w:tcW w:w="3823" w:type="dxa"/>
            <w:gridSpan w:val="2"/>
            <w:shd w:val="clear" w:color="auto" w:fill="D9D9D9" w:themeFill="background1" w:themeFillShade="D9"/>
          </w:tcPr>
          <w:p w14:paraId="7AC51BAA" w14:textId="77777777" w:rsidR="007D5E58" w:rsidRPr="00F13BC9" w:rsidRDefault="007D5E58" w:rsidP="00974425">
            <w:pPr>
              <w:ind w:left="58" w:firstLine="0"/>
              <w:rPr>
                <w:b/>
                <w:sz w:val="28"/>
                <w:szCs w:val="32"/>
              </w:rPr>
            </w:pPr>
            <w:r w:rsidRPr="00F13BC9">
              <w:rPr>
                <w:b/>
                <w:sz w:val="28"/>
                <w:szCs w:val="32"/>
              </w:rPr>
              <w:t>Key Recommendation</w:t>
            </w:r>
          </w:p>
          <w:p w14:paraId="76C33E2B" w14:textId="77777777" w:rsidR="007D5E58" w:rsidRPr="00CA2018" w:rsidRDefault="007D5E58" w:rsidP="00974425">
            <w:pPr>
              <w:tabs>
                <w:tab w:val="left" w:pos="1455"/>
              </w:tabs>
              <w:ind w:left="58" w:firstLine="0"/>
              <w:rPr>
                <w:sz w:val="18"/>
                <w:szCs w:val="20"/>
              </w:rPr>
            </w:pPr>
            <w:r w:rsidRPr="00CA2018">
              <w:rPr>
                <w:sz w:val="18"/>
                <w:szCs w:val="20"/>
              </w:rPr>
              <w:tab/>
            </w:r>
          </w:p>
        </w:tc>
        <w:tc>
          <w:tcPr>
            <w:tcW w:w="1275" w:type="dxa"/>
            <w:gridSpan w:val="3"/>
            <w:shd w:val="clear" w:color="auto" w:fill="D9D9D9" w:themeFill="background1" w:themeFillShade="D9"/>
          </w:tcPr>
          <w:p w14:paraId="3B34E9BD" w14:textId="77777777" w:rsidR="007D5E58" w:rsidRPr="00CA2018" w:rsidRDefault="007D5E58" w:rsidP="00974425">
            <w:pPr>
              <w:ind w:left="33" w:right="33" w:firstLine="0"/>
              <w:rPr>
                <w:b/>
                <w:sz w:val="18"/>
                <w:szCs w:val="20"/>
              </w:rPr>
            </w:pPr>
            <w:r w:rsidRPr="00CA2018">
              <w:rPr>
                <w:b/>
                <w:sz w:val="18"/>
                <w:szCs w:val="20"/>
              </w:rPr>
              <w:t>Associated Detailed Rec</w:t>
            </w:r>
            <w:r>
              <w:rPr>
                <w:b/>
                <w:sz w:val="18"/>
                <w:szCs w:val="20"/>
              </w:rPr>
              <w:t>s</w:t>
            </w:r>
          </w:p>
        </w:tc>
        <w:tc>
          <w:tcPr>
            <w:tcW w:w="3447" w:type="dxa"/>
            <w:gridSpan w:val="2"/>
            <w:shd w:val="clear" w:color="auto" w:fill="D9D9D9" w:themeFill="background1" w:themeFillShade="D9"/>
          </w:tcPr>
          <w:p w14:paraId="77F7C3B6" w14:textId="77777777" w:rsidR="007D5E58" w:rsidRPr="00CA2018" w:rsidRDefault="007D5E58" w:rsidP="00A53840">
            <w:pPr>
              <w:ind w:left="86" w:firstLine="0"/>
              <w:rPr>
                <w:b/>
                <w:sz w:val="18"/>
                <w:szCs w:val="20"/>
              </w:rPr>
            </w:pPr>
            <w:r w:rsidRPr="00F13BC9">
              <w:rPr>
                <w:b/>
                <w:szCs w:val="28"/>
              </w:rPr>
              <w:t>What the Government has reported</w:t>
            </w:r>
          </w:p>
        </w:tc>
        <w:tc>
          <w:tcPr>
            <w:tcW w:w="3924" w:type="dxa"/>
            <w:gridSpan w:val="2"/>
            <w:shd w:val="clear" w:color="auto" w:fill="D9D9D9" w:themeFill="background1" w:themeFillShade="D9"/>
          </w:tcPr>
          <w:p w14:paraId="771C04F7" w14:textId="77777777" w:rsidR="007D5E58" w:rsidRPr="00F13BC9" w:rsidRDefault="007D5E58" w:rsidP="00A53840">
            <w:pPr>
              <w:rPr>
                <w:b/>
                <w:sz w:val="22"/>
                <w:szCs w:val="24"/>
              </w:rPr>
            </w:pPr>
            <w:r w:rsidRPr="00F13BC9">
              <w:rPr>
                <w:b/>
                <w:sz w:val="22"/>
                <w:szCs w:val="24"/>
              </w:rPr>
              <w:t>Nov 2021: evidence of implementation</w:t>
            </w:r>
          </w:p>
          <w:p w14:paraId="08F76EA5" w14:textId="77777777" w:rsidR="007D5E58" w:rsidRPr="00CA2018" w:rsidRDefault="007D5E58" w:rsidP="00A53840">
            <w:pPr>
              <w:jc w:val="right"/>
              <w:rPr>
                <w:sz w:val="18"/>
                <w:szCs w:val="20"/>
              </w:rPr>
            </w:pPr>
          </w:p>
        </w:tc>
        <w:tc>
          <w:tcPr>
            <w:tcW w:w="2196" w:type="dxa"/>
            <w:gridSpan w:val="2"/>
            <w:shd w:val="clear" w:color="auto" w:fill="D9D9D9" w:themeFill="background1" w:themeFillShade="D9"/>
          </w:tcPr>
          <w:p w14:paraId="175C6D9C" w14:textId="77777777" w:rsidR="007D5E58" w:rsidRPr="00CA2018" w:rsidRDefault="007D5E58" w:rsidP="00A53840">
            <w:pPr>
              <w:ind w:left="252" w:firstLine="0"/>
              <w:rPr>
                <w:b/>
                <w:sz w:val="18"/>
                <w:szCs w:val="20"/>
              </w:rPr>
            </w:pPr>
            <w:r w:rsidRPr="00F13BC9">
              <w:rPr>
                <w:b/>
                <w:sz w:val="22"/>
                <w:szCs w:val="24"/>
              </w:rPr>
              <w:t>Change in evidence since Nov 2020</w:t>
            </w:r>
          </w:p>
        </w:tc>
      </w:tr>
      <w:tr w:rsidR="007D5E58" w:rsidRPr="00CA2018" w14:paraId="000637BB" w14:textId="77777777" w:rsidTr="00974425">
        <w:trPr>
          <w:trHeight w:val="138"/>
        </w:trPr>
        <w:tc>
          <w:tcPr>
            <w:tcW w:w="3823" w:type="dxa"/>
            <w:gridSpan w:val="2"/>
          </w:tcPr>
          <w:p w14:paraId="3C01DC04" w14:textId="77777777" w:rsidR="007D5E58" w:rsidRPr="00CA2018" w:rsidRDefault="007D5E58" w:rsidP="00974425">
            <w:pPr>
              <w:pStyle w:val="ListParagraph"/>
              <w:ind w:left="58" w:firstLine="0"/>
              <w:rPr>
                <w:sz w:val="20"/>
                <w:szCs w:val="20"/>
              </w:rPr>
            </w:pPr>
          </w:p>
        </w:tc>
        <w:tc>
          <w:tcPr>
            <w:tcW w:w="1275" w:type="dxa"/>
            <w:gridSpan w:val="3"/>
          </w:tcPr>
          <w:p w14:paraId="2E626045" w14:textId="77777777" w:rsidR="007D5E58" w:rsidRPr="00CA2018" w:rsidRDefault="007D5E58" w:rsidP="00974425">
            <w:pPr>
              <w:ind w:left="33" w:right="33"/>
              <w:rPr>
                <w:sz w:val="20"/>
                <w:szCs w:val="20"/>
              </w:rPr>
            </w:pPr>
          </w:p>
        </w:tc>
        <w:tc>
          <w:tcPr>
            <w:tcW w:w="3447" w:type="dxa"/>
            <w:gridSpan w:val="2"/>
          </w:tcPr>
          <w:p w14:paraId="0F13F03D" w14:textId="77777777" w:rsidR="007D5E58" w:rsidRPr="00CA2018" w:rsidRDefault="007D5E58" w:rsidP="00A53840">
            <w:pPr>
              <w:ind w:left="178"/>
              <w:rPr>
                <w:sz w:val="20"/>
                <w:szCs w:val="20"/>
              </w:rPr>
            </w:pPr>
          </w:p>
        </w:tc>
        <w:tc>
          <w:tcPr>
            <w:tcW w:w="3924" w:type="dxa"/>
            <w:gridSpan w:val="2"/>
            <w:shd w:val="clear" w:color="auto" w:fill="auto"/>
          </w:tcPr>
          <w:p w14:paraId="0AF41E58" w14:textId="77777777" w:rsidR="007D5E58" w:rsidRPr="00CA2018" w:rsidRDefault="007D5E58" w:rsidP="00A53840">
            <w:pPr>
              <w:rPr>
                <w:sz w:val="20"/>
                <w:szCs w:val="20"/>
              </w:rPr>
            </w:pPr>
          </w:p>
        </w:tc>
        <w:tc>
          <w:tcPr>
            <w:tcW w:w="2196" w:type="dxa"/>
            <w:gridSpan w:val="2"/>
            <w:shd w:val="clear" w:color="auto" w:fill="auto"/>
          </w:tcPr>
          <w:p w14:paraId="523CC2B3" w14:textId="77777777" w:rsidR="007D5E58" w:rsidRPr="00CA2018" w:rsidRDefault="007D5E58" w:rsidP="00A53840">
            <w:pPr>
              <w:rPr>
                <w:sz w:val="20"/>
                <w:szCs w:val="20"/>
              </w:rPr>
            </w:pPr>
          </w:p>
        </w:tc>
      </w:tr>
      <w:tr w:rsidR="007D5E58" w:rsidRPr="00CA2018" w14:paraId="26E00895" w14:textId="77777777" w:rsidTr="00974425">
        <w:trPr>
          <w:trHeight w:val="310"/>
        </w:trPr>
        <w:tc>
          <w:tcPr>
            <w:tcW w:w="14665" w:type="dxa"/>
            <w:gridSpan w:val="11"/>
            <w:shd w:val="clear" w:color="auto" w:fill="DEEAF6" w:themeFill="accent5" w:themeFillTint="33"/>
          </w:tcPr>
          <w:p w14:paraId="0994A73A" w14:textId="77777777" w:rsidR="007D5E58" w:rsidRPr="00F13BC9" w:rsidRDefault="007D5E58" w:rsidP="00974425">
            <w:pPr>
              <w:ind w:left="33" w:right="33" w:firstLine="0"/>
              <w:jc w:val="center"/>
              <w:rPr>
                <w:b/>
                <w:bCs/>
                <w:sz w:val="20"/>
                <w:szCs w:val="20"/>
              </w:rPr>
            </w:pPr>
            <w:r w:rsidRPr="00F13BC9">
              <w:rPr>
                <w:rFonts w:ascii="Museo Sans 500" w:hAnsi="Museo Sans 500" w:cs="Museo Sans 500"/>
                <w:b/>
                <w:bCs/>
                <w:szCs w:val="24"/>
              </w:rPr>
              <w:t>Reforming social security - Kia Piki Ake Te Mana Tangata</w:t>
            </w:r>
          </w:p>
        </w:tc>
      </w:tr>
      <w:tr w:rsidR="007D5E58" w:rsidRPr="00CA2018" w14:paraId="467F6283" w14:textId="77777777" w:rsidTr="00974425">
        <w:trPr>
          <w:trHeight w:val="310"/>
        </w:trPr>
        <w:tc>
          <w:tcPr>
            <w:tcW w:w="3823" w:type="dxa"/>
            <w:gridSpan w:val="2"/>
          </w:tcPr>
          <w:p w14:paraId="7BB5F936"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Amend the Social Security Act 2018 to state that anyone exercising power under the Act have regard to the following purpose and values.</w:t>
            </w:r>
          </w:p>
          <w:p w14:paraId="0F268661" w14:textId="77777777" w:rsidR="007D5E58" w:rsidRPr="005C579C" w:rsidRDefault="007D5E58" w:rsidP="00974425">
            <w:pPr>
              <w:ind w:left="58" w:firstLine="0"/>
              <w:rPr>
                <w:rFonts w:cstheme="minorHAnsi"/>
                <w:sz w:val="20"/>
                <w:szCs w:val="20"/>
              </w:rPr>
            </w:pPr>
            <w:r w:rsidRPr="005C579C">
              <w:rPr>
                <w:rFonts w:cstheme="minorHAnsi"/>
                <w:sz w:val="20"/>
                <w:szCs w:val="20"/>
              </w:rPr>
              <w:t>The purpose of the welfare system is to whakamana tāngata and ensure a dignified life by:</w:t>
            </w:r>
          </w:p>
          <w:p w14:paraId="53FDF128"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providing financial security and social security sufficient for an adequate standard of living</w:t>
            </w:r>
          </w:p>
          <w:p w14:paraId="50197508"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supporting people to achieve their potential for learning, caring or volunteering, and earning through good and appropriate work.</w:t>
            </w:r>
          </w:p>
          <w:p w14:paraId="7BAB8427" w14:textId="77777777" w:rsidR="007D5E58" w:rsidRPr="005C579C" w:rsidRDefault="007D5E58" w:rsidP="00974425">
            <w:pPr>
              <w:ind w:left="58" w:firstLine="0"/>
              <w:rPr>
                <w:rFonts w:cstheme="minorHAnsi"/>
                <w:sz w:val="20"/>
                <w:szCs w:val="20"/>
              </w:rPr>
            </w:pPr>
            <w:r w:rsidRPr="005C579C">
              <w:rPr>
                <w:rFonts w:cstheme="minorHAnsi"/>
                <w:sz w:val="20"/>
                <w:szCs w:val="20"/>
              </w:rPr>
              <w:t>The welfare system is underpinned by Kia Piki Ake Te Mana Tangata, including kaupapa Māori values of:</w:t>
            </w:r>
          </w:p>
          <w:p w14:paraId="7DF9BA9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manaakitanga – caring with dignity and respect</w:t>
            </w:r>
          </w:p>
          <w:p w14:paraId="7078E8FB"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ōhanga – economics</w:t>
            </w:r>
          </w:p>
          <w:p w14:paraId="698EDE31"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whanaungatanga – treasuring kinship ties and relationships</w:t>
            </w:r>
          </w:p>
          <w:p w14:paraId="28EEE521"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kotahitanga – unity</w:t>
            </w:r>
          </w:p>
          <w:p w14:paraId="6FD8E8F8"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takatūtanga – preparedness</w:t>
            </w:r>
          </w:p>
          <w:p w14:paraId="6F6E64F5"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kaitiakitanga – guardianship.</w:t>
            </w:r>
          </w:p>
        </w:tc>
        <w:tc>
          <w:tcPr>
            <w:tcW w:w="1275" w:type="dxa"/>
            <w:gridSpan w:val="3"/>
          </w:tcPr>
          <w:p w14:paraId="7923F65F"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Nil </w:t>
            </w:r>
          </w:p>
        </w:tc>
        <w:tc>
          <w:tcPr>
            <w:tcW w:w="3447" w:type="dxa"/>
            <w:gridSpan w:val="2"/>
          </w:tcPr>
          <w:p w14:paraId="73AFA5F3" w14:textId="3F6BB75F"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the Government signalled that “resetting the foundations of the welfare system” is part of its medium-term work programme, intended to take place over “the next several years”</w:t>
            </w:r>
            <w:r w:rsidR="00AC236C">
              <w:rPr>
                <w:rFonts w:cstheme="minorHAnsi"/>
                <w:sz w:val="20"/>
                <w:szCs w:val="20"/>
              </w:rPr>
              <w:t xml:space="preserve"> (MSD, 2021e)</w:t>
            </w:r>
            <w:r w:rsidRPr="005C579C">
              <w:rPr>
                <w:rFonts w:cstheme="minorHAnsi"/>
                <w:sz w:val="20"/>
                <w:szCs w:val="20"/>
              </w:rPr>
              <w:t>. Appendix Three of the Cabinet paper also stated that “MSD has concluded the first phase of the review of the purposes and principles of the Social Security Act. … the review is now entering its second phase after first focusing on financial assistance”</w:t>
            </w:r>
            <w:r w:rsidR="0055149E">
              <w:rPr>
                <w:rFonts w:cstheme="minorHAnsi"/>
                <w:sz w:val="20"/>
                <w:szCs w:val="20"/>
              </w:rPr>
              <w:t xml:space="preserve"> (MSD, 2021d).</w:t>
            </w:r>
          </w:p>
          <w:p w14:paraId="347E5CD4" w14:textId="77777777" w:rsidR="007D5E58" w:rsidRPr="005C579C" w:rsidRDefault="007D5E58" w:rsidP="00A53840">
            <w:pPr>
              <w:ind w:left="178" w:firstLine="0"/>
              <w:rPr>
                <w:rFonts w:cstheme="minorHAnsi"/>
                <w:sz w:val="20"/>
                <w:szCs w:val="20"/>
              </w:rPr>
            </w:pPr>
          </w:p>
          <w:p w14:paraId="6EBC0D1A" w14:textId="77777777" w:rsidR="007D5E58" w:rsidRPr="005C579C" w:rsidRDefault="007D5E58" w:rsidP="00A53840">
            <w:pPr>
              <w:ind w:left="178" w:firstLine="0"/>
              <w:rPr>
                <w:rFonts w:cstheme="minorHAnsi"/>
                <w:sz w:val="20"/>
                <w:szCs w:val="20"/>
              </w:rPr>
            </w:pPr>
          </w:p>
        </w:tc>
        <w:tc>
          <w:tcPr>
            <w:tcW w:w="3924" w:type="dxa"/>
            <w:gridSpan w:val="2"/>
            <w:shd w:val="clear" w:color="auto" w:fill="FFA5A5"/>
          </w:tcPr>
          <w:p w14:paraId="3F4F815A" w14:textId="77777777" w:rsidR="007D5E58" w:rsidRPr="00CA2018" w:rsidRDefault="007D5E58" w:rsidP="00A53840">
            <w:pPr>
              <w:ind w:firstLine="0"/>
              <w:rPr>
                <w:sz w:val="20"/>
                <w:szCs w:val="20"/>
              </w:rPr>
            </w:pPr>
            <w:r w:rsidRPr="00CA2018">
              <w:rPr>
                <w:sz w:val="20"/>
                <w:szCs w:val="20"/>
              </w:rPr>
              <w:t>No evidence of implementation</w:t>
            </w:r>
          </w:p>
          <w:p w14:paraId="68222A8A" w14:textId="77777777" w:rsidR="007D5E58" w:rsidRPr="00CA2018" w:rsidRDefault="007D5E58" w:rsidP="00A53840">
            <w:pPr>
              <w:ind w:firstLine="0"/>
              <w:rPr>
                <w:sz w:val="20"/>
                <w:szCs w:val="20"/>
              </w:rPr>
            </w:pPr>
          </w:p>
          <w:p w14:paraId="47F0858F" w14:textId="1130CD1D" w:rsidR="007D5E58" w:rsidRPr="00CA2018" w:rsidRDefault="007D5E58" w:rsidP="00853FD3">
            <w:pPr>
              <w:ind w:firstLine="0"/>
              <w:rPr>
                <w:sz w:val="20"/>
                <w:szCs w:val="20"/>
              </w:rPr>
            </w:pPr>
            <w:r w:rsidRPr="00CA2018">
              <w:rPr>
                <w:sz w:val="20"/>
                <w:szCs w:val="20"/>
              </w:rPr>
              <w:t>In February 2019, WEAG recommended that the welfare system be underpinned by kaupapa Māori values. Following the Government’s commitment to developing one such model, Ngā Mātanga Māori was established in late-2020 to advise on defining kaupapa Māori values that could impact change and how they could do so. The group is going to report to the Minister shortly on this, and their report will inform ongoing policy work on the rewrite of the Act. However, the issue of practical implementation of such a framework has not been addressed by the Government.</w:t>
            </w:r>
          </w:p>
        </w:tc>
        <w:tc>
          <w:tcPr>
            <w:tcW w:w="2196" w:type="dxa"/>
            <w:gridSpan w:val="2"/>
            <w:shd w:val="clear" w:color="auto" w:fill="auto"/>
          </w:tcPr>
          <w:p w14:paraId="7140ACF2" w14:textId="77777777" w:rsidR="007D5E58" w:rsidRPr="00CA2018" w:rsidRDefault="007D5E58" w:rsidP="00A53840">
            <w:pPr>
              <w:ind w:firstLine="0"/>
              <w:rPr>
                <w:sz w:val="20"/>
                <w:szCs w:val="20"/>
              </w:rPr>
            </w:pPr>
            <w:r w:rsidRPr="00CA2018">
              <w:rPr>
                <w:sz w:val="20"/>
                <w:szCs w:val="20"/>
              </w:rPr>
              <w:t>No change since November 2020.</w:t>
            </w:r>
          </w:p>
          <w:p w14:paraId="5937A345" w14:textId="77777777" w:rsidR="007D5E58" w:rsidRPr="00CA2018" w:rsidRDefault="007D5E58" w:rsidP="00A53840">
            <w:pPr>
              <w:ind w:firstLine="0"/>
              <w:rPr>
                <w:sz w:val="20"/>
                <w:szCs w:val="20"/>
              </w:rPr>
            </w:pPr>
          </w:p>
        </w:tc>
      </w:tr>
      <w:tr w:rsidR="007D5E58" w:rsidRPr="00CA2018" w14:paraId="1D426B8B" w14:textId="77777777" w:rsidTr="00974425">
        <w:trPr>
          <w:trHeight w:val="294"/>
        </w:trPr>
        <w:tc>
          <w:tcPr>
            <w:tcW w:w="3823" w:type="dxa"/>
            <w:gridSpan w:val="2"/>
          </w:tcPr>
          <w:p w14:paraId="1FF30A44"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Use the following principles to guide the design and operation of the welfare system.</w:t>
            </w:r>
          </w:p>
          <w:p w14:paraId="49DDA1E7"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Be person-centred and wellbeing focused.</w:t>
            </w:r>
          </w:p>
          <w:p w14:paraId="5698F488"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Keep children paramount.</w:t>
            </w:r>
          </w:p>
          <w:p w14:paraId="44E9E889"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Value whānau and families.</w:t>
            </w:r>
          </w:p>
          <w:p w14:paraId="5C8AB585"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Treat people with dignity, respect and compassion.</w:t>
            </w:r>
          </w:p>
          <w:p w14:paraId="5062A2C8"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Provide an income sufficient for an adequate standard of living.</w:t>
            </w:r>
          </w:p>
          <w:p w14:paraId="730BA8F9"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Provide full and correct entitlements.</w:t>
            </w:r>
          </w:p>
          <w:p w14:paraId="215E3BE4"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Deliver support that is easy to access, timely and appropriate.</w:t>
            </w:r>
          </w:p>
          <w:p w14:paraId="372C4EC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Provide an employment service that supports people into good and appropriate work.</w:t>
            </w:r>
          </w:p>
          <w:p w14:paraId="39D7F86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Support the provision of housing that is affordable, secure, of good quality and appropriate for the person (and their family or whānau).</w:t>
            </w:r>
          </w:p>
          <w:p w14:paraId="2D621AE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Promote mutual expectations.</w:t>
            </w:r>
          </w:p>
          <w:p w14:paraId="27AFF22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Aim for equitable outcomes.</w:t>
            </w:r>
          </w:p>
          <w:p w14:paraId="23EAA0C2"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Build and maintain effective links with other parts of government.</w:t>
            </w:r>
          </w:p>
          <w:p w14:paraId="7B260857"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Be sustainable.</w:t>
            </w:r>
          </w:p>
        </w:tc>
        <w:tc>
          <w:tcPr>
            <w:tcW w:w="1275" w:type="dxa"/>
            <w:gridSpan w:val="3"/>
          </w:tcPr>
          <w:p w14:paraId="7D1AF7F3"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071F298E" w14:textId="77777777" w:rsidR="00C47E7E" w:rsidRPr="005C579C" w:rsidRDefault="00C47E7E" w:rsidP="00C47E7E">
            <w:pPr>
              <w:ind w:left="178" w:firstLine="0"/>
              <w:rPr>
                <w:rFonts w:cstheme="minorHAnsi"/>
                <w:sz w:val="20"/>
                <w:szCs w:val="20"/>
              </w:rPr>
            </w:pPr>
            <w:r w:rsidRPr="005C579C">
              <w:rPr>
                <w:rFonts w:cstheme="minorHAnsi"/>
                <w:sz w:val="20"/>
                <w:szCs w:val="20"/>
              </w:rPr>
              <w:t>In a 27 September 2021 Cabinet paper, the Government signalled that “resetting the foundations of the welfare system” is part of its medium-term work programme, intended to take place over “the next several years”</w:t>
            </w:r>
            <w:r>
              <w:rPr>
                <w:rFonts w:cstheme="minorHAnsi"/>
                <w:sz w:val="20"/>
                <w:szCs w:val="20"/>
              </w:rPr>
              <w:t xml:space="preserve"> (MSD, 2021e)</w:t>
            </w:r>
            <w:r w:rsidRPr="005C579C">
              <w:rPr>
                <w:rFonts w:cstheme="minorHAnsi"/>
                <w:sz w:val="20"/>
                <w:szCs w:val="20"/>
              </w:rPr>
              <w:t>. Appendix Three of the Cabinet paper also stated that “MSD has concluded the first phase of the review of the purposes and principles of the Social Security Act. … the review is now entering its second phase after first focusing on financial assistance”</w:t>
            </w:r>
            <w:r>
              <w:rPr>
                <w:rFonts w:cstheme="minorHAnsi"/>
                <w:sz w:val="20"/>
                <w:szCs w:val="20"/>
              </w:rPr>
              <w:t xml:space="preserve"> (MSD, 2021d).</w:t>
            </w:r>
          </w:p>
          <w:p w14:paraId="0EA71958" w14:textId="50026666" w:rsidR="007D5E58" w:rsidRPr="005C579C" w:rsidRDefault="007D5E58" w:rsidP="00A53840">
            <w:pPr>
              <w:ind w:left="178" w:firstLine="0"/>
              <w:rPr>
                <w:rFonts w:cstheme="minorHAnsi"/>
                <w:sz w:val="20"/>
                <w:szCs w:val="20"/>
              </w:rPr>
            </w:pPr>
          </w:p>
        </w:tc>
        <w:tc>
          <w:tcPr>
            <w:tcW w:w="3924" w:type="dxa"/>
            <w:gridSpan w:val="2"/>
            <w:shd w:val="clear" w:color="auto" w:fill="FFA5A5"/>
          </w:tcPr>
          <w:p w14:paraId="3B840662" w14:textId="77777777" w:rsidR="007D5E58" w:rsidRPr="00CA2018" w:rsidRDefault="007D5E58" w:rsidP="00A53840">
            <w:pPr>
              <w:ind w:left="0" w:firstLine="0"/>
              <w:rPr>
                <w:sz w:val="20"/>
                <w:szCs w:val="20"/>
              </w:rPr>
            </w:pPr>
            <w:r w:rsidRPr="00CA2018">
              <w:rPr>
                <w:sz w:val="20"/>
                <w:szCs w:val="20"/>
              </w:rPr>
              <w:t>No evidence of implementation.</w:t>
            </w:r>
          </w:p>
        </w:tc>
        <w:tc>
          <w:tcPr>
            <w:tcW w:w="2196" w:type="dxa"/>
            <w:gridSpan w:val="2"/>
            <w:shd w:val="clear" w:color="auto" w:fill="auto"/>
          </w:tcPr>
          <w:p w14:paraId="52F5A708" w14:textId="77777777" w:rsidR="007D5E58" w:rsidRPr="00CA2018" w:rsidRDefault="007D5E58" w:rsidP="00A53840">
            <w:pPr>
              <w:ind w:firstLine="0"/>
              <w:rPr>
                <w:sz w:val="20"/>
                <w:szCs w:val="20"/>
              </w:rPr>
            </w:pPr>
            <w:r w:rsidRPr="00CA2018">
              <w:rPr>
                <w:sz w:val="20"/>
                <w:szCs w:val="20"/>
              </w:rPr>
              <w:t>No change since November 2020.</w:t>
            </w:r>
          </w:p>
          <w:p w14:paraId="3515B80C" w14:textId="77777777" w:rsidR="007D5E58" w:rsidRPr="00CA2018" w:rsidRDefault="007D5E58" w:rsidP="00A53840">
            <w:pPr>
              <w:ind w:firstLine="0"/>
              <w:rPr>
                <w:sz w:val="20"/>
                <w:szCs w:val="20"/>
              </w:rPr>
            </w:pPr>
          </w:p>
        </w:tc>
      </w:tr>
      <w:tr w:rsidR="007D5E58" w:rsidRPr="00CA2018" w14:paraId="0277A968" w14:textId="77777777" w:rsidTr="00974425">
        <w:trPr>
          <w:trHeight w:val="310"/>
        </w:trPr>
        <w:tc>
          <w:tcPr>
            <w:tcW w:w="3823" w:type="dxa"/>
            <w:gridSpan w:val="2"/>
          </w:tcPr>
          <w:p w14:paraId="18247C67"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Establish a cross-ministerial approach to implement and monitor the effectiveness of the implementation and impact on outcomes of the Welfare Expert Advisory Group’s recommendations (across welfare, health, housing, justice, education and employment) that is cognisant of responsibilities under Te Tiriti o Waitangi (the Treaty of Waitangi) and involves users of the welfare system.</w:t>
            </w:r>
          </w:p>
        </w:tc>
        <w:tc>
          <w:tcPr>
            <w:tcW w:w="1275" w:type="dxa"/>
            <w:gridSpan w:val="3"/>
          </w:tcPr>
          <w:p w14:paraId="4AC54B24"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0DE0881C" w14:textId="5C98996C"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“the Minister for Social Development and Employment has been using the Social Wellbeing Cabinet Committee as the main forum to discuss progress of work in alignment with the Welfare Expert Advisory Group’s recommendations and will continue to do so as the welfare overhaul progresses</w:t>
            </w:r>
            <w:r w:rsidR="0011748B">
              <w:rPr>
                <w:rFonts w:cstheme="minorHAnsi"/>
                <w:sz w:val="20"/>
                <w:szCs w:val="20"/>
              </w:rPr>
              <w:t>” (MSD, 2021d).</w:t>
            </w:r>
            <w:r w:rsidRPr="005C579C">
              <w:rPr>
                <w:rFonts w:cstheme="minorHAnsi"/>
                <w:sz w:val="20"/>
                <w:szCs w:val="20"/>
              </w:rPr>
              <w:t xml:space="preserve"> The 2021 update did not mention evaluation of initiatives, despite the 2019 update suggesting evaluation of initiatives would be explored.</w:t>
            </w:r>
          </w:p>
        </w:tc>
        <w:tc>
          <w:tcPr>
            <w:tcW w:w="3924" w:type="dxa"/>
            <w:gridSpan w:val="2"/>
            <w:shd w:val="clear" w:color="auto" w:fill="FFE599" w:themeFill="accent4" w:themeFillTint="66"/>
          </w:tcPr>
          <w:p w14:paraId="79D26074" w14:textId="77777777" w:rsidR="007D5E58" w:rsidRPr="00CA2018" w:rsidRDefault="007D5E58" w:rsidP="00A53840">
            <w:pPr>
              <w:ind w:left="0" w:firstLine="0"/>
              <w:rPr>
                <w:sz w:val="20"/>
                <w:szCs w:val="20"/>
              </w:rPr>
            </w:pPr>
            <w:r w:rsidRPr="00CA2018">
              <w:rPr>
                <w:sz w:val="20"/>
                <w:szCs w:val="20"/>
              </w:rPr>
              <w:t>Partially implemented.</w:t>
            </w:r>
          </w:p>
          <w:p w14:paraId="16CB2A85" w14:textId="77777777" w:rsidR="007D5E58" w:rsidRPr="00CA2018" w:rsidRDefault="007D5E58" w:rsidP="00A53840">
            <w:pPr>
              <w:ind w:left="204" w:firstLine="0"/>
              <w:rPr>
                <w:sz w:val="20"/>
                <w:szCs w:val="20"/>
              </w:rPr>
            </w:pPr>
          </w:p>
          <w:p w14:paraId="0B2AE4D8" w14:textId="0F7DC356" w:rsidR="007D5E58" w:rsidRPr="00CA2018" w:rsidRDefault="007D5E58" w:rsidP="00A53840">
            <w:pPr>
              <w:spacing w:after="120"/>
              <w:ind w:left="204" w:firstLine="0"/>
              <w:rPr>
                <w:sz w:val="20"/>
                <w:szCs w:val="20"/>
              </w:rPr>
            </w:pPr>
            <w:r w:rsidRPr="00CA2018">
              <w:rPr>
                <w:sz w:val="20"/>
                <w:szCs w:val="20"/>
              </w:rPr>
              <w:t>The Cabinet Social Wellbeing Committee has been meeting to agree on the Government’s response to WEAG report. However, there is no publicly</w:t>
            </w:r>
            <w:r w:rsidR="00BF6A4A">
              <w:rPr>
                <w:sz w:val="20"/>
                <w:szCs w:val="20"/>
              </w:rPr>
              <w:t xml:space="preserve"> </w:t>
            </w:r>
            <w:r w:rsidRPr="00CA2018">
              <w:rPr>
                <w:sz w:val="20"/>
                <w:szCs w:val="20"/>
              </w:rPr>
              <w:t>available evidence of monitoring and evaluation of the impact of outcomes in a way that is cognisant of Te Tiriti and involves users of the system.</w:t>
            </w:r>
          </w:p>
        </w:tc>
        <w:tc>
          <w:tcPr>
            <w:tcW w:w="2196" w:type="dxa"/>
            <w:gridSpan w:val="2"/>
            <w:shd w:val="clear" w:color="auto" w:fill="auto"/>
          </w:tcPr>
          <w:p w14:paraId="0799F29C" w14:textId="77777777" w:rsidR="007D5E58" w:rsidRPr="00CA2018" w:rsidRDefault="007D5E58" w:rsidP="00A53840">
            <w:pPr>
              <w:ind w:firstLine="0"/>
              <w:rPr>
                <w:sz w:val="20"/>
                <w:szCs w:val="20"/>
              </w:rPr>
            </w:pPr>
            <w:r w:rsidRPr="00CA2018">
              <w:rPr>
                <w:sz w:val="20"/>
                <w:szCs w:val="20"/>
              </w:rPr>
              <w:t>No change since November 2020.</w:t>
            </w:r>
          </w:p>
          <w:p w14:paraId="37FD10BB" w14:textId="77777777" w:rsidR="007D5E58" w:rsidRPr="00CA2018" w:rsidRDefault="007D5E58" w:rsidP="00A53840">
            <w:pPr>
              <w:ind w:firstLine="0"/>
              <w:rPr>
                <w:sz w:val="20"/>
                <w:szCs w:val="20"/>
              </w:rPr>
            </w:pPr>
          </w:p>
        </w:tc>
      </w:tr>
      <w:tr w:rsidR="007D5E58" w:rsidRPr="00CA2018" w14:paraId="23771ABC" w14:textId="77777777" w:rsidTr="00974425">
        <w:trPr>
          <w:trHeight w:val="2917"/>
        </w:trPr>
        <w:tc>
          <w:tcPr>
            <w:tcW w:w="3823" w:type="dxa"/>
            <w:gridSpan w:val="2"/>
          </w:tcPr>
          <w:p w14:paraId="43AABB98"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Direct the Chief Executive of the Ministry of Social Development to design and implement a welfare system that will fulfil the new purpose and principles of the amended Social Security Act, is cognisant of responsibilities under Te Tiriti o Waitangi and involves users of the system.</w:t>
            </w:r>
          </w:p>
        </w:tc>
        <w:tc>
          <w:tcPr>
            <w:tcW w:w="1275" w:type="dxa"/>
            <w:gridSpan w:val="3"/>
          </w:tcPr>
          <w:p w14:paraId="07EB94A2"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73B1D03B" w14:textId="502B3D9B"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“MSD is exploring options for embedding Te Tiriti o Waitangi/Treaty of Waitangi obligations within the welfare system”</w:t>
            </w:r>
            <w:r w:rsidR="00BF6A4A">
              <w:rPr>
                <w:rFonts w:cstheme="minorHAnsi"/>
                <w:sz w:val="20"/>
                <w:szCs w:val="20"/>
              </w:rPr>
              <w:t xml:space="preserve"> (MSD, 2021d). </w:t>
            </w:r>
          </w:p>
        </w:tc>
        <w:tc>
          <w:tcPr>
            <w:tcW w:w="3924" w:type="dxa"/>
            <w:gridSpan w:val="2"/>
            <w:shd w:val="clear" w:color="auto" w:fill="FFA5A5"/>
          </w:tcPr>
          <w:p w14:paraId="078E6F48" w14:textId="77777777" w:rsidR="007D5E58" w:rsidRPr="00CA2018" w:rsidRDefault="007D5E58" w:rsidP="00A53840">
            <w:pPr>
              <w:ind w:left="204" w:firstLine="0"/>
              <w:rPr>
                <w:sz w:val="20"/>
                <w:szCs w:val="20"/>
              </w:rPr>
            </w:pPr>
            <w:r w:rsidRPr="00CA2018">
              <w:rPr>
                <w:sz w:val="20"/>
                <w:szCs w:val="20"/>
              </w:rPr>
              <w:t>No evidence of implementation.</w:t>
            </w:r>
          </w:p>
          <w:p w14:paraId="7E4FDCC4" w14:textId="77777777" w:rsidR="007D5E58" w:rsidRPr="00CA2018" w:rsidRDefault="007D5E58" w:rsidP="00A53840">
            <w:pPr>
              <w:ind w:left="204" w:firstLine="0"/>
              <w:rPr>
                <w:sz w:val="20"/>
                <w:szCs w:val="20"/>
              </w:rPr>
            </w:pPr>
          </w:p>
          <w:p w14:paraId="58D55392" w14:textId="77777777" w:rsidR="007D5E58" w:rsidRPr="00CA2018" w:rsidRDefault="007D5E58" w:rsidP="00A53840">
            <w:pPr>
              <w:ind w:left="204" w:firstLine="0"/>
              <w:rPr>
                <w:sz w:val="20"/>
                <w:szCs w:val="20"/>
              </w:rPr>
            </w:pPr>
            <w:r w:rsidRPr="00CA2018">
              <w:rPr>
                <w:sz w:val="20"/>
                <w:szCs w:val="20"/>
              </w:rPr>
              <w:t>The issue of Te Tiriti compliance – both in policy and action – remains largely unaddressed.</w:t>
            </w:r>
          </w:p>
        </w:tc>
        <w:tc>
          <w:tcPr>
            <w:tcW w:w="2196" w:type="dxa"/>
            <w:gridSpan w:val="2"/>
            <w:shd w:val="clear" w:color="auto" w:fill="auto"/>
          </w:tcPr>
          <w:p w14:paraId="0AF3F85C" w14:textId="77777777" w:rsidR="007D5E58" w:rsidRPr="00CA2018" w:rsidRDefault="007D5E58" w:rsidP="00A53840">
            <w:pPr>
              <w:ind w:left="204" w:firstLine="0"/>
              <w:rPr>
                <w:sz w:val="20"/>
                <w:szCs w:val="20"/>
              </w:rPr>
            </w:pPr>
            <w:r w:rsidRPr="00CA2018">
              <w:rPr>
                <w:sz w:val="20"/>
                <w:szCs w:val="20"/>
              </w:rPr>
              <w:t>No change since November 2020.</w:t>
            </w:r>
          </w:p>
          <w:p w14:paraId="4C8B9F9D" w14:textId="77777777" w:rsidR="007D5E58" w:rsidRPr="00CA2018" w:rsidRDefault="007D5E58" w:rsidP="00A53840">
            <w:pPr>
              <w:ind w:left="204" w:firstLine="0"/>
              <w:rPr>
                <w:sz w:val="20"/>
                <w:szCs w:val="20"/>
              </w:rPr>
            </w:pPr>
          </w:p>
        </w:tc>
      </w:tr>
      <w:tr w:rsidR="007D5E58" w:rsidRPr="00CA2018" w14:paraId="70D50A9D" w14:textId="77777777" w:rsidTr="00974425">
        <w:trPr>
          <w:trHeight w:val="310"/>
        </w:trPr>
        <w:tc>
          <w:tcPr>
            <w:tcW w:w="3823" w:type="dxa"/>
            <w:gridSpan w:val="2"/>
          </w:tcPr>
          <w:p w14:paraId="2B4969D4"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Direct the Ministry of Social Development and Inland Revenue to publish yearly, whether as part of their Annual Reports or Statement of Intent, or as a standalone report, information on key outcomes for those interacting with the welfare system, including information about full and correct entitlements, take-up rates of payments, employment outcomes, the impact of employment supports and services, and after-tax and abatement earnings.</w:t>
            </w:r>
          </w:p>
          <w:p w14:paraId="3A6DA117" w14:textId="77777777" w:rsidR="007D5E58" w:rsidRPr="005C579C" w:rsidRDefault="007D5E58" w:rsidP="00974425">
            <w:pPr>
              <w:pStyle w:val="ListParagraph"/>
              <w:ind w:left="58" w:firstLine="0"/>
              <w:rPr>
                <w:rFonts w:cstheme="minorHAnsi"/>
                <w:sz w:val="20"/>
                <w:szCs w:val="20"/>
              </w:rPr>
            </w:pPr>
            <w:r w:rsidRPr="005C579C">
              <w:rPr>
                <w:rFonts w:cstheme="minorHAnsi"/>
                <w:sz w:val="20"/>
                <w:szCs w:val="20"/>
              </w:rPr>
              <w:t>Measures should include:</w:t>
            </w:r>
          </w:p>
          <w:p w14:paraId="1AC9B63D"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full and correct entitlement for all who are eligible by ethnicity, gender, location, health conditions and</w:t>
            </w:r>
          </w:p>
          <w:p w14:paraId="4761158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disabilities, and number and age of dependent children (0–17 years)</w:t>
            </w:r>
          </w:p>
          <w:p w14:paraId="7284C8CB"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take-up rates of payments by ethnicity, gender, location, health conditions and disabilities, and number and age of dependent children (0–17 years)</w:t>
            </w:r>
          </w:p>
          <w:p w14:paraId="6B17F646"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employment outcomes by benefit type, ethnicity, gender, location, health conditions and disabilities,</w:t>
            </w:r>
          </w:p>
          <w:p w14:paraId="114FD63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age, and duration off benefit (3, 6 and 12 months)</w:t>
            </w:r>
          </w:p>
          <w:p w14:paraId="3EDAB0E9"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impact of employment supports and services on outcomes by ethnicity, gender, location, health</w:t>
            </w:r>
          </w:p>
          <w:p w14:paraId="66C1B0CF"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conditions and disabilities, and number and age of dependent children (0–17 years)</w:t>
            </w:r>
          </w:p>
          <w:p w14:paraId="2FA8F10F"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after-tax and abatement earnings for those receiving financial support from Inland Revenue or the Ministry of Social Development by ethnicity, gender, location, health conditions and disabilities, and number and age of dependent children (0–17 years).</w:t>
            </w:r>
          </w:p>
        </w:tc>
        <w:tc>
          <w:tcPr>
            <w:tcW w:w="1275" w:type="dxa"/>
            <w:gridSpan w:val="3"/>
          </w:tcPr>
          <w:p w14:paraId="7F348996"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1D8F4817" w14:textId="08535D61"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“the Minister for Social Development and Employment has already directed MSD officials to expand reporting in line with recommendation 5 to ensure we have a better understanding of outcomes for clients. This includes the ‘heartbeat initiative’ which measures people’s experiences at Work and Income”</w:t>
            </w:r>
            <w:r w:rsidR="00F4159A">
              <w:rPr>
                <w:rFonts w:cstheme="minorHAnsi"/>
                <w:sz w:val="20"/>
                <w:szCs w:val="20"/>
              </w:rPr>
              <w:t xml:space="preserve"> (MSD, 2021d).</w:t>
            </w:r>
          </w:p>
          <w:p w14:paraId="1CCD52EE" w14:textId="77777777" w:rsidR="007D5E58" w:rsidRPr="005C579C" w:rsidRDefault="007D5E58" w:rsidP="00A53840">
            <w:pPr>
              <w:ind w:left="0" w:firstLine="0"/>
              <w:rPr>
                <w:rFonts w:cstheme="minorHAnsi"/>
                <w:sz w:val="20"/>
                <w:szCs w:val="20"/>
              </w:rPr>
            </w:pPr>
          </w:p>
        </w:tc>
        <w:tc>
          <w:tcPr>
            <w:tcW w:w="3924" w:type="dxa"/>
            <w:gridSpan w:val="2"/>
            <w:shd w:val="clear" w:color="auto" w:fill="F8CA9C"/>
          </w:tcPr>
          <w:p w14:paraId="0BF32D43" w14:textId="77777777" w:rsidR="007D5E58" w:rsidRPr="00CA2018" w:rsidRDefault="007D5E58" w:rsidP="00A53840">
            <w:pPr>
              <w:ind w:left="0" w:firstLine="0"/>
              <w:rPr>
                <w:sz w:val="20"/>
                <w:szCs w:val="20"/>
              </w:rPr>
            </w:pPr>
            <w:r w:rsidRPr="00CA2018">
              <w:rPr>
                <w:sz w:val="20"/>
                <w:szCs w:val="20"/>
              </w:rPr>
              <w:t>Minimal implementation.</w:t>
            </w:r>
          </w:p>
          <w:p w14:paraId="0B1C0AAE" w14:textId="77777777" w:rsidR="007D5E58" w:rsidRPr="00CA2018" w:rsidRDefault="007D5E58" w:rsidP="00A53840">
            <w:pPr>
              <w:ind w:left="204" w:firstLine="0"/>
              <w:rPr>
                <w:sz w:val="20"/>
                <w:szCs w:val="20"/>
              </w:rPr>
            </w:pPr>
          </w:p>
          <w:p w14:paraId="4DD2768C" w14:textId="543B360B" w:rsidR="007D5E58" w:rsidRPr="00CA2018" w:rsidRDefault="007D5E58" w:rsidP="00A53840">
            <w:pPr>
              <w:ind w:left="204" w:firstLine="0"/>
              <w:rPr>
                <w:sz w:val="20"/>
                <w:szCs w:val="20"/>
              </w:rPr>
            </w:pPr>
            <w:r w:rsidRPr="00CA2018">
              <w:rPr>
                <w:sz w:val="20"/>
                <w:szCs w:val="20"/>
              </w:rPr>
              <w:t>There is evidence that the Government has established regular monitoring on at least some of these measures. In March 2020, Minister Sepuloni stated that the Government has responded to this recommendation by ‘regularly monitoring’ employment outcomes for people coming off-benefit. Further, in a June 2021 report released under OIA, officials stated that “In response to recommendation 5 … MSD has created a dataset that records payments, earnings and housing costs of people in receipt of a main benefit”</w:t>
            </w:r>
            <w:r w:rsidR="00FF46C6">
              <w:rPr>
                <w:sz w:val="20"/>
                <w:szCs w:val="20"/>
              </w:rPr>
              <w:t xml:space="preserve"> (MSD, 2021i).</w:t>
            </w:r>
            <w:r w:rsidRPr="00CA2018">
              <w:rPr>
                <w:sz w:val="20"/>
                <w:szCs w:val="20"/>
              </w:rPr>
              <w:t xml:space="preserve">  Work has begun on a full and correct entitlement pilot, but it is limited at this stage.</w:t>
            </w:r>
          </w:p>
          <w:p w14:paraId="1E1AC1B0" w14:textId="77777777" w:rsidR="007D5E58" w:rsidRPr="00CA2018" w:rsidRDefault="007D5E58" w:rsidP="00A53840">
            <w:pPr>
              <w:ind w:left="204" w:firstLine="0"/>
              <w:rPr>
                <w:sz w:val="20"/>
                <w:szCs w:val="20"/>
              </w:rPr>
            </w:pPr>
          </w:p>
          <w:p w14:paraId="038534D7" w14:textId="31E93480" w:rsidR="007D5E58" w:rsidRPr="00CA2018" w:rsidRDefault="007D5E58" w:rsidP="00A53840">
            <w:pPr>
              <w:ind w:left="204" w:firstLine="0"/>
              <w:rPr>
                <w:sz w:val="20"/>
                <w:szCs w:val="20"/>
              </w:rPr>
            </w:pPr>
            <w:r w:rsidRPr="00CA2018">
              <w:rPr>
                <w:sz w:val="20"/>
                <w:szCs w:val="20"/>
              </w:rPr>
              <w:t xml:space="preserve">While it is evident that some of this monitoring has been set up, data does not appear to be published annually yet. In 2020, a report was published </w:t>
            </w:r>
            <w:r w:rsidRPr="00CA2018">
              <w:rPr>
                <w:i/>
                <w:iCs/>
                <w:sz w:val="20"/>
                <w:szCs w:val="20"/>
              </w:rPr>
              <w:t>What happened to people who left the benefit system</w:t>
            </w:r>
            <w:r w:rsidRPr="00CA2018">
              <w:rPr>
                <w:sz w:val="20"/>
                <w:szCs w:val="20"/>
              </w:rPr>
              <w:t xml:space="preserve"> based on 2015/16 data, however this work does not appear to have been updated since</w:t>
            </w:r>
            <w:r w:rsidR="008110DB">
              <w:rPr>
                <w:sz w:val="20"/>
                <w:szCs w:val="20"/>
              </w:rPr>
              <w:t xml:space="preserve"> (MSD, n.d.)</w:t>
            </w:r>
            <w:r w:rsidRPr="00CA2018">
              <w:rPr>
                <w:sz w:val="20"/>
                <w:szCs w:val="20"/>
              </w:rPr>
              <w:t xml:space="preserve">.  </w:t>
            </w:r>
          </w:p>
          <w:p w14:paraId="2848BC8D" w14:textId="77777777" w:rsidR="007D5E58" w:rsidRPr="00CA2018" w:rsidRDefault="007D5E58" w:rsidP="00A53840">
            <w:pPr>
              <w:ind w:left="204" w:firstLine="0"/>
              <w:rPr>
                <w:sz w:val="20"/>
                <w:szCs w:val="20"/>
              </w:rPr>
            </w:pPr>
          </w:p>
          <w:p w14:paraId="097639A7" w14:textId="77777777" w:rsidR="007D5E58" w:rsidRPr="00CA2018" w:rsidRDefault="007D5E58" w:rsidP="00A53840">
            <w:pPr>
              <w:ind w:left="204" w:firstLine="0"/>
              <w:rPr>
                <w:sz w:val="20"/>
                <w:szCs w:val="20"/>
              </w:rPr>
            </w:pPr>
            <w:r w:rsidRPr="00CA2018">
              <w:rPr>
                <w:sz w:val="20"/>
                <w:szCs w:val="20"/>
              </w:rPr>
              <w:t>In regard to data collection, it is important that data collected is ‘measuring what matters’ not just to Government but also to iwi, hapū and whānau, as well as providers of social services to Māori. We call for greater Government support to enable iwi and hapū to gather, organise, store and use their own iwi-based data.</w:t>
            </w:r>
          </w:p>
        </w:tc>
        <w:tc>
          <w:tcPr>
            <w:tcW w:w="2196" w:type="dxa"/>
            <w:gridSpan w:val="2"/>
            <w:shd w:val="clear" w:color="auto" w:fill="auto"/>
          </w:tcPr>
          <w:p w14:paraId="178E79A3" w14:textId="77777777" w:rsidR="007D5E58" w:rsidRPr="00CA2018" w:rsidRDefault="007D5E58" w:rsidP="00A53840">
            <w:pPr>
              <w:ind w:left="204" w:firstLine="0"/>
              <w:rPr>
                <w:sz w:val="20"/>
                <w:szCs w:val="20"/>
              </w:rPr>
            </w:pPr>
            <w:r w:rsidRPr="00CA2018">
              <w:rPr>
                <w:sz w:val="20"/>
                <w:szCs w:val="20"/>
              </w:rPr>
              <w:t>No change since November 2020.</w:t>
            </w:r>
          </w:p>
          <w:p w14:paraId="4FDD1E02" w14:textId="77777777" w:rsidR="007D5E58" w:rsidRPr="00CA2018" w:rsidRDefault="007D5E58" w:rsidP="00A53840">
            <w:pPr>
              <w:ind w:left="204" w:firstLine="0"/>
              <w:rPr>
                <w:sz w:val="20"/>
                <w:szCs w:val="20"/>
              </w:rPr>
            </w:pPr>
          </w:p>
        </w:tc>
      </w:tr>
      <w:tr w:rsidR="007D5E58" w:rsidRPr="00CA2018" w14:paraId="61BC950F" w14:textId="77777777" w:rsidTr="00974425">
        <w:trPr>
          <w:trHeight w:val="294"/>
        </w:trPr>
        <w:tc>
          <w:tcPr>
            <w:tcW w:w="3823" w:type="dxa"/>
            <w:gridSpan w:val="2"/>
          </w:tcPr>
          <w:p w14:paraId="38052BB6"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Embed the competencies required to achieve greater equity for Māori in the job descriptions, key performance indicators and performance reviews of the Ministry of Social Development’s management and staff.</w:t>
            </w:r>
          </w:p>
        </w:tc>
        <w:tc>
          <w:tcPr>
            <w:tcW w:w="1275" w:type="dxa"/>
            <w:gridSpan w:val="3"/>
          </w:tcPr>
          <w:p w14:paraId="396AB691"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4DEA9D29" w14:textId="67B07D1B" w:rsidR="007D5E58" w:rsidRPr="005C579C" w:rsidRDefault="007D5E58" w:rsidP="00A53840">
            <w:pPr>
              <w:ind w:left="178" w:firstLine="0"/>
              <w:rPr>
                <w:rFonts w:cstheme="minorHAnsi"/>
                <w:sz w:val="20"/>
                <w:szCs w:val="20"/>
              </w:rPr>
            </w:pPr>
            <w:r w:rsidRPr="005C579C">
              <w:rPr>
                <w:rFonts w:cstheme="minorHAnsi"/>
                <w:sz w:val="20"/>
                <w:szCs w:val="20"/>
              </w:rPr>
              <w:t>In 2020, a Government official confirmed that work was ‘already underway’ to address Key Recommendation 6 by MSD through its Te Pae Tawhiti and Te Pae Tata workstreams</w:t>
            </w:r>
            <w:r w:rsidR="00046347">
              <w:rPr>
                <w:rFonts w:cstheme="minorHAnsi"/>
                <w:sz w:val="20"/>
                <w:szCs w:val="20"/>
              </w:rPr>
              <w:t xml:space="preserve"> (Ministerial advi</w:t>
            </w:r>
            <w:r w:rsidR="00900025">
              <w:rPr>
                <w:rFonts w:cstheme="minorHAnsi"/>
                <w:sz w:val="20"/>
                <w:szCs w:val="20"/>
              </w:rPr>
              <w:t>sor email, October 9 2020)</w:t>
            </w:r>
            <w:r w:rsidRPr="005C579C">
              <w:rPr>
                <w:rFonts w:cstheme="minorHAnsi"/>
                <w:sz w:val="20"/>
                <w:szCs w:val="20"/>
              </w:rPr>
              <w:t>. In a 27 September 2021 Cabinet paper, Appendix Three, it was again confirmed that “work is underway within MSD to explore this”</w:t>
            </w:r>
            <w:r w:rsidR="00B03C05">
              <w:rPr>
                <w:rFonts w:cstheme="minorHAnsi"/>
                <w:sz w:val="20"/>
                <w:szCs w:val="20"/>
              </w:rPr>
              <w:t xml:space="preserve"> (MSD, 2021d).</w:t>
            </w:r>
          </w:p>
        </w:tc>
        <w:tc>
          <w:tcPr>
            <w:tcW w:w="3924" w:type="dxa"/>
            <w:gridSpan w:val="2"/>
            <w:shd w:val="clear" w:color="auto" w:fill="FFE599" w:themeFill="accent4" w:themeFillTint="66"/>
          </w:tcPr>
          <w:p w14:paraId="3C9C087C" w14:textId="77777777" w:rsidR="007D5E58" w:rsidRDefault="007D5E58" w:rsidP="00A53840">
            <w:pPr>
              <w:ind w:left="0" w:firstLine="0"/>
              <w:rPr>
                <w:sz w:val="20"/>
                <w:szCs w:val="20"/>
              </w:rPr>
            </w:pPr>
            <w:r w:rsidRPr="00CA2018">
              <w:rPr>
                <w:sz w:val="20"/>
                <w:szCs w:val="20"/>
              </w:rPr>
              <w:t>Partial implementation</w:t>
            </w:r>
          </w:p>
          <w:p w14:paraId="48FE47AD" w14:textId="77777777" w:rsidR="007D5E58" w:rsidRDefault="007D5E58" w:rsidP="00A53840">
            <w:pPr>
              <w:ind w:left="0" w:firstLine="0"/>
              <w:rPr>
                <w:sz w:val="20"/>
                <w:szCs w:val="20"/>
              </w:rPr>
            </w:pPr>
          </w:p>
          <w:p w14:paraId="5E108E63" w14:textId="77777777" w:rsidR="007D5E58" w:rsidRPr="00CA2018" w:rsidRDefault="007D5E58" w:rsidP="00A53840">
            <w:pPr>
              <w:ind w:left="0" w:firstLine="0"/>
              <w:rPr>
                <w:sz w:val="20"/>
                <w:szCs w:val="20"/>
              </w:rPr>
            </w:pPr>
            <w:r>
              <w:rPr>
                <w:sz w:val="20"/>
                <w:szCs w:val="20"/>
              </w:rPr>
              <w:t xml:space="preserve">This has been partially implemented </w:t>
            </w:r>
            <w:r w:rsidRPr="00CA2018">
              <w:rPr>
                <w:sz w:val="20"/>
                <w:szCs w:val="20"/>
              </w:rPr>
              <w:t>through the Te Pae Tawhiti and Te Pae Tata workstreams.</w:t>
            </w:r>
          </w:p>
          <w:p w14:paraId="3C33644D" w14:textId="77777777" w:rsidR="007D5E58" w:rsidRPr="00CA2018" w:rsidRDefault="007D5E58" w:rsidP="00A53840">
            <w:pPr>
              <w:ind w:left="0" w:firstLine="0"/>
              <w:rPr>
                <w:sz w:val="20"/>
                <w:szCs w:val="20"/>
              </w:rPr>
            </w:pPr>
          </w:p>
          <w:p w14:paraId="1A9BACE0" w14:textId="77777777" w:rsidR="007D5E58" w:rsidRPr="00CA2018" w:rsidRDefault="007D5E58" w:rsidP="00A53840">
            <w:pPr>
              <w:ind w:left="0" w:firstLine="0"/>
              <w:rPr>
                <w:sz w:val="20"/>
                <w:szCs w:val="20"/>
              </w:rPr>
            </w:pPr>
            <w:r w:rsidRPr="00CA2018">
              <w:rPr>
                <w:sz w:val="20"/>
                <w:szCs w:val="20"/>
              </w:rPr>
              <w:t>A key informant notified us that some Te Tiriti training is now in place across all staff and sites. There is no publicly available evidence to suggest that that competencies required to achieve greater equity for Māori have been embedded into job descriptions, key performance indicators and performance reviews of MSD’s management and staff.</w:t>
            </w:r>
          </w:p>
        </w:tc>
        <w:tc>
          <w:tcPr>
            <w:tcW w:w="2196" w:type="dxa"/>
            <w:gridSpan w:val="2"/>
            <w:shd w:val="clear" w:color="auto" w:fill="auto"/>
          </w:tcPr>
          <w:p w14:paraId="6143CB1D" w14:textId="77777777" w:rsidR="007D5E58" w:rsidRPr="00CA2018" w:rsidRDefault="007D5E58" w:rsidP="00A53840">
            <w:pPr>
              <w:ind w:left="204" w:firstLine="0"/>
              <w:rPr>
                <w:sz w:val="20"/>
                <w:szCs w:val="20"/>
              </w:rPr>
            </w:pPr>
            <w:r w:rsidRPr="00CA2018">
              <w:rPr>
                <w:sz w:val="20"/>
                <w:szCs w:val="20"/>
              </w:rPr>
              <w:t>No change since November 2020.</w:t>
            </w:r>
          </w:p>
          <w:p w14:paraId="00D40B27" w14:textId="77777777" w:rsidR="007D5E58" w:rsidRPr="00CA2018" w:rsidRDefault="007D5E58" w:rsidP="00A53840">
            <w:pPr>
              <w:ind w:left="204" w:firstLine="0"/>
              <w:rPr>
                <w:sz w:val="20"/>
                <w:szCs w:val="20"/>
              </w:rPr>
            </w:pPr>
          </w:p>
        </w:tc>
      </w:tr>
      <w:tr w:rsidR="007D5E58" w:rsidRPr="00CA2018" w14:paraId="535158F0" w14:textId="77777777" w:rsidTr="00974425">
        <w:trPr>
          <w:trHeight w:val="310"/>
        </w:trPr>
        <w:tc>
          <w:tcPr>
            <w:tcW w:w="3823" w:type="dxa"/>
            <w:gridSpan w:val="2"/>
          </w:tcPr>
          <w:p w14:paraId="1AAF3BA4"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Include in the amended Social Security Act specific requirements for the Chief Executive of the Ministry of Social Development to be accountable to iwi (as recognised collectives) and to Māori (as individuals, whānau and communities) for achieving equitable wellbeing outcomes for Māori from the welfare system.</w:t>
            </w:r>
          </w:p>
        </w:tc>
        <w:tc>
          <w:tcPr>
            <w:tcW w:w="1275" w:type="dxa"/>
            <w:gridSpan w:val="3"/>
          </w:tcPr>
          <w:p w14:paraId="4F8FC3B1"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59533138" w14:textId="6E7D69FB" w:rsidR="007D5E58" w:rsidRPr="005C579C" w:rsidRDefault="007D5E58" w:rsidP="00A53840">
            <w:pPr>
              <w:spacing w:before="120" w:after="120"/>
              <w:ind w:left="178" w:firstLine="0"/>
              <w:rPr>
                <w:rFonts w:cstheme="minorHAnsi"/>
                <w:sz w:val="20"/>
                <w:szCs w:val="20"/>
              </w:rPr>
            </w:pPr>
            <w:r w:rsidRPr="005C579C">
              <w:rPr>
                <w:rFonts w:cstheme="minorHAnsi"/>
                <w:sz w:val="20"/>
                <w:szCs w:val="20"/>
              </w:rPr>
              <w:t>In a 27 September 2021 Cabinet paper, Appendix Three, the Government stated that “Accountability measures are being considered alongside recommendations 1 and 4, in the development of a Kaupapa Māori values framework to underpin the welfare system and options for embedding Te Tiriti o Waitangi/Treaty of Waitangi obligations within the welfare system”</w:t>
            </w:r>
            <w:r w:rsidR="00F63FDE">
              <w:rPr>
                <w:rFonts w:cstheme="minorHAnsi"/>
                <w:sz w:val="20"/>
                <w:szCs w:val="20"/>
              </w:rPr>
              <w:t xml:space="preserve"> (MSD, 2021d).</w:t>
            </w:r>
          </w:p>
        </w:tc>
        <w:tc>
          <w:tcPr>
            <w:tcW w:w="3924" w:type="dxa"/>
            <w:gridSpan w:val="2"/>
            <w:shd w:val="clear" w:color="auto" w:fill="FFA5A5"/>
          </w:tcPr>
          <w:p w14:paraId="67941BF7" w14:textId="77777777" w:rsidR="007D5E58" w:rsidRPr="00CA2018" w:rsidRDefault="007D5E58" w:rsidP="00A53840">
            <w:pPr>
              <w:ind w:left="178" w:firstLine="0"/>
              <w:rPr>
                <w:sz w:val="20"/>
                <w:szCs w:val="20"/>
              </w:rPr>
            </w:pPr>
            <w:r w:rsidRPr="00CA2018">
              <w:rPr>
                <w:sz w:val="20"/>
                <w:szCs w:val="20"/>
              </w:rPr>
              <w:t>No evidence of implementation.</w:t>
            </w:r>
          </w:p>
        </w:tc>
        <w:tc>
          <w:tcPr>
            <w:tcW w:w="2196" w:type="dxa"/>
            <w:gridSpan w:val="2"/>
            <w:shd w:val="clear" w:color="auto" w:fill="auto"/>
          </w:tcPr>
          <w:p w14:paraId="3801BEC7" w14:textId="77777777" w:rsidR="007D5E58" w:rsidRPr="00CA2018" w:rsidRDefault="007D5E58" w:rsidP="00A53840">
            <w:pPr>
              <w:ind w:left="178" w:firstLine="0"/>
              <w:rPr>
                <w:sz w:val="20"/>
                <w:szCs w:val="20"/>
              </w:rPr>
            </w:pPr>
            <w:r w:rsidRPr="00CA2018">
              <w:rPr>
                <w:sz w:val="20"/>
                <w:szCs w:val="20"/>
              </w:rPr>
              <w:t>No change since November 2020.</w:t>
            </w:r>
          </w:p>
          <w:p w14:paraId="3600AF49" w14:textId="77777777" w:rsidR="007D5E58" w:rsidRPr="00CA2018" w:rsidRDefault="007D5E58" w:rsidP="00A53840">
            <w:pPr>
              <w:ind w:left="178" w:firstLine="0"/>
              <w:rPr>
                <w:sz w:val="20"/>
                <w:szCs w:val="20"/>
              </w:rPr>
            </w:pPr>
          </w:p>
        </w:tc>
      </w:tr>
      <w:tr w:rsidR="007D5E58" w:rsidRPr="00CA2018" w14:paraId="3683874E" w14:textId="77777777" w:rsidTr="00974425">
        <w:trPr>
          <w:trHeight w:val="310"/>
        </w:trPr>
        <w:tc>
          <w:tcPr>
            <w:tcW w:w="3823" w:type="dxa"/>
            <w:gridSpan w:val="2"/>
          </w:tcPr>
          <w:p w14:paraId="72CDCBB9"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Direct the Ministry of Social Development to commit to building its cultural responsiveness to Pacific People, to achieve equitable outcomes for Pacific People engaging with the welfare system. Cultural responsiveness includes having an awareness of cultural obligations experienced by Pacific People around contributions for weddings, funerals and other critical cultural events and taking account of the nuances within diverse Pacific communities.</w:t>
            </w:r>
          </w:p>
        </w:tc>
        <w:tc>
          <w:tcPr>
            <w:tcW w:w="1275" w:type="dxa"/>
            <w:gridSpan w:val="3"/>
          </w:tcPr>
          <w:p w14:paraId="5C0D5E8F"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07F17296" w14:textId="278CC285" w:rsidR="007D5E58" w:rsidRPr="005C579C" w:rsidRDefault="007D5E58" w:rsidP="00A53840">
            <w:pPr>
              <w:ind w:left="178" w:firstLine="0"/>
              <w:rPr>
                <w:rFonts w:cstheme="minorHAnsi"/>
                <w:sz w:val="20"/>
                <w:szCs w:val="20"/>
                <w:vertAlign w:val="superscript"/>
              </w:rPr>
            </w:pPr>
            <w:r w:rsidRPr="005C579C">
              <w:rPr>
                <w:rFonts w:cstheme="minorHAnsi"/>
                <w:sz w:val="20"/>
                <w:szCs w:val="20"/>
              </w:rPr>
              <w:t>In 2020 a Government official confirmed that work was ‘already underway’ to address Key Recommendation 8</w:t>
            </w:r>
            <w:r w:rsidR="009B68A9">
              <w:rPr>
                <w:rFonts w:cstheme="minorHAnsi"/>
                <w:sz w:val="20"/>
                <w:szCs w:val="20"/>
              </w:rPr>
              <w:t xml:space="preserve"> (</w:t>
            </w:r>
            <w:r w:rsidR="009B68A9" w:rsidRPr="009B68A9">
              <w:rPr>
                <w:rFonts w:cstheme="minorHAnsi"/>
                <w:sz w:val="20"/>
                <w:szCs w:val="20"/>
              </w:rPr>
              <w:t>Ministerial advisor email, October 9, 2020</w:t>
            </w:r>
            <w:r w:rsidR="009B68A9">
              <w:rPr>
                <w:rFonts w:cstheme="minorHAnsi"/>
                <w:sz w:val="20"/>
                <w:szCs w:val="20"/>
              </w:rPr>
              <w:t>)</w:t>
            </w:r>
            <w:r w:rsidRPr="005C579C">
              <w:rPr>
                <w:rFonts w:cstheme="minorHAnsi"/>
                <w:sz w:val="20"/>
                <w:szCs w:val="20"/>
              </w:rPr>
              <w:t>. The Government has stated that “MSD continues to partner with Pacific communities to develop community-led initiatives that boost wellbeing and prevent violence as part of Pasefika Proud. MSD’s work with Pacific people includes the establishment of a Pacific Steering Group and Pacific Reference Group to inform and support the development of the Pacific Strategy and to also provide guidance on other matters related to Pacific people.”</w:t>
            </w:r>
          </w:p>
          <w:p w14:paraId="54C5A7C7" w14:textId="77777777" w:rsidR="007D5E58" w:rsidRPr="005C579C" w:rsidRDefault="007D5E58" w:rsidP="00A53840">
            <w:pPr>
              <w:ind w:left="178" w:firstLine="0"/>
              <w:rPr>
                <w:rFonts w:cstheme="minorHAnsi"/>
                <w:sz w:val="20"/>
                <w:szCs w:val="20"/>
                <w:vertAlign w:val="superscript"/>
              </w:rPr>
            </w:pPr>
          </w:p>
          <w:p w14:paraId="3DC25B7A" w14:textId="2BEA29AF"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following update was provided: “MSD has developed and launched its first Pacific Strategy and Action Plan – Pacific Prosperity. … A work programme has been developed to support the implementation of the strategic objectives and actions in Pacific Prosperity, which includes activity to support policy development, service delivery, internal and external capability building and programmes and initiatives that contribute to improving the social and wellbeing outcomes for Pacific peoples</w:t>
            </w:r>
            <w:r w:rsidR="005D1447">
              <w:rPr>
                <w:rFonts w:cstheme="minorHAnsi"/>
                <w:sz w:val="20"/>
                <w:szCs w:val="20"/>
              </w:rPr>
              <w:t>” (MSD, 2021d).</w:t>
            </w:r>
          </w:p>
          <w:p w14:paraId="643C3D85" w14:textId="77777777" w:rsidR="007D5E58" w:rsidRPr="005C579C" w:rsidRDefault="007D5E58" w:rsidP="00A53840">
            <w:pPr>
              <w:ind w:left="178" w:firstLine="0"/>
              <w:rPr>
                <w:rFonts w:cstheme="minorHAnsi"/>
                <w:sz w:val="20"/>
                <w:szCs w:val="20"/>
                <w:vertAlign w:val="superscript"/>
              </w:rPr>
            </w:pPr>
          </w:p>
        </w:tc>
        <w:tc>
          <w:tcPr>
            <w:tcW w:w="3924" w:type="dxa"/>
            <w:gridSpan w:val="2"/>
            <w:shd w:val="clear" w:color="auto" w:fill="FFE599" w:themeFill="accent4" w:themeFillTint="66"/>
          </w:tcPr>
          <w:p w14:paraId="76110E3A" w14:textId="77777777" w:rsidR="007D5E58" w:rsidRPr="00CA2018" w:rsidRDefault="007D5E58" w:rsidP="00A53840">
            <w:pPr>
              <w:spacing w:before="120" w:after="120"/>
              <w:ind w:left="178" w:firstLine="0"/>
              <w:rPr>
                <w:sz w:val="20"/>
                <w:szCs w:val="20"/>
              </w:rPr>
            </w:pPr>
            <w:r w:rsidRPr="00CA2018">
              <w:rPr>
                <w:sz w:val="20"/>
                <w:szCs w:val="20"/>
              </w:rPr>
              <w:t>Partial implement</w:t>
            </w:r>
            <w:r>
              <w:rPr>
                <w:sz w:val="20"/>
                <w:szCs w:val="20"/>
              </w:rPr>
              <w:t>ation</w:t>
            </w:r>
            <w:r w:rsidRPr="00CA2018">
              <w:rPr>
                <w:sz w:val="20"/>
                <w:szCs w:val="20"/>
              </w:rPr>
              <w:t xml:space="preserve">. </w:t>
            </w:r>
          </w:p>
          <w:p w14:paraId="075BAB07" w14:textId="18E382CE" w:rsidR="007D5E58" w:rsidRPr="00CA2018" w:rsidRDefault="007D5E58" w:rsidP="00A53840">
            <w:pPr>
              <w:spacing w:before="120" w:after="120"/>
              <w:ind w:left="178" w:firstLine="0"/>
              <w:rPr>
                <w:sz w:val="20"/>
                <w:szCs w:val="20"/>
              </w:rPr>
            </w:pPr>
            <w:r w:rsidRPr="00CA2018">
              <w:rPr>
                <w:sz w:val="20"/>
                <w:szCs w:val="20"/>
              </w:rPr>
              <w:t>The Pacific Steering Group and Reference Group were established in February 2019 and informed Pacific Prosperity, a strategy and action plan released in Oct 2019</w:t>
            </w:r>
            <w:r w:rsidR="00425000">
              <w:rPr>
                <w:sz w:val="20"/>
                <w:szCs w:val="20"/>
              </w:rPr>
              <w:t xml:space="preserve"> (</w:t>
            </w:r>
            <w:r w:rsidR="00F35D44">
              <w:rPr>
                <w:sz w:val="20"/>
                <w:szCs w:val="20"/>
              </w:rPr>
              <w:t>MSD, 2019A</w:t>
            </w:r>
            <w:r w:rsidR="00425000">
              <w:rPr>
                <w:sz w:val="20"/>
                <w:szCs w:val="20"/>
              </w:rPr>
              <w:t>).</w:t>
            </w:r>
            <w:r w:rsidRPr="00CA2018">
              <w:rPr>
                <w:sz w:val="20"/>
                <w:szCs w:val="20"/>
              </w:rPr>
              <w:t xml:space="preserve"> This was the first national-level strategy and action plan for Pacific peoples, and was developed in consultation with Pacific communities. With this framework in place, there is more of a mandate for MSD to be culturally responsive in its practices. </w:t>
            </w:r>
          </w:p>
          <w:p w14:paraId="62BCEB01" w14:textId="00EDE28E" w:rsidR="007D5E58" w:rsidRPr="00CA2018" w:rsidRDefault="007D5E58" w:rsidP="00A53840">
            <w:pPr>
              <w:spacing w:before="120" w:after="120"/>
              <w:ind w:left="178" w:firstLine="0"/>
              <w:rPr>
                <w:sz w:val="20"/>
                <w:szCs w:val="20"/>
              </w:rPr>
            </w:pPr>
            <w:r w:rsidRPr="00CA2018">
              <w:rPr>
                <w:sz w:val="20"/>
                <w:szCs w:val="20"/>
              </w:rPr>
              <w:t>However</w:t>
            </w:r>
            <w:r>
              <w:rPr>
                <w:sz w:val="20"/>
                <w:szCs w:val="20"/>
              </w:rPr>
              <w:t>,</w:t>
            </w:r>
            <w:r w:rsidRPr="00CA2018">
              <w:rPr>
                <w:sz w:val="20"/>
                <w:szCs w:val="20"/>
              </w:rPr>
              <w:t xml:space="preserve"> Pacific </w:t>
            </w:r>
            <w:r>
              <w:rPr>
                <w:sz w:val="20"/>
                <w:szCs w:val="20"/>
              </w:rPr>
              <w:t>p</w:t>
            </w:r>
            <w:r w:rsidRPr="00CA2018">
              <w:rPr>
                <w:sz w:val="20"/>
                <w:szCs w:val="20"/>
              </w:rPr>
              <w:t xml:space="preserve">eople engaging with the welfare system have not yet seen improvements in cultural responsiveness; their needs </w:t>
            </w:r>
            <w:r w:rsidR="005D1447">
              <w:rPr>
                <w:sz w:val="20"/>
                <w:szCs w:val="20"/>
              </w:rPr>
              <w:t>have escalated</w:t>
            </w:r>
            <w:r w:rsidRPr="00CA2018">
              <w:rPr>
                <w:sz w:val="20"/>
                <w:szCs w:val="20"/>
              </w:rPr>
              <w:t xml:space="preserve"> in response to COVID-19 impacts</w:t>
            </w:r>
            <w:r w:rsidR="00CF090B">
              <w:rPr>
                <w:sz w:val="20"/>
                <w:szCs w:val="20"/>
              </w:rPr>
              <w:t xml:space="preserve"> (</w:t>
            </w:r>
            <w:r w:rsidR="00CF090B" w:rsidRPr="00CF090B">
              <w:rPr>
                <w:sz w:val="20"/>
                <w:szCs w:val="20"/>
              </w:rPr>
              <w:t>Dr Collin Tukuitonga, personal correspondence, 15 November 2021</w:t>
            </w:r>
            <w:r w:rsidR="00CF090B">
              <w:rPr>
                <w:sz w:val="20"/>
                <w:szCs w:val="20"/>
              </w:rPr>
              <w:t>)</w:t>
            </w:r>
            <w:r w:rsidR="00CF090B" w:rsidRPr="00CF090B">
              <w:rPr>
                <w:sz w:val="20"/>
                <w:szCs w:val="20"/>
              </w:rPr>
              <w:t>.</w:t>
            </w:r>
          </w:p>
        </w:tc>
        <w:tc>
          <w:tcPr>
            <w:tcW w:w="2196" w:type="dxa"/>
            <w:gridSpan w:val="2"/>
            <w:shd w:val="clear" w:color="auto" w:fill="auto"/>
          </w:tcPr>
          <w:p w14:paraId="04907FCD" w14:textId="77777777" w:rsidR="007D5E58" w:rsidRPr="00CA2018" w:rsidRDefault="007D5E58" w:rsidP="00A53840">
            <w:pPr>
              <w:spacing w:before="120" w:after="120"/>
              <w:ind w:left="0" w:firstLine="0"/>
              <w:rPr>
                <w:sz w:val="20"/>
                <w:szCs w:val="20"/>
              </w:rPr>
            </w:pPr>
            <w:r w:rsidRPr="00CA2018">
              <w:rPr>
                <w:sz w:val="20"/>
                <w:szCs w:val="20"/>
              </w:rPr>
              <w:t>No change since November 2020.</w:t>
            </w:r>
          </w:p>
        </w:tc>
      </w:tr>
      <w:tr w:rsidR="007D5E58" w:rsidRPr="00CA2018" w14:paraId="39E7FFD2" w14:textId="77777777" w:rsidTr="00974425">
        <w:trPr>
          <w:trHeight w:val="310"/>
        </w:trPr>
        <w:tc>
          <w:tcPr>
            <w:tcW w:w="14665" w:type="dxa"/>
            <w:gridSpan w:val="11"/>
            <w:shd w:val="clear" w:color="auto" w:fill="DEEAF6" w:themeFill="accent5" w:themeFillTint="33"/>
          </w:tcPr>
          <w:p w14:paraId="6EEA9F23" w14:textId="77777777" w:rsidR="007D5E58" w:rsidRPr="00CA2018" w:rsidRDefault="007D5E58" w:rsidP="00974425">
            <w:pPr>
              <w:spacing w:before="120" w:after="120"/>
              <w:ind w:left="33" w:right="33" w:firstLine="0"/>
              <w:jc w:val="center"/>
              <w:rPr>
                <w:sz w:val="20"/>
                <w:szCs w:val="20"/>
              </w:rPr>
            </w:pPr>
            <w:r w:rsidRPr="00CA2018">
              <w:rPr>
                <w:b/>
                <w:sz w:val="20"/>
                <w:szCs w:val="20"/>
              </w:rPr>
              <w:t>DELIVERING FOR MĀORI</w:t>
            </w:r>
          </w:p>
        </w:tc>
      </w:tr>
      <w:tr w:rsidR="007D5E58" w:rsidRPr="00CA2018" w14:paraId="405FCC11" w14:textId="77777777" w:rsidTr="00974425">
        <w:trPr>
          <w:trHeight w:val="310"/>
        </w:trPr>
        <w:tc>
          <w:tcPr>
            <w:tcW w:w="3823" w:type="dxa"/>
            <w:gridSpan w:val="2"/>
          </w:tcPr>
          <w:p w14:paraId="144DE9BE" w14:textId="77777777" w:rsidR="007D5E58" w:rsidRPr="005C579C" w:rsidRDefault="007D5E58" w:rsidP="00974425">
            <w:pPr>
              <w:pStyle w:val="ListParagraph"/>
              <w:numPr>
                <w:ilvl w:val="0"/>
                <w:numId w:val="3"/>
              </w:numPr>
              <w:ind w:left="58" w:firstLine="0"/>
              <w:rPr>
                <w:sz w:val="20"/>
                <w:szCs w:val="20"/>
              </w:rPr>
            </w:pPr>
            <w:r w:rsidRPr="005C579C">
              <w:rPr>
                <w:sz w:val="20"/>
                <w:szCs w:val="20"/>
              </w:rPr>
              <w:t>The Welfare Expert Advisory Group recommends, in addition to the recommendations elsewhere that will improve outcomes for Māori, the Government:</w:t>
            </w:r>
          </w:p>
          <w:p w14:paraId="0C0CD852" w14:textId="77777777" w:rsidR="007D5E58" w:rsidRPr="00974425" w:rsidRDefault="007D5E58" w:rsidP="00974425">
            <w:pPr>
              <w:pStyle w:val="ListParagraph"/>
              <w:numPr>
                <w:ilvl w:val="0"/>
                <w:numId w:val="5"/>
              </w:numPr>
              <w:ind w:left="339" w:hanging="283"/>
              <w:rPr>
                <w:rFonts w:cstheme="minorHAnsi"/>
                <w:sz w:val="20"/>
                <w:szCs w:val="20"/>
              </w:rPr>
            </w:pPr>
            <w:r w:rsidRPr="00974425">
              <w:rPr>
                <w:rFonts w:cstheme="minorHAnsi"/>
                <w:sz w:val="20"/>
                <w:szCs w:val="20"/>
              </w:rPr>
              <w:t>supports the Ministry of Social Development to continue to shift towards whakamana tāngata – to build the mana of others and uplift them in a way that honours their dignity</w:t>
            </w:r>
          </w:p>
          <w:p w14:paraId="63D38167" w14:textId="77777777" w:rsidR="007D5E58" w:rsidRPr="00974425" w:rsidRDefault="007D5E58" w:rsidP="00974425">
            <w:pPr>
              <w:pStyle w:val="ListParagraph"/>
              <w:numPr>
                <w:ilvl w:val="0"/>
                <w:numId w:val="5"/>
              </w:numPr>
              <w:ind w:left="339" w:hanging="283"/>
              <w:rPr>
                <w:rFonts w:cstheme="minorHAnsi"/>
                <w:sz w:val="20"/>
                <w:szCs w:val="20"/>
              </w:rPr>
            </w:pPr>
            <w:r w:rsidRPr="00974425">
              <w:rPr>
                <w:rFonts w:cstheme="minorHAnsi"/>
                <w:sz w:val="20"/>
                <w:szCs w:val="20"/>
              </w:rPr>
              <w:t>supports the Ministry of Social Development to continue to review and evaluate, with Māori, the services the Ministry delivers to ensure they are effective in improving outcomes for Māori</w:t>
            </w:r>
          </w:p>
          <w:p w14:paraId="44182E6D" w14:textId="77777777" w:rsidR="007D5E58" w:rsidRPr="005C579C" w:rsidRDefault="007D5E58" w:rsidP="00974425">
            <w:pPr>
              <w:pStyle w:val="ListParagraph"/>
              <w:numPr>
                <w:ilvl w:val="0"/>
                <w:numId w:val="5"/>
              </w:numPr>
              <w:ind w:left="339" w:hanging="283"/>
              <w:rPr>
                <w:sz w:val="20"/>
                <w:szCs w:val="20"/>
              </w:rPr>
            </w:pPr>
            <w:r w:rsidRPr="00974425">
              <w:rPr>
                <w:rFonts w:cstheme="minorHAnsi"/>
                <w:sz w:val="20"/>
                <w:szCs w:val="20"/>
              </w:rPr>
              <w:t>works with Māori to consider other effective ways of delivering welfare services and funding that are informed by Te Ao Māori, including longer-term, whānau-centred, strengths-based initiatives.</w:t>
            </w:r>
          </w:p>
        </w:tc>
        <w:tc>
          <w:tcPr>
            <w:tcW w:w="1275" w:type="dxa"/>
            <w:gridSpan w:val="3"/>
          </w:tcPr>
          <w:p w14:paraId="6EB9D58D" w14:textId="77777777" w:rsidR="007D5E58" w:rsidRPr="005C579C" w:rsidRDefault="007D5E58" w:rsidP="00974425">
            <w:pPr>
              <w:ind w:left="33" w:right="33" w:firstLine="0"/>
              <w:rPr>
                <w:sz w:val="20"/>
                <w:szCs w:val="20"/>
              </w:rPr>
            </w:pPr>
            <w:r w:rsidRPr="005C579C">
              <w:rPr>
                <w:sz w:val="20"/>
                <w:szCs w:val="20"/>
              </w:rPr>
              <w:t>Nil</w:t>
            </w:r>
          </w:p>
        </w:tc>
        <w:tc>
          <w:tcPr>
            <w:tcW w:w="3447" w:type="dxa"/>
            <w:gridSpan w:val="2"/>
          </w:tcPr>
          <w:p w14:paraId="6A4266C6" w14:textId="745BA664" w:rsidR="007D5E58" w:rsidRPr="005C579C" w:rsidRDefault="007D5E58" w:rsidP="00A53840">
            <w:pPr>
              <w:ind w:left="178" w:firstLine="0"/>
              <w:rPr>
                <w:sz w:val="20"/>
                <w:szCs w:val="20"/>
              </w:rPr>
            </w:pPr>
            <w:r w:rsidRPr="005C579C">
              <w:rPr>
                <w:sz w:val="20"/>
                <w:szCs w:val="20"/>
              </w:rPr>
              <w:t>The Government has stated that work is ‘already underway’ to address Key Recommendation 9</w:t>
            </w:r>
            <w:r w:rsidR="00D14B17">
              <w:rPr>
                <w:sz w:val="20"/>
                <w:szCs w:val="20"/>
              </w:rPr>
              <w:t xml:space="preserve"> (</w:t>
            </w:r>
            <w:r w:rsidR="00D14B17">
              <w:t xml:space="preserve"> </w:t>
            </w:r>
            <w:r w:rsidR="00D14B17" w:rsidRPr="00D14B17">
              <w:rPr>
                <w:sz w:val="20"/>
                <w:szCs w:val="20"/>
              </w:rPr>
              <w:t>Ministerial advisor email, October 9, 2020</w:t>
            </w:r>
            <w:r w:rsidR="00D14B17">
              <w:rPr>
                <w:sz w:val="20"/>
                <w:szCs w:val="20"/>
              </w:rPr>
              <w:t>).</w:t>
            </w:r>
            <w:r w:rsidRPr="005C579C">
              <w:rPr>
                <w:sz w:val="20"/>
                <w:szCs w:val="20"/>
              </w:rPr>
              <w:t xml:space="preserve"> They have stated that “the notion of whakamana tāngata is built into the working policy framework for the welfare overhaul programme”, and that “innovative partnerships between MSD and whānau, hapū, iwi, Māori are being explored through the Treaty settlement process as well as locally-led initiatives”</w:t>
            </w:r>
            <w:r w:rsidR="009E13CF">
              <w:rPr>
                <w:sz w:val="20"/>
                <w:szCs w:val="20"/>
              </w:rPr>
              <w:t xml:space="preserve"> (</w:t>
            </w:r>
            <w:r w:rsidR="00F35D44">
              <w:rPr>
                <w:sz w:val="20"/>
                <w:szCs w:val="20"/>
              </w:rPr>
              <w:t>MSD, 2019A</w:t>
            </w:r>
            <w:r w:rsidR="009E13CF">
              <w:rPr>
                <w:sz w:val="20"/>
                <w:szCs w:val="20"/>
              </w:rPr>
              <w:t>).</w:t>
            </w:r>
            <w:r w:rsidRPr="005C579C">
              <w:rPr>
                <w:sz w:val="20"/>
                <w:szCs w:val="20"/>
              </w:rPr>
              <w:t xml:space="preserve"> MSD and 27 September 2021 Cabinet paper Appendix Three state that this work is also being undertaken through Te Pae Tata and Te Pae Tawhiti</w:t>
            </w:r>
            <w:r w:rsidR="009E13CF">
              <w:rPr>
                <w:sz w:val="20"/>
                <w:szCs w:val="20"/>
              </w:rPr>
              <w:t xml:space="preserve"> (MSD, 2021d).</w:t>
            </w:r>
          </w:p>
        </w:tc>
        <w:tc>
          <w:tcPr>
            <w:tcW w:w="3924" w:type="dxa"/>
            <w:gridSpan w:val="2"/>
            <w:shd w:val="clear" w:color="auto" w:fill="FFE599" w:themeFill="accent4" w:themeFillTint="66"/>
          </w:tcPr>
          <w:p w14:paraId="106DB125" w14:textId="77777777" w:rsidR="007D5E58" w:rsidRPr="005C579C" w:rsidRDefault="007D5E58" w:rsidP="00A53840">
            <w:pPr>
              <w:spacing w:before="120" w:after="120"/>
              <w:ind w:left="0" w:firstLine="0"/>
              <w:rPr>
                <w:sz w:val="20"/>
                <w:szCs w:val="20"/>
              </w:rPr>
            </w:pPr>
            <w:r w:rsidRPr="005C579C">
              <w:rPr>
                <w:sz w:val="20"/>
                <w:szCs w:val="20"/>
              </w:rPr>
              <w:t>Partial implementation</w:t>
            </w:r>
          </w:p>
          <w:p w14:paraId="5B318B8B" w14:textId="77777777" w:rsidR="007D5E58" w:rsidRPr="005C579C" w:rsidRDefault="007D5E58" w:rsidP="00A53840">
            <w:pPr>
              <w:spacing w:before="120" w:after="120"/>
              <w:ind w:left="0" w:firstLine="0"/>
              <w:rPr>
                <w:sz w:val="20"/>
                <w:szCs w:val="20"/>
              </w:rPr>
            </w:pPr>
            <w:r w:rsidRPr="005C579C">
              <w:rPr>
                <w:sz w:val="20"/>
                <w:szCs w:val="20"/>
              </w:rPr>
              <w:t>Partial implementation has occurred through the Te Pae Tawhiti and Te Pae Tata workstreams, and ongoing relationship building with Māori.</w:t>
            </w:r>
          </w:p>
          <w:p w14:paraId="16C328B1" w14:textId="79AA2F80" w:rsidR="007D5E58" w:rsidRPr="005C579C" w:rsidRDefault="007D5E58" w:rsidP="00A53840">
            <w:pPr>
              <w:spacing w:before="120" w:after="120"/>
              <w:ind w:left="66" w:firstLine="0"/>
              <w:rPr>
                <w:sz w:val="20"/>
                <w:szCs w:val="20"/>
              </w:rPr>
            </w:pPr>
            <w:r w:rsidRPr="005C579C">
              <w:rPr>
                <w:sz w:val="20"/>
                <w:szCs w:val="20"/>
              </w:rPr>
              <w:t>However, Government welfare policies continue to exacerbate poor outcomes for Māori. For example, in the first nine months of 2021, a “warrant to arrest” sanction was given to 45 Pasifika parents, 63 Pākehā parents and 459 Māori parents</w:t>
            </w:r>
            <w:r w:rsidR="00401C41">
              <w:rPr>
                <w:sz w:val="20"/>
                <w:szCs w:val="20"/>
              </w:rPr>
              <w:t xml:space="preserve"> (Collins, 2021)</w:t>
            </w:r>
            <w:r w:rsidRPr="005C579C">
              <w:rPr>
                <w:sz w:val="20"/>
                <w:szCs w:val="20"/>
              </w:rPr>
              <w:t>. The number of children affected is unknown.</w:t>
            </w:r>
          </w:p>
          <w:p w14:paraId="57FCD5EE" w14:textId="77777777" w:rsidR="007D5E58" w:rsidRPr="005C579C" w:rsidRDefault="007D5E58" w:rsidP="00A53840">
            <w:pPr>
              <w:spacing w:before="120" w:after="120"/>
              <w:ind w:left="178" w:firstLine="0"/>
              <w:rPr>
                <w:sz w:val="20"/>
                <w:szCs w:val="20"/>
              </w:rPr>
            </w:pPr>
          </w:p>
          <w:p w14:paraId="19A7FE2E" w14:textId="77777777" w:rsidR="007D5E58" w:rsidRPr="005C579C" w:rsidRDefault="007D5E58" w:rsidP="00A53840">
            <w:pPr>
              <w:spacing w:before="120" w:after="120"/>
              <w:ind w:left="178" w:firstLine="0"/>
              <w:rPr>
                <w:sz w:val="20"/>
                <w:szCs w:val="20"/>
              </w:rPr>
            </w:pPr>
          </w:p>
          <w:p w14:paraId="5CCEE1B5" w14:textId="77777777" w:rsidR="007D5E58" w:rsidRPr="005C579C" w:rsidRDefault="007D5E58" w:rsidP="00A53840">
            <w:pPr>
              <w:spacing w:before="120" w:after="120"/>
              <w:ind w:left="178" w:firstLine="0"/>
              <w:rPr>
                <w:sz w:val="20"/>
                <w:szCs w:val="20"/>
              </w:rPr>
            </w:pPr>
          </w:p>
        </w:tc>
        <w:tc>
          <w:tcPr>
            <w:tcW w:w="2196" w:type="dxa"/>
            <w:gridSpan w:val="2"/>
            <w:shd w:val="clear" w:color="auto" w:fill="auto"/>
          </w:tcPr>
          <w:p w14:paraId="07B5C309" w14:textId="77777777" w:rsidR="007D5E58" w:rsidRPr="005C579C" w:rsidRDefault="007D5E58" w:rsidP="00A53840">
            <w:pPr>
              <w:spacing w:before="120" w:after="120"/>
              <w:ind w:left="178" w:firstLine="0"/>
              <w:rPr>
                <w:sz w:val="20"/>
                <w:szCs w:val="20"/>
              </w:rPr>
            </w:pPr>
            <w:r w:rsidRPr="005C579C">
              <w:rPr>
                <w:sz w:val="20"/>
                <w:szCs w:val="20"/>
              </w:rPr>
              <w:t>No change since November 2020.</w:t>
            </w:r>
          </w:p>
          <w:p w14:paraId="6307E16C" w14:textId="77777777" w:rsidR="007D5E58" w:rsidRPr="005C579C" w:rsidRDefault="007D5E58" w:rsidP="00A53840">
            <w:pPr>
              <w:spacing w:before="120" w:after="120"/>
              <w:ind w:left="178" w:firstLine="0"/>
              <w:rPr>
                <w:sz w:val="20"/>
                <w:szCs w:val="20"/>
              </w:rPr>
            </w:pPr>
          </w:p>
        </w:tc>
      </w:tr>
      <w:tr w:rsidR="007D5E58" w:rsidRPr="00CA2018" w14:paraId="3371300C" w14:textId="77777777" w:rsidTr="00974425">
        <w:trPr>
          <w:trHeight w:val="310"/>
        </w:trPr>
        <w:tc>
          <w:tcPr>
            <w:tcW w:w="14665" w:type="dxa"/>
            <w:gridSpan w:val="11"/>
            <w:shd w:val="clear" w:color="auto" w:fill="DEEAF6" w:themeFill="accent5" w:themeFillTint="33"/>
          </w:tcPr>
          <w:p w14:paraId="36248E3B" w14:textId="77777777" w:rsidR="007D5E58" w:rsidRPr="00CA2018" w:rsidRDefault="007D5E58" w:rsidP="00974425">
            <w:pPr>
              <w:spacing w:before="120" w:after="120"/>
              <w:ind w:left="33" w:right="33" w:firstLine="0"/>
              <w:jc w:val="center"/>
              <w:rPr>
                <w:sz w:val="20"/>
                <w:szCs w:val="20"/>
              </w:rPr>
            </w:pPr>
            <w:r w:rsidRPr="00CA2018">
              <w:rPr>
                <w:b/>
                <w:sz w:val="20"/>
                <w:szCs w:val="20"/>
              </w:rPr>
              <w:t>RESTORING TRUST WITH PEOPLE USING THE WELFARE SYSTEM</w:t>
            </w:r>
          </w:p>
        </w:tc>
      </w:tr>
      <w:tr w:rsidR="007D5E58" w:rsidRPr="00CA2018" w14:paraId="1563AC1C" w14:textId="77777777" w:rsidTr="00974425">
        <w:trPr>
          <w:trHeight w:val="310"/>
        </w:trPr>
        <w:tc>
          <w:tcPr>
            <w:tcW w:w="3823" w:type="dxa"/>
            <w:gridSpan w:val="2"/>
          </w:tcPr>
          <w:p w14:paraId="184D0232"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Develop a mutual expectations framework to govern interactions between the Ministry of Social Development and those who interact with the welfare system.</w:t>
            </w:r>
          </w:p>
        </w:tc>
        <w:tc>
          <w:tcPr>
            <w:tcW w:w="1275" w:type="dxa"/>
            <w:gridSpan w:val="3"/>
          </w:tcPr>
          <w:p w14:paraId="5D59F6BA"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5F5B311C" w14:textId="60350429"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a 27 September 2021 Cabinet paper, Appendix Three, the Government stated that “A range of reforms across the benefit system will contribute to rebalancing expectations between MSD and those who interact with the welfare system into a system of mutual expectations and responsibilities. MSD has started work to ensure clients are treated with dignity and respect at MSD and this will continue. This includes looking into how to shift towards a more personalised approach to case management</w:t>
            </w:r>
            <w:r w:rsidR="009416B4">
              <w:rPr>
                <w:rFonts w:cstheme="minorHAnsi"/>
                <w:sz w:val="20"/>
                <w:szCs w:val="20"/>
              </w:rPr>
              <w:t>” (MSD, 2021d).</w:t>
            </w:r>
          </w:p>
        </w:tc>
        <w:tc>
          <w:tcPr>
            <w:tcW w:w="3924" w:type="dxa"/>
            <w:gridSpan w:val="2"/>
            <w:shd w:val="clear" w:color="auto" w:fill="FFA5A5"/>
          </w:tcPr>
          <w:p w14:paraId="4877DC75" w14:textId="77777777" w:rsidR="007D5E58" w:rsidRPr="005C579C" w:rsidRDefault="007D5E58" w:rsidP="00A53840">
            <w:pPr>
              <w:ind w:left="0" w:firstLine="0"/>
              <w:rPr>
                <w:rFonts w:cstheme="minorHAnsi"/>
                <w:sz w:val="20"/>
                <w:szCs w:val="20"/>
              </w:rPr>
            </w:pPr>
            <w:r w:rsidRPr="005C579C">
              <w:rPr>
                <w:rFonts w:cstheme="minorHAnsi"/>
                <w:sz w:val="20"/>
                <w:szCs w:val="20"/>
              </w:rPr>
              <w:t>No evidence of implementation</w:t>
            </w:r>
          </w:p>
          <w:p w14:paraId="395153D0" w14:textId="77777777" w:rsidR="007D5E58" w:rsidRPr="005C579C" w:rsidRDefault="007D5E58" w:rsidP="00A53840">
            <w:pPr>
              <w:ind w:left="0" w:firstLine="0"/>
              <w:rPr>
                <w:rFonts w:cstheme="minorHAnsi"/>
                <w:sz w:val="20"/>
                <w:szCs w:val="20"/>
              </w:rPr>
            </w:pPr>
          </w:p>
          <w:p w14:paraId="00092E34" w14:textId="77777777" w:rsidR="007D5E58" w:rsidRPr="005C579C" w:rsidRDefault="007D5E58" w:rsidP="00A53840">
            <w:pPr>
              <w:ind w:left="0" w:firstLine="0"/>
              <w:rPr>
                <w:rFonts w:cstheme="minorHAnsi"/>
                <w:sz w:val="20"/>
                <w:szCs w:val="20"/>
              </w:rPr>
            </w:pPr>
            <w:r w:rsidRPr="005C579C">
              <w:rPr>
                <w:rFonts w:cstheme="minorHAnsi"/>
                <w:sz w:val="20"/>
                <w:szCs w:val="20"/>
              </w:rPr>
              <w:t>There is no evidence that a mutual expectations framework has been developed or is being developed.</w:t>
            </w:r>
          </w:p>
          <w:p w14:paraId="7B3E39FC" w14:textId="77777777" w:rsidR="007D5E58" w:rsidRPr="005C579C" w:rsidRDefault="007D5E58" w:rsidP="00A53840">
            <w:pPr>
              <w:ind w:left="0" w:firstLine="0"/>
              <w:rPr>
                <w:rFonts w:cstheme="minorHAnsi"/>
                <w:sz w:val="20"/>
                <w:szCs w:val="20"/>
              </w:rPr>
            </w:pPr>
          </w:p>
          <w:p w14:paraId="1D436220" w14:textId="73E26032" w:rsidR="007D5E58" w:rsidRPr="005C579C" w:rsidRDefault="007D5E58" w:rsidP="00A53840">
            <w:pPr>
              <w:ind w:left="0" w:firstLine="0"/>
              <w:rPr>
                <w:rFonts w:cstheme="minorHAnsi"/>
                <w:sz w:val="20"/>
                <w:szCs w:val="20"/>
              </w:rPr>
            </w:pPr>
            <w:r w:rsidRPr="005C579C">
              <w:rPr>
                <w:rFonts w:cstheme="minorHAnsi"/>
                <w:sz w:val="20"/>
                <w:szCs w:val="20"/>
              </w:rPr>
              <w:t>In a July 2019 report released under OIA, Government officials explained what MSD is doing to implement a mutual expectations approach to their work. Examples given were largely prior to the publication of Whakamana Tangata (e.g. establishment of a Client Commitment). Officials stated that they would explore options to strengthen expectations of MSD in legislation, as part of the medium to long-term work programme of reassessing the purposes and principles of the Act</w:t>
            </w:r>
            <w:r w:rsidR="009416B4">
              <w:rPr>
                <w:rFonts w:cstheme="minorHAnsi"/>
                <w:sz w:val="20"/>
                <w:szCs w:val="20"/>
              </w:rPr>
              <w:t xml:space="preserve"> (MSD, 2020c).</w:t>
            </w:r>
          </w:p>
        </w:tc>
        <w:tc>
          <w:tcPr>
            <w:tcW w:w="2196" w:type="dxa"/>
            <w:gridSpan w:val="2"/>
            <w:shd w:val="clear" w:color="auto" w:fill="auto"/>
          </w:tcPr>
          <w:p w14:paraId="3D182431" w14:textId="77777777" w:rsidR="007D5E58" w:rsidRPr="005C579C" w:rsidRDefault="007D5E58" w:rsidP="00A53840">
            <w:pPr>
              <w:ind w:left="178" w:firstLine="0"/>
              <w:rPr>
                <w:rFonts w:cstheme="minorHAnsi"/>
                <w:sz w:val="20"/>
                <w:szCs w:val="20"/>
              </w:rPr>
            </w:pPr>
            <w:r w:rsidRPr="005C579C">
              <w:rPr>
                <w:rFonts w:cstheme="minorHAnsi"/>
                <w:sz w:val="20"/>
                <w:szCs w:val="20"/>
              </w:rPr>
              <w:t>No change since November 2020.</w:t>
            </w:r>
          </w:p>
          <w:p w14:paraId="623138FA" w14:textId="77777777" w:rsidR="007D5E58" w:rsidRPr="005C579C" w:rsidRDefault="007D5E58" w:rsidP="00A53840">
            <w:pPr>
              <w:ind w:left="178" w:firstLine="0"/>
              <w:rPr>
                <w:rFonts w:cstheme="minorHAnsi"/>
                <w:sz w:val="20"/>
                <w:szCs w:val="20"/>
              </w:rPr>
            </w:pPr>
          </w:p>
        </w:tc>
      </w:tr>
      <w:tr w:rsidR="007D5E58" w:rsidRPr="00CA2018" w14:paraId="440E5281" w14:textId="77777777" w:rsidTr="00974425">
        <w:trPr>
          <w:trHeight w:val="310"/>
        </w:trPr>
        <w:tc>
          <w:tcPr>
            <w:tcW w:w="3823" w:type="dxa"/>
            <w:gridSpan w:val="2"/>
          </w:tcPr>
          <w:p w14:paraId="2BCE671E"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Remove some obligations and sanctions (for example, pre-benefit activities, warrants to arrest sanctions, social obligations, drug-testing sanctions, 52-week reapplication requirements, sanctions for not naming the other parent, the subsequent child work obligation, and the mandatory work ability assessment for people with health conditions or disabilities).</w:t>
            </w:r>
          </w:p>
        </w:tc>
        <w:tc>
          <w:tcPr>
            <w:tcW w:w="1275" w:type="dxa"/>
            <w:gridSpan w:val="3"/>
          </w:tcPr>
          <w:p w14:paraId="2856C58A"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2-9 (see Table 4)</w:t>
            </w:r>
          </w:p>
        </w:tc>
        <w:tc>
          <w:tcPr>
            <w:tcW w:w="3447" w:type="dxa"/>
            <w:gridSpan w:val="2"/>
          </w:tcPr>
          <w:p w14:paraId="23E4F83B" w14:textId="796482B9"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a 27 September 2021 Cabinet paper, Appendix Three, the Government stated that it has repealed Section 192 (sanction for not naming the other parent) and the Subsequent Child Policy had been scheduled for its second reading. A Budget 2021 bid has also been approved to amend the subsequent work capacity certificates process for those on Jobseeker Support – Health Condition and Disability. The paper also stated that “In mid-2021, MSD provided advice regarding Phase One of the review of obligations and sanctions, which focuses on pre-employment drug-testing obligations, warrant to arrest sanctions, and social obligations. This work is ongoing.”</w:t>
            </w:r>
            <w:r w:rsidR="009416B4">
              <w:rPr>
                <w:rFonts w:cstheme="minorHAnsi"/>
                <w:sz w:val="20"/>
                <w:szCs w:val="20"/>
              </w:rPr>
              <w:t xml:space="preserve"> (MSD, 2021d)</w:t>
            </w:r>
          </w:p>
        </w:tc>
        <w:tc>
          <w:tcPr>
            <w:tcW w:w="3924" w:type="dxa"/>
            <w:gridSpan w:val="2"/>
            <w:shd w:val="clear" w:color="auto" w:fill="FFE599" w:themeFill="accent4" w:themeFillTint="66"/>
          </w:tcPr>
          <w:p w14:paraId="2213B2A5" w14:textId="77777777" w:rsidR="007D5E58" w:rsidRPr="005C579C" w:rsidRDefault="007D5E58" w:rsidP="00A53840">
            <w:pPr>
              <w:ind w:left="178" w:firstLine="0"/>
              <w:rPr>
                <w:rFonts w:cstheme="minorHAnsi"/>
                <w:sz w:val="20"/>
                <w:szCs w:val="20"/>
              </w:rPr>
            </w:pPr>
            <w:r w:rsidRPr="005C579C">
              <w:rPr>
                <w:rFonts w:cstheme="minorHAnsi"/>
                <w:sz w:val="20"/>
                <w:szCs w:val="20"/>
              </w:rPr>
              <w:t>Partial implementation.</w:t>
            </w:r>
          </w:p>
          <w:p w14:paraId="68B93B28" w14:textId="77777777" w:rsidR="007D5E58" w:rsidRPr="005C579C" w:rsidRDefault="007D5E58" w:rsidP="00A53840">
            <w:pPr>
              <w:ind w:left="178" w:firstLine="0"/>
              <w:rPr>
                <w:rFonts w:cstheme="minorHAnsi"/>
                <w:sz w:val="20"/>
                <w:szCs w:val="20"/>
              </w:rPr>
            </w:pPr>
          </w:p>
          <w:p w14:paraId="251F57DB"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Two of eight sanctions and obligations recommended for removal by WEAG have been removed (the sanction for not naming the other parent, and the subsequent child policy). </w:t>
            </w:r>
          </w:p>
          <w:p w14:paraId="3E7A3CBB" w14:textId="77777777" w:rsidR="007D5E58" w:rsidRPr="005C579C" w:rsidRDefault="007D5E58" w:rsidP="00A53840">
            <w:pPr>
              <w:ind w:left="178" w:firstLine="0"/>
              <w:rPr>
                <w:rFonts w:cstheme="minorHAnsi"/>
                <w:sz w:val="20"/>
                <w:szCs w:val="20"/>
              </w:rPr>
            </w:pPr>
          </w:p>
          <w:p w14:paraId="7278B968" w14:textId="77777777" w:rsidR="007D5E58" w:rsidRPr="005C579C" w:rsidRDefault="007D5E58" w:rsidP="00A53840">
            <w:pPr>
              <w:ind w:left="178" w:firstLine="0"/>
              <w:rPr>
                <w:rFonts w:cstheme="minorHAnsi"/>
                <w:sz w:val="20"/>
                <w:szCs w:val="20"/>
              </w:rPr>
            </w:pPr>
            <w:r w:rsidRPr="005C579C">
              <w:rPr>
                <w:rFonts w:cstheme="minorHAnsi"/>
                <w:sz w:val="20"/>
                <w:szCs w:val="20"/>
              </w:rPr>
              <w:t>The process around mandatory work ability assessment for people with health conditions or disabilities is scheduled to change as of 31 January 2022. Rather than requiring people on Jobseeker Support – Health Condition and Disability to provide medical certificates every four weeks for two months, and then every 13 weeks subsequently, under the new process, the client’s health provider will have flexibility to recommend time in between medical reviews.</w:t>
            </w:r>
          </w:p>
          <w:p w14:paraId="1C6DC511" w14:textId="77777777" w:rsidR="007D5E58" w:rsidRPr="005C579C" w:rsidRDefault="007D5E58" w:rsidP="00A53840">
            <w:pPr>
              <w:ind w:left="178" w:firstLine="0"/>
              <w:rPr>
                <w:rFonts w:cstheme="minorHAnsi"/>
                <w:sz w:val="20"/>
                <w:szCs w:val="20"/>
              </w:rPr>
            </w:pPr>
          </w:p>
          <w:p w14:paraId="3A2DE170" w14:textId="631C23AD" w:rsidR="007D5E58" w:rsidRPr="005C579C" w:rsidRDefault="007D5E58" w:rsidP="00A53840">
            <w:pPr>
              <w:ind w:left="178" w:firstLine="0"/>
              <w:rPr>
                <w:rFonts w:cstheme="minorHAnsi"/>
                <w:sz w:val="20"/>
                <w:szCs w:val="20"/>
              </w:rPr>
            </w:pPr>
            <w:r w:rsidRPr="005C579C">
              <w:rPr>
                <w:rFonts w:cstheme="minorHAnsi"/>
                <w:sz w:val="20"/>
                <w:szCs w:val="20"/>
              </w:rPr>
              <w:t xml:space="preserve">There is more work to be done; we note that WEAG </w:t>
            </w:r>
            <w:r w:rsidR="009416B4">
              <w:rPr>
                <w:rFonts w:cstheme="minorHAnsi"/>
                <w:sz w:val="20"/>
                <w:szCs w:val="20"/>
              </w:rPr>
              <w:t xml:space="preserve">(2019, p.81) </w:t>
            </w:r>
            <w:r w:rsidRPr="005C579C">
              <w:rPr>
                <w:rFonts w:cstheme="minorHAnsi"/>
                <w:sz w:val="20"/>
                <w:szCs w:val="20"/>
              </w:rPr>
              <w:t xml:space="preserve">called for wider reform of the use of sanctions altogether, stating “We do not support the continued use of a financial sanctioning regime.” There is evidence that sanctions continue to cause families significant harm, and that families go without necessities such as food, electricity and medications as a result of sanctions. A study that involved a survey and interviews in 2020/21 found that many participants reported being sanctioned out of administrative error, or because they lacked a clear understanding of the obligations associated with their </w:t>
            </w:r>
            <w:r w:rsidR="009416B4">
              <w:rPr>
                <w:rFonts w:cstheme="minorHAnsi"/>
                <w:sz w:val="20"/>
                <w:szCs w:val="20"/>
              </w:rPr>
              <w:t xml:space="preserve">benefit (Beneficiary Advocacy Service, 2021). </w:t>
            </w:r>
          </w:p>
        </w:tc>
        <w:tc>
          <w:tcPr>
            <w:tcW w:w="2196" w:type="dxa"/>
            <w:gridSpan w:val="2"/>
            <w:shd w:val="clear" w:color="auto" w:fill="DEEAF6" w:themeFill="accent5" w:themeFillTint="33"/>
          </w:tcPr>
          <w:p w14:paraId="0D2E4B60"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    Progressed from Minimal to Partial implementation since November 2020.</w:t>
            </w:r>
          </w:p>
        </w:tc>
      </w:tr>
      <w:tr w:rsidR="007D5E58" w:rsidRPr="00CA2018" w14:paraId="7831C5C3" w14:textId="77777777" w:rsidTr="00974425">
        <w:trPr>
          <w:trHeight w:val="310"/>
        </w:trPr>
        <w:tc>
          <w:tcPr>
            <w:tcW w:w="3823" w:type="dxa"/>
            <w:gridSpan w:val="2"/>
          </w:tcPr>
          <w:p w14:paraId="747FF447"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Improve outcomes by ensuring the public-facing, frontline service is consistent with the new purpose and principles through sufficient resourcing (for example, staffing, support and services), an appropriate performance framework, and complaints and disputes processes.</w:t>
            </w:r>
          </w:p>
        </w:tc>
        <w:tc>
          <w:tcPr>
            <w:tcW w:w="1275" w:type="dxa"/>
            <w:gridSpan w:val="3"/>
          </w:tcPr>
          <w:p w14:paraId="6BCB4AB1"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10-19 (see Table 4)</w:t>
            </w:r>
          </w:p>
        </w:tc>
        <w:tc>
          <w:tcPr>
            <w:tcW w:w="3447" w:type="dxa"/>
            <w:gridSpan w:val="2"/>
          </w:tcPr>
          <w:p w14:paraId="70FD4EBA" w14:textId="1FB3F0EB"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a 27 September 2021 Cabinet paper, Appendix Three, the Government stated that it is “already making changes to improve frontline services in line with recommendation 12 and will continue to do so.” It also stated that “Additional funding for further frontline staff and employment services to support an increase in demand was received as part of Budget 2020” and “MSD has also made improvements to its service centres by making changes to front of house areas such as having watercoolers, new 'kids area' furniture and signages to help services centres be a more welcoming and accessible environment</w:t>
            </w:r>
            <w:r w:rsidR="009416B4">
              <w:rPr>
                <w:rFonts w:cstheme="minorHAnsi"/>
                <w:sz w:val="20"/>
                <w:szCs w:val="20"/>
              </w:rPr>
              <w:t>” (MSD, 2021d).</w:t>
            </w:r>
          </w:p>
        </w:tc>
        <w:tc>
          <w:tcPr>
            <w:tcW w:w="3924" w:type="dxa"/>
            <w:gridSpan w:val="2"/>
            <w:shd w:val="clear" w:color="auto" w:fill="F8CA9C"/>
          </w:tcPr>
          <w:p w14:paraId="40C21B19"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 xml:space="preserve">Minimal implementation. </w:t>
            </w:r>
          </w:p>
          <w:p w14:paraId="71966CB7" w14:textId="1E3BB0EA"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early 2020 it was reported that these new ‘employment-focused’ frontline staff announced in Budget 2019 were being diverted to working on emergency hardship grants because of increased hardship demand. As a result, the level of engagement with case managers per beneficiary was down, not up, following this announcement</w:t>
            </w:r>
            <w:r w:rsidR="009416B4">
              <w:rPr>
                <w:rFonts w:cstheme="minorHAnsi"/>
                <w:sz w:val="20"/>
                <w:szCs w:val="20"/>
              </w:rPr>
              <w:t xml:space="preserve"> (Coughlan, 2020).</w:t>
            </w:r>
          </w:p>
          <w:p w14:paraId="32D59221" w14:textId="3CC3F732"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There have been some increases in the number of staff in response to increases in the number of benefit recipients due to Covid-19 via the Covid-19 Response and Recovery fund. However, there have been no observable improvements to complaints or disputes processes.  Multiple frontline organisations requested a social services select committee inquiry into Work and Income’s “inhumane” practices in Sept 2021</w:t>
            </w:r>
            <w:r w:rsidR="009416B4">
              <w:rPr>
                <w:rFonts w:cstheme="minorHAnsi"/>
                <w:sz w:val="20"/>
                <w:szCs w:val="20"/>
              </w:rPr>
              <w:t xml:space="preserve"> (Save the Children, 2021).</w:t>
            </w:r>
          </w:p>
          <w:p w14:paraId="4653DA53" w14:textId="7FFA2EAB"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Those engaging with Work and Income offices continue to report a lack of clarity and transparency when engaging with staff</w:t>
            </w:r>
            <w:r w:rsidR="009416B4">
              <w:rPr>
                <w:rFonts w:cstheme="minorHAnsi"/>
                <w:sz w:val="20"/>
                <w:szCs w:val="20"/>
              </w:rPr>
              <w:t xml:space="preserve"> (Casey-Cox, 2021).</w:t>
            </w:r>
            <w:r w:rsidRPr="005C579C">
              <w:rPr>
                <w:rFonts w:cstheme="minorHAnsi"/>
                <w:sz w:val="20"/>
                <w:szCs w:val="20"/>
              </w:rPr>
              <w:t xml:space="preserve"> In relation to this recommendation, a senior beneficiary advocate in our network stated, “The attitude of frontline staff remains mixed.”</w:t>
            </w:r>
          </w:p>
        </w:tc>
        <w:tc>
          <w:tcPr>
            <w:tcW w:w="2196" w:type="dxa"/>
            <w:gridSpan w:val="2"/>
            <w:shd w:val="clear" w:color="auto" w:fill="FFFFFF" w:themeFill="background1"/>
          </w:tcPr>
          <w:p w14:paraId="19EB6FEE" w14:textId="77777777" w:rsidR="007D5E58" w:rsidRPr="005C579C" w:rsidRDefault="007D5E58" w:rsidP="00A53840">
            <w:pPr>
              <w:spacing w:before="120" w:after="120"/>
              <w:ind w:left="0" w:firstLine="0"/>
              <w:rPr>
                <w:rFonts w:cstheme="minorHAnsi"/>
                <w:sz w:val="20"/>
                <w:szCs w:val="20"/>
              </w:rPr>
            </w:pPr>
            <w:r w:rsidRPr="005C579C">
              <w:rPr>
                <w:rFonts w:cstheme="minorHAnsi"/>
                <w:sz w:val="20"/>
                <w:szCs w:val="20"/>
              </w:rPr>
              <w:t>No change since November 2020.</w:t>
            </w:r>
          </w:p>
        </w:tc>
      </w:tr>
      <w:tr w:rsidR="007D5E58" w:rsidRPr="00CA2018" w14:paraId="1DA8FAA0" w14:textId="77777777" w:rsidTr="00974425">
        <w:trPr>
          <w:trHeight w:val="310"/>
        </w:trPr>
        <w:tc>
          <w:tcPr>
            <w:tcW w:w="3823" w:type="dxa"/>
            <w:gridSpan w:val="2"/>
          </w:tcPr>
          <w:p w14:paraId="287CD4E9"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Assist recipients of Sole Parent Support to return to part-time work when their youngest child is 6 years old (subject to supports being available, such as good quality childcare) instead of the current 3 years. Support but not require all sole parents to return to work when their youngest child is under 6 years old.</w:t>
            </w:r>
          </w:p>
        </w:tc>
        <w:tc>
          <w:tcPr>
            <w:tcW w:w="1275" w:type="dxa"/>
            <w:gridSpan w:val="3"/>
          </w:tcPr>
          <w:p w14:paraId="5800A6EA"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Nil </w:t>
            </w:r>
          </w:p>
        </w:tc>
        <w:tc>
          <w:tcPr>
            <w:tcW w:w="3447" w:type="dxa"/>
            <w:gridSpan w:val="2"/>
          </w:tcPr>
          <w:p w14:paraId="19675F2D" w14:textId="7A17A215" w:rsidR="007D5E58" w:rsidRDefault="007D5E58" w:rsidP="00A53840">
            <w:pPr>
              <w:spacing w:before="120" w:after="120"/>
              <w:ind w:left="176" w:firstLine="0"/>
              <w:rPr>
                <w:rFonts w:cstheme="minorHAnsi"/>
                <w:sz w:val="20"/>
                <w:szCs w:val="20"/>
              </w:rPr>
            </w:pPr>
            <w:r w:rsidRPr="005C579C">
              <w:rPr>
                <w:rFonts w:cstheme="minorHAnsi"/>
                <w:sz w:val="20"/>
                <w:szCs w:val="20"/>
              </w:rPr>
              <w:t>In November 2019, the Government reported that Key Recommendation 13 is part of its ‘medium and longer-term work programme’</w:t>
            </w:r>
            <w:r w:rsidR="009416B4">
              <w:rPr>
                <w:rFonts w:cstheme="minorHAnsi"/>
                <w:sz w:val="20"/>
                <w:szCs w:val="20"/>
              </w:rPr>
              <w:t xml:space="preserve"> (</w:t>
            </w:r>
            <w:r w:rsidR="00F35D44">
              <w:rPr>
                <w:rFonts w:cstheme="minorHAnsi"/>
                <w:sz w:val="20"/>
                <w:szCs w:val="20"/>
              </w:rPr>
              <w:t>MSD, 2019A</w:t>
            </w:r>
            <w:r w:rsidR="009416B4">
              <w:rPr>
                <w:rFonts w:cstheme="minorHAnsi"/>
                <w:sz w:val="20"/>
                <w:szCs w:val="20"/>
              </w:rPr>
              <w:t>).</w:t>
            </w:r>
            <w:r w:rsidRPr="005C579C">
              <w:rPr>
                <w:rFonts w:cstheme="minorHAnsi"/>
                <w:sz w:val="20"/>
                <w:szCs w:val="20"/>
              </w:rPr>
              <w:t xml:space="preserve"> It stated that “further work on supports and obligations on sole parents needs to be considered alongside work on mutual expectations.”</w:t>
            </w:r>
          </w:p>
          <w:p w14:paraId="2C1048A9" w14:textId="01F09125" w:rsidR="000A0D5D" w:rsidRPr="005C579C" w:rsidRDefault="000A0D5D" w:rsidP="000A0D5D">
            <w:pPr>
              <w:spacing w:before="120" w:after="120"/>
              <w:ind w:left="0" w:firstLine="0"/>
              <w:rPr>
                <w:rFonts w:cstheme="minorHAnsi"/>
                <w:sz w:val="20"/>
                <w:szCs w:val="20"/>
              </w:rPr>
            </w:pPr>
            <w:r>
              <w:rPr>
                <w:rFonts w:cstheme="minorHAnsi"/>
                <w:sz w:val="20"/>
                <w:szCs w:val="20"/>
              </w:rPr>
              <w:t>No further update on this recommendation has been provided; all information in the 27 September 2021 Cabinet paper has been redacted (MSD, 2021d).</w:t>
            </w:r>
          </w:p>
        </w:tc>
        <w:tc>
          <w:tcPr>
            <w:tcW w:w="3924" w:type="dxa"/>
            <w:gridSpan w:val="2"/>
            <w:shd w:val="clear" w:color="auto" w:fill="FFA5A5"/>
          </w:tcPr>
          <w:p w14:paraId="07C03338"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No evidence of implementation.</w:t>
            </w:r>
          </w:p>
        </w:tc>
        <w:tc>
          <w:tcPr>
            <w:tcW w:w="2196" w:type="dxa"/>
            <w:gridSpan w:val="2"/>
            <w:shd w:val="clear" w:color="auto" w:fill="FFFFFF" w:themeFill="background1"/>
          </w:tcPr>
          <w:p w14:paraId="7379AB2E" w14:textId="77777777" w:rsidR="007D5E58" w:rsidRPr="005C579C" w:rsidRDefault="007D5E58" w:rsidP="00A53840">
            <w:pPr>
              <w:spacing w:before="120" w:after="120"/>
              <w:ind w:left="0" w:firstLine="0"/>
              <w:rPr>
                <w:rFonts w:cstheme="minorHAnsi"/>
                <w:sz w:val="20"/>
                <w:szCs w:val="20"/>
              </w:rPr>
            </w:pPr>
            <w:r w:rsidRPr="005C579C">
              <w:rPr>
                <w:rFonts w:cstheme="minorHAnsi"/>
                <w:sz w:val="20"/>
                <w:szCs w:val="20"/>
              </w:rPr>
              <w:t>No change since November 2020.</w:t>
            </w:r>
          </w:p>
        </w:tc>
      </w:tr>
      <w:tr w:rsidR="007D5E58" w:rsidRPr="00CA2018" w14:paraId="7E541C1E" w14:textId="77777777" w:rsidTr="00974425">
        <w:trPr>
          <w:trHeight w:val="310"/>
        </w:trPr>
        <w:tc>
          <w:tcPr>
            <w:tcW w:w="3823" w:type="dxa"/>
            <w:gridSpan w:val="2"/>
          </w:tcPr>
          <w:p w14:paraId="76A389CA"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Continue to prioritise a reduction in outstanding benefit debt through sustainable repayments, and minimise the creation of overpayments, including reviewing recoverable hardship assistance and current practice, to be more consistent with whakamana tāngata.</w:t>
            </w:r>
          </w:p>
        </w:tc>
        <w:tc>
          <w:tcPr>
            <w:tcW w:w="1275" w:type="dxa"/>
            <w:gridSpan w:val="3"/>
          </w:tcPr>
          <w:p w14:paraId="7AE9F707"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20-24 (see Table 4)</w:t>
            </w:r>
          </w:p>
        </w:tc>
        <w:tc>
          <w:tcPr>
            <w:tcW w:w="3447" w:type="dxa"/>
            <w:gridSpan w:val="2"/>
          </w:tcPr>
          <w:p w14:paraId="7CB6B011" w14:textId="3AEEE94B"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a 27 September 2021 Cabinet paper, Appendix Three, the Government reported that “The review of Hardship Assistance is underway, and a detailed initial update was provided to the Minister for Social Development and Employment in early August 2021</w:t>
            </w:r>
            <w:r w:rsidR="000A0D5D">
              <w:rPr>
                <w:rFonts w:cstheme="minorHAnsi"/>
                <w:sz w:val="20"/>
                <w:szCs w:val="20"/>
              </w:rPr>
              <w:t>” (MSD, 2021d).</w:t>
            </w:r>
          </w:p>
        </w:tc>
        <w:tc>
          <w:tcPr>
            <w:tcW w:w="3924" w:type="dxa"/>
            <w:gridSpan w:val="2"/>
            <w:shd w:val="clear" w:color="auto" w:fill="FFA5A5"/>
          </w:tcPr>
          <w:p w14:paraId="078D6501"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No evidence of implementation.</w:t>
            </w:r>
          </w:p>
          <w:p w14:paraId="56688F55" w14:textId="6D8E9C65"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Figures suggest beneficiary debt is continuing to increase over time</w:t>
            </w:r>
            <w:r w:rsidR="000A0D5D">
              <w:rPr>
                <w:rFonts w:cstheme="minorHAnsi"/>
                <w:sz w:val="20"/>
                <w:szCs w:val="20"/>
              </w:rPr>
              <w:t xml:space="preserve"> (MSD, 2021f),</w:t>
            </w:r>
            <w:r w:rsidR="000A0D5D" w:rsidRPr="005C579C">
              <w:rPr>
                <w:rFonts w:cstheme="minorHAnsi"/>
                <w:sz w:val="20"/>
                <w:szCs w:val="20"/>
              </w:rPr>
              <w:t xml:space="preserve"> </w:t>
            </w:r>
            <w:r w:rsidRPr="005C579C">
              <w:rPr>
                <w:rFonts w:cstheme="minorHAnsi"/>
                <w:sz w:val="20"/>
                <w:szCs w:val="20"/>
              </w:rPr>
              <w:t>meanwhile the Minister has ruled out wiping beneficiary debt</w:t>
            </w:r>
            <w:r w:rsidR="000A0D5D">
              <w:rPr>
                <w:rFonts w:cstheme="minorHAnsi"/>
                <w:sz w:val="20"/>
                <w:szCs w:val="20"/>
              </w:rPr>
              <w:t xml:space="preserve"> (Boswell, 2021).</w:t>
            </w:r>
            <w:r w:rsidRPr="005C579C">
              <w:rPr>
                <w:rFonts w:cstheme="minorHAnsi"/>
                <w:sz w:val="20"/>
                <w:szCs w:val="20"/>
              </w:rPr>
              <w:t xml:space="preserve"> Reducing debt repayments is available on a case-by-case basis, but there has been no policy shift.</w:t>
            </w:r>
          </w:p>
        </w:tc>
        <w:tc>
          <w:tcPr>
            <w:tcW w:w="2196" w:type="dxa"/>
            <w:gridSpan w:val="2"/>
            <w:shd w:val="clear" w:color="auto" w:fill="FFFFFF" w:themeFill="background1"/>
          </w:tcPr>
          <w:p w14:paraId="044FA406" w14:textId="77777777" w:rsidR="007D5E58" w:rsidRPr="005C579C" w:rsidRDefault="007D5E58" w:rsidP="00A53840">
            <w:pPr>
              <w:spacing w:before="120" w:after="120"/>
              <w:ind w:left="0" w:firstLine="0"/>
              <w:rPr>
                <w:rFonts w:cstheme="minorHAnsi"/>
                <w:sz w:val="20"/>
                <w:szCs w:val="20"/>
              </w:rPr>
            </w:pPr>
            <w:r w:rsidRPr="005C579C">
              <w:rPr>
                <w:rFonts w:cstheme="minorHAnsi"/>
                <w:sz w:val="20"/>
                <w:szCs w:val="20"/>
              </w:rPr>
              <w:t>No change since November 2020.</w:t>
            </w:r>
          </w:p>
        </w:tc>
      </w:tr>
      <w:tr w:rsidR="007D5E58" w:rsidRPr="00CA2018" w14:paraId="01C0A9B7" w14:textId="77777777" w:rsidTr="00974425">
        <w:trPr>
          <w:trHeight w:val="310"/>
        </w:trPr>
        <w:tc>
          <w:tcPr>
            <w:tcW w:w="3823" w:type="dxa"/>
            <w:gridSpan w:val="2"/>
          </w:tcPr>
          <w:p w14:paraId="7BC7B5F6"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Align the regulations and practice around benefit debt so that it is treated in substantially the same way as Inland Revenue treats taxpayer debt.</w:t>
            </w:r>
          </w:p>
        </w:tc>
        <w:tc>
          <w:tcPr>
            <w:tcW w:w="1275" w:type="dxa"/>
            <w:gridSpan w:val="3"/>
          </w:tcPr>
          <w:p w14:paraId="379CA35E"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20-24 (see Table 4)</w:t>
            </w:r>
          </w:p>
        </w:tc>
        <w:tc>
          <w:tcPr>
            <w:tcW w:w="3447" w:type="dxa"/>
            <w:gridSpan w:val="2"/>
          </w:tcPr>
          <w:p w14:paraId="0F341083" w14:textId="3F0E635E"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a 27 September 2021 Cabinet paper, Appendix Three, the Government stated that “the DPMC-led cross-agency debt-to-government working group advised joint Ministers that progressing alignment would have undesirable affects, such as the introduction of interest and penalties which MSD does not currently apply</w:t>
            </w:r>
            <w:r w:rsidR="000A0D5D">
              <w:rPr>
                <w:rFonts w:cstheme="minorHAnsi"/>
                <w:sz w:val="20"/>
                <w:szCs w:val="20"/>
              </w:rPr>
              <w:t>” (MSD, 2021d).</w:t>
            </w:r>
          </w:p>
        </w:tc>
        <w:tc>
          <w:tcPr>
            <w:tcW w:w="3924" w:type="dxa"/>
            <w:gridSpan w:val="2"/>
            <w:shd w:val="clear" w:color="auto" w:fill="FFA5A5"/>
          </w:tcPr>
          <w:p w14:paraId="5B6A3061"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No evidence of implementation.</w:t>
            </w:r>
          </w:p>
        </w:tc>
        <w:tc>
          <w:tcPr>
            <w:tcW w:w="2196" w:type="dxa"/>
            <w:gridSpan w:val="2"/>
            <w:shd w:val="clear" w:color="auto" w:fill="FFFFFF" w:themeFill="background1"/>
          </w:tcPr>
          <w:p w14:paraId="13CEDB53" w14:textId="77777777" w:rsidR="007D5E58" w:rsidRPr="005C579C" w:rsidRDefault="007D5E58" w:rsidP="00A53840">
            <w:pPr>
              <w:spacing w:before="120" w:after="120"/>
              <w:ind w:left="0" w:firstLine="0"/>
              <w:rPr>
                <w:rFonts w:cstheme="minorHAnsi"/>
                <w:sz w:val="20"/>
                <w:szCs w:val="20"/>
              </w:rPr>
            </w:pPr>
            <w:r w:rsidRPr="005C579C">
              <w:rPr>
                <w:rFonts w:cstheme="minorHAnsi"/>
                <w:sz w:val="20"/>
                <w:szCs w:val="20"/>
              </w:rPr>
              <w:t>No change since November 2020.</w:t>
            </w:r>
          </w:p>
        </w:tc>
      </w:tr>
      <w:tr w:rsidR="007D5E58" w:rsidRPr="00CA2018" w14:paraId="404B25D6" w14:textId="77777777" w:rsidTr="00974425">
        <w:trPr>
          <w:trHeight w:val="310"/>
        </w:trPr>
        <w:tc>
          <w:tcPr>
            <w:tcW w:w="3823" w:type="dxa"/>
            <w:gridSpan w:val="2"/>
          </w:tcPr>
          <w:p w14:paraId="573B8B8C"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Instigate a cross-government approach to managing debt to government agencies.</w:t>
            </w:r>
          </w:p>
        </w:tc>
        <w:tc>
          <w:tcPr>
            <w:tcW w:w="1275" w:type="dxa"/>
            <w:gridSpan w:val="3"/>
          </w:tcPr>
          <w:p w14:paraId="2265714D"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20-24 (see Table 4)</w:t>
            </w:r>
          </w:p>
        </w:tc>
        <w:tc>
          <w:tcPr>
            <w:tcW w:w="3447" w:type="dxa"/>
            <w:gridSpan w:val="2"/>
          </w:tcPr>
          <w:p w14:paraId="28B84F9F" w14:textId="0231E5D2"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pointed to a cross-government debt-to-government working group, established in 2019, with representatives from MSD, Inland Revenue, Treasury, the Ministy of Justice and the Child Poverty Unit</w:t>
            </w:r>
            <w:r w:rsidR="003B7EA0">
              <w:rPr>
                <w:rFonts w:cstheme="minorHAnsi"/>
                <w:sz w:val="20"/>
                <w:szCs w:val="20"/>
              </w:rPr>
              <w:t xml:space="preserve"> (MSD, 2021d)</w:t>
            </w:r>
            <w:r w:rsidRPr="005C579C">
              <w:rPr>
                <w:rFonts w:cstheme="minorHAnsi"/>
                <w:sz w:val="20"/>
                <w:szCs w:val="20"/>
              </w:rPr>
              <w:t>. In November 2019, the Government stated that over the ‘longer-term’, officials will consider seeking alignment of approaches to interest and penalty rates, as well as approaches to write-off, across agencies</w:t>
            </w:r>
            <w:r w:rsidR="003B7EA0">
              <w:rPr>
                <w:rFonts w:cstheme="minorHAnsi"/>
                <w:sz w:val="20"/>
                <w:szCs w:val="20"/>
              </w:rPr>
              <w:t xml:space="preserve"> (</w:t>
            </w:r>
            <w:r w:rsidR="00F35D44">
              <w:rPr>
                <w:rFonts w:cstheme="minorHAnsi"/>
                <w:sz w:val="20"/>
                <w:szCs w:val="20"/>
              </w:rPr>
              <w:t>MSD, 2019A</w:t>
            </w:r>
            <w:r w:rsidR="003B7EA0">
              <w:rPr>
                <w:rFonts w:cstheme="minorHAnsi"/>
                <w:sz w:val="20"/>
                <w:szCs w:val="20"/>
              </w:rPr>
              <w:t>).</w:t>
            </w:r>
          </w:p>
        </w:tc>
        <w:tc>
          <w:tcPr>
            <w:tcW w:w="3924" w:type="dxa"/>
            <w:gridSpan w:val="2"/>
            <w:shd w:val="clear" w:color="auto" w:fill="FFA5A5"/>
          </w:tcPr>
          <w:p w14:paraId="41D34687" w14:textId="77777777" w:rsidR="007D5E58" w:rsidRPr="005C579C" w:rsidRDefault="007D5E58" w:rsidP="00A53840">
            <w:pPr>
              <w:ind w:left="178" w:firstLine="0"/>
              <w:rPr>
                <w:rFonts w:cstheme="minorHAnsi"/>
                <w:sz w:val="20"/>
                <w:szCs w:val="20"/>
              </w:rPr>
            </w:pPr>
            <w:r w:rsidRPr="005C579C">
              <w:rPr>
                <w:rFonts w:cstheme="minorHAnsi"/>
                <w:sz w:val="20"/>
                <w:szCs w:val="20"/>
              </w:rPr>
              <w:t>No evidence of implementation.</w:t>
            </w:r>
          </w:p>
        </w:tc>
        <w:tc>
          <w:tcPr>
            <w:tcW w:w="2196" w:type="dxa"/>
            <w:gridSpan w:val="2"/>
            <w:shd w:val="clear" w:color="auto" w:fill="FFFFFF" w:themeFill="background1"/>
          </w:tcPr>
          <w:p w14:paraId="6145729F" w14:textId="77777777" w:rsidR="007D5E58" w:rsidRPr="005C579C" w:rsidRDefault="007D5E58" w:rsidP="00A53840">
            <w:pPr>
              <w:spacing w:before="120" w:after="120"/>
              <w:ind w:left="0" w:firstLine="0"/>
              <w:rPr>
                <w:rFonts w:cstheme="minorHAnsi"/>
                <w:sz w:val="20"/>
                <w:szCs w:val="20"/>
              </w:rPr>
            </w:pPr>
            <w:r w:rsidRPr="005C579C">
              <w:rPr>
                <w:rFonts w:cstheme="minorHAnsi"/>
                <w:sz w:val="20"/>
                <w:szCs w:val="20"/>
              </w:rPr>
              <w:t>No change since November 2020.</w:t>
            </w:r>
          </w:p>
        </w:tc>
      </w:tr>
      <w:tr w:rsidR="007D5E58" w:rsidRPr="00CA2018" w14:paraId="4B684EC8" w14:textId="77777777" w:rsidTr="00974425">
        <w:trPr>
          <w:trHeight w:val="310"/>
        </w:trPr>
        <w:tc>
          <w:tcPr>
            <w:tcW w:w="3823" w:type="dxa"/>
            <w:gridSpan w:val="2"/>
          </w:tcPr>
          <w:p w14:paraId="1DF7680C"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Endorse the Ministry of Social Development’s three-tiered approach to responding to fraud allegation: intervene, facilitate and, as a last resort, investigate. Apply the principles of natural justice in all steps, and, if the outcome is disputed, permit a review independent of the Ministry of Social Development.</w:t>
            </w:r>
          </w:p>
        </w:tc>
        <w:tc>
          <w:tcPr>
            <w:tcW w:w="1275" w:type="dxa"/>
            <w:gridSpan w:val="3"/>
          </w:tcPr>
          <w:p w14:paraId="375F5E04"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Detailed Recs 25-27 (see Table 4). </w:t>
            </w:r>
          </w:p>
        </w:tc>
        <w:tc>
          <w:tcPr>
            <w:tcW w:w="3447" w:type="dxa"/>
            <w:gridSpan w:val="2"/>
          </w:tcPr>
          <w:p w14:paraId="60A68822" w14:textId="0921D78B"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“The Minister of Social Development and Employment endorsed MSD’s approach to fraud, as suggested in recommendation 17, and will continue to ensure fraud is handled appropriately.” The Government also stated that “Work is ongoing to ensure that fraud in relation to the wage subsidy is handled quickly and appropriately, with specific processes developed</w:t>
            </w:r>
            <w:r w:rsidR="003B7EA0">
              <w:rPr>
                <w:rFonts w:cstheme="minorHAnsi"/>
                <w:sz w:val="20"/>
                <w:szCs w:val="20"/>
              </w:rPr>
              <w:t>” (MSD, 2021d).</w:t>
            </w:r>
          </w:p>
        </w:tc>
        <w:tc>
          <w:tcPr>
            <w:tcW w:w="3924" w:type="dxa"/>
            <w:gridSpan w:val="2"/>
            <w:shd w:val="clear" w:color="auto" w:fill="F8CA9C"/>
          </w:tcPr>
          <w:p w14:paraId="6FC16188" w14:textId="77777777" w:rsidR="007D5E58" w:rsidRPr="005C579C" w:rsidRDefault="007D5E58" w:rsidP="00A53840">
            <w:pPr>
              <w:ind w:left="178" w:firstLine="0"/>
              <w:rPr>
                <w:rFonts w:cstheme="minorHAnsi"/>
                <w:sz w:val="20"/>
                <w:szCs w:val="20"/>
              </w:rPr>
            </w:pPr>
            <w:r w:rsidRPr="005C579C">
              <w:rPr>
                <w:rFonts w:cstheme="minorHAnsi"/>
                <w:sz w:val="20"/>
                <w:szCs w:val="20"/>
              </w:rPr>
              <w:t>Minimal implementation.</w:t>
            </w:r>
          </w:p>
          <w:p w14:paraId="68C78ECC" w14:textId="77777777" w:rsidR="007D5E58" w:rsidRPr="005C579C" w:rsidRDefault="007D5E58" w:rsidP="00A53840">
            <w:pPr>
              <w:ind w:left="178" w:firstLine="0"/>
              <w:rPr>
                <w:rFonts w:cstheme="minorHAnsi"/>
                <w:sz w:val="20"/>
                <w:szCs w:val="20"/>
              </w:rPr>
            </w:pPr>
          </w:p>
          <w:p w14:paraId="4ABE13A2" w14:textId="72402399" w:rsidR="007D5E58" w:rsidRPr="005C579C" w:rsidRDefault="007D5E58" w:rsidP="00A53840">
            <w:pPr>
              <w:ind w:left="178" w:firstLine="0"/>
              <w:rPr>
                <w:rFonts w:cstheme="minorHAnsi"/>
                <w:sz w:val="20"/>
                <w:szCs w:val="20"/>
              </w:rPr>
            </w:pPr>
            <w:r w:rsidRPr="005C579C">
              <w:rPr>
                <w:rFonts w:cstheme="minorHAnsi"/>
                <w:sz w:val="20"/>
                <w:szCs w:val="20"/>
              </w:rPr>
              <w:t>The three-tiered approach to managing fraud activity was implemented between November 2018 and February 2019 and remains in place, and the Government has stated that it endorses MSD’s approach</w:t>
            </w:r>
            <w:r w:rsidR="003B7EA0">
              <w:rPr>
                <w:rFonts w:cstheme="minorHAnsi"/>
                <w:sz w:val="20"/>
                <w:szCs w:val="20"/>
              </w:rPr>
              <w:t xml:space="preserve"> (</w:t>
            </w:r>
            <w:r w:rsidR="00F35D44">
              <w:rPr>
                <w:rFonts w:cstheme="minorHAnsi"/>
                <w:sz w:val="20"/>
                <w:szCs w:val="20"/>
              </w:rPr>
              <w:t>MSD, 2019A</w:t>
            </w:r>
            <w:r w:rsidR="003B7EA0">
              <w:rPr>
                <w:rFonts w:cstheme="minorHAnsi"/>
                <w:sz w:val="20"/>
                <w:szCs w:val="20"/>
              </w:rPr>
              <w:t>).</w:t>
            </w:r>
            <w:r w:rsidR="003B7EA0" w:rsidRPr="005C579C">
              <w:rPr>
                <w:rFonts w:cstheme="minorHAnsi"/>
                <w:sz w:val="20"/>
                <w:szCs w:val="20"/>
              </w:rPr>
              <w:t xml:space="preserve"> </w:t>
            </w:r>
            <w:r w:rsidRPr="005C579C">
              <w:rPr>
                <w:rFonts w:cstheme="minorHAnsi"/>
                <w:sz w:val="20"/>
                <w:szCs w:val="20"/>
              </w:rPr>
              <w:t>However, appeals continue to be referred to the Benefits Review Committee, which is not independent of MSD and thus contravenes the principles of natural justice.</w:t>
            </w:r>
          </w:p>
          <w:p w14:paraId="7903FA6D" w14:textId="77777777" w:rsidR="007D5E58" w:rsidRPr="005C579C" w:rsidRDefault="007D5E58" w:rsidP="00A53840">
            <w:pPr>
              <w:ind w:left="178" w:firstLine="0"/>
              <w:rPr>
                <w:rFonts w:cstheme="minorHAnsi"/>
                <w:sz w:val="20"/>
                <w:szCs w:val="20"/>
              </w:rPr>
            </w:pPr>
          </w:p>
          <w:p w14:paraId="28AB19DD" w14:textId="7CEA4E0A" w:rsidR="007D5E58" w:rsidRPr="005C579C" w:rsidRDefault="007D5E58" w:rsidP="00A53840">
            <w:pPr>
              <w:ind w:left="178" w:firstLine="0"/>
              <w:rPr>
                <w:rFonts w:cstheme="minorHAnsi"/>
                <w:sz w:val="20"/>
                <w:szCs w:val="20"/>
              </w:rPr>
            </w:pPr>
            <w:r w:rsidRPr="005C579C">
              <w:rPr>
                <w:rFonts w:cstheme="minorHAnsi"/>
                <w:sz w:val="20"/>
                <w:szCs w:val="20"/>
              </w:rPr>
              <w:t>We note that the high-trust model of the wage subsidy, and the relaxed approach to so-called ‘audits’ that the Auditor-General highlighted in its review</w:t>
            </w:r>
            <w:r w:rsidR="003B7EA0">
              <w:rPr>
                <w:rFonts w:cstheme="minorHAnsi"/>
                <w:sz w:val="20"/>
                <w:szCs w:val="20"/>
              </w:rPr>
              <w:t xml:space="preserve"> (Blake-Person, 2021b)</w:t>
            </w:r>
            <w:r w:rsidRPr="005C579C">
              <w:rPr>
                <w:rFonts w:cstheme="minorHAnsi"/>
                <w:sz w:val="20"/>
                <w:szCs w:val="20"/>
              </w:rPr>
              <w:t>, that stands in stark contrast to the treatment of beneficiaries suspected of benefit fraud.</w:t>
            </w:r>
          </w:p>
        </w:tc>
        <w:tc>
          <w:tcPr>
            <w:tcW w:w="2196" w:type="dxa"/>
            <w:gridSpan w:val="2"/>
            <w:shd w:val="clear" w:color="auto" w:fill="FFFFFF" w:themeFill="background1"/>
          </w:tcPr>
          <w:p w14:paraId="470C0D46" w14:textId="77777777" w:rsidR="007D5E58" w:rsidRPr="005C579C" w:rsidRDefault="007D5E58" w:rsidP="00A53840">
            <w:pPr>
              <w:ind w:left="178" w:firstLine="0"/>
              <w:rPr>
                <w:rFonts w:cstheme="minorHAnsi"/>
                <w:sz w:val="20"/>
                <w:szCs w:val="20"/>
              </w:rPr>
            </w:pPr>
            <w:r w:rsidRPr="005C579C">
              <w:rPr>
                <w:rFonts w:cstheme="minorHAnsi"/>
                <w:sz w:val="20"/>
                <w:szCs w:val="20"/>
              </w:rPr>
              <w:t>No change since November 2020.</w:t>
            </w:r>
          </w:p>
          <w:p w14:paraId="3466160A" w14:textId="77777777" w:rsidR="007D5E58" w:rsidRPr="005C579C" w:rsidRDefault="007D5E58" w:rsidP="00A53840">
            <w:pPr>
              <w:ind w:left="0" w:firstLine="0"/>
              <w:rPr>
                <w:rFonts w:cstheme="minorHAnsi"/>
                <w:sz w:val="20"/>
                <w:szCs w:val="20"/>
              </w:rPr>
            </w:pPr>
          </w:p>
        </w:tc>
      </w:tr>
      <w:tr w:rsidR="007D5E58" w:rsidRPr="00CA2018" w14:paraId="3A60C891" w14:textId="77777777" w:rsidTr="00974425">
        <w:trPr>
          <w:trHeight w:val="310"/>
        </w:trPr>
        <w:tc>
          <w:tcPr>
            <w:tcW w:w="3823" w:type="dxa"/>
            <w:gridSpan w:val="2"/>
          </w:tcPr>
          <w:p w14:paraId="7BA31DA1"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Enhance and improve the support for people exiting prisons, including increasing the Steps to Freedom grant, and ensuring that any person who leaves prison has appropriate identification and is engaged with specialised care and supportive housing initiatives. Move practices around prisoner integration out of the ‘pilot’ stage and draw on evaluation data to embed integrated support for these individuals.</w:t>
            </w:r>
          </w:p>
        </w:tc>
        <w:tc>
          <w:tcPr>
            <w:tcW w:w="1275" w:type="dxa"/>
            <w:gridSpan w:val="3"/>
          </w:tcPr>
          <w:p w14:paraId="3BB49490"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Detailed Recs 28-32 (see Table 4). </w:t>
            </w:r>
          </w:p>
          <w:p w14:paraId="19B42185" w14:textId="77777777" w:rsidR="007D5E58" w:rsidRPr="005C579C" w:rsidRDefault="007D5E58" w:rsidP="00974425">
            <w:pPr>
              <w:ind w:left="33" w:right="33" w:firstLine="0"/>
              <w:rPr>
                <w:rFonts w:cstheme="minorHAnsi"/>
                <w:sz w:val="20"/>
                <w:szCs w:val="20"/>
              </w:rPr>
            </w:pPr>
          </w:p>
          <w:p w14:paraId="2E76B08D" w14:textId="77777777" w:rsidR="007D5E58" w:rsidRPr="005C579C" w:rsidRDefault="007D5E58" w:rsidP="00974425">
            <w:pPr>
              <w:ind w:left="33" w:right="33" w:firstLine="0"/>
              <w:rPr>
                <w:rFonts w:cstheme="minorHAnsi"/>
                <w:sz w:val="20"/>
                <w:szCs w:val="20"/>
              </w:rPr>
            </w:pPr>
          </w:p>
        </w:tc>
        <w:tc>
          <w:tcPr>
            <w:tcW w:w="3447" w:type="dxa"/>
            <w:gridSpan w:val="2"/>
          </w:tcPr>
          <w:p w14:paraId="1A5FE4C5" w14:textId="1EEECF6E"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“This is primarily being handled by the Department of Corrections”. The paper also stated that “As part of the Supporting Offenders into Employment service, MSD continues to provide tailored wrap-around support to eligible people before and after they are released from prison, to achieve their goals, secure and sustain employment and reduce recidivism</w:t>
            </w:r>
            <w:r w:rsidR="003B7EA0">
              <w:rPr>
                <w:rFonts w:cstheme="minorHAnsi"/>
                <w:sz w:val="20"/>
                <w:szCs w:val="20"/>
              </w:rPr>
              <w:t>” (MSD, 2021d).</w:t>
            </w:r>
          </w:p>
        </w:tc>
        <w:tc>
          <w:tcPr>
            <w:tcW w:w="3924" w:type="dxa"/>
            <w:gridSpan w:val="2"/>
            <w:shd w:val="clear" w:color="auto" w:fill="FFA5A5"/>
          </w:tcPr>
          <w:p w14:paraId="6BD82158" w14:textId="77777777" w:rsidR="007D5E58" w:rsidRPr="005C579C" w:rsidRDefault="007D5E58" w:rsidP="00A53840">
            <w:pPr>
              <w:ind w:left="178" w:firstLine="0"/>
              <w:rPr>
                <w:rFonts w:cstheme="minorHAnsi"/>
                <w:sz w:val="20"/>
                <w:szCs w:val="20"/>
              </w:rPr>
            </w:pPr>
            <w:r w:rsidRPr="005C579C">
              <w:rPr>
                <w:rFonts w:cstheme="minorHAnsi"/>
                <w:sz w:val="20"/>
                <w:szCs w:val="20"/>
              </w:rPr>
              <w:t>No evidence of implementation.</w:t>
            </w:r>
          </w:p>
          <w:p w14:paraId="5D842D9F" w14:textId="77777777" w:rsidR="007D5E58" w:rsidRPr="005C579C" w:rsidRDefault="007D5E58" w:rsidP="00A53840">
            <w:pPr>
              <w:ind w:left="178" w:firstLine="0"/>
              <w:rPr>
                <w:rFonts w:cstheme="minorHAnsi"/>
                <w:sz w:val="20"/>
                <w:szCs w:val="20"/>
              </w:rPr>
            </w:pPr>
          </w:p>
          <w:p w14:paraId="32D701F5" w14:textId="7898592E" w:rsidR="007D5E58" w:rsidRPr="005C579C" w:rsidRDefault="007D5E58" w:rsidP="00A53840">
            <w:pPr>
              <w:ind w:left="178" w:firstLine="0"/>
              <w:rPr>
                <w:rFonts w:cstheme="minorHAnsi"/>
                <w:sz w:val="20"/>
                <w:szCs w:val="20"/>
              </w:rPr>
            </w:pPr>
            <w:r w:rsidRPr="005C579C">
              <w:rPr>
                <w:rFonts w:cstheme="minorHAnsi"/>
                <w:sz w:val="20"/>
                <w:szCs w:val="20"/>
              </w:rPr>
              <w:t>The Government’s announcements on this in May 2019 emphasised pre-existing work on the Supporting Offenders into Employment scheme</w:t>
            </w:r>
            <w:r w:rsidR="003B7EA0">
              <w:rPr>
                <w:rFonts w:cstheme="minorHAnsi"/>
                <w:sz w:val="20"/>
                <w:szCs w:val="20"/>
              </w:rPr>
              <w:t xml:space="preserve"> (</w:t>
            </w:r>
            <w:r w:rsidR="00F35D44">
              <w:rPr>
                <w:rFonts w:cstheme="minorHAnsi"/>
                <w:sz w:val="20"/>
                <w:szCs w:val="20"/>
              </w:rPr>
              <w:t>MSD, 2019A</w:t>
            </w:r>
            <w:r w:rsidR="003B7EA0">
              <w:rPr>
                <w:rFonts w:cstheme="minorHAnsi"/>
                <w:sz w:val="20"/>
                <w:szCs w:val="20"/>
              </w:rPr>
              <w:t>).</w:t>
            </w:r>
            <w:r w:rsidR="003B7EA0" w:rsidRPr="005C579C">
              <w:rPr>
                <w:rFonts w:cstheme="minorHAnsi"/>
                <w:sz w:val="20"/>
                <w:szCs w:val="20"/>
              </w:rPr>
              <w:t xml:space="preserve"> </w:t>
            </w:r>
            <w:r w:rsidRPr="005C579C">
              <w:rPr>
                <w:rFonts w:cstheme="minorHAnsi"/>
                <w:sz w:val="20"/>
                <w:szCs w:val="20"/>
              </w:rPr>
              <w:t>While advice was provided to the Minister in 2019 about the Steps to Freedom grant, no increase has been implemented</w:t>
            </w:r>
            <w:r w:rsidR="00557E37">
              <w:rPr>
                <w:rFonts w:cstheme="minorHAnsi"/>
                <w:sz w:val="20"/>
                <w:szCs w:val="20"/>
              </w:rPr>
              <w:t xml:space="preserve"> (MSD, 2021h)</w:t>
            </w:r>
            <w:r w:rsidRPr="005C579C">
              <w:rPr>
                <w:rFonts w:cstheme="minorHAnsi"/>
                <w:sz w:val="20"/>
                <w:szCs w:val="20"/>
              </w:rPr>
              <w:t xml:space="preserve">. </w:t>
            </w:r>
          </w:p>
        </w:tc>
        <w:tc>
          <w:tcPr>
            <w:tcW w:w="2196" w:type="dxa"/>
            <w:gridSpan w:val="2"/>
            <w:shd w:val="clear" w:color="auto" w:fill="FFFFFF" w:themeFill="background1"/>
          </w:tcPr>
          <w:p w14:paraId="7D72DBA2" w14:textId="77777777" w:rsidR="007D5E58" w:rsidRPr="005C579C" w:rsidRDefault="007D5E58" w:rsidP="00A53840">
            <w:pPr>
              <w:ind w:left="0" w:firstLine="0"/>
              <w:rPr>
                <w:rFonts w:cstheme="minorHAnsi"/>
                <w:sz w:val="20"/>
                <w:szCs w:val="20"/>
              </w:rPr>
            </w:pPr>
            <w:r w:rsidRPr="005C579C">
              <w:rPr>
                <w:rFonts w:cstheme="minorHAnsi"/>
                <w:sz w:val="20"/>
                <w:szCs w:val="20"/>
              </w:rPr>
              <w:t>No change since November 2020.</w:t>
            </w:r>
          </w:p>
        </w:tc>
      </w:tr>
      <w:tr w:rsidR="007D5E58" w:rsidRPr="00CA2018" w14:paraId="1AD75F6B" w14:textId="77777777" w:rsidTr="00974425">
        <w:trPr>
          <w:trHeight w:val="310"/>
        </w:trPr>
        <w:tc>
          <w:tcPr>
            <w:tcW w:w="14665" w:type="dxa"/>
            <w:gridSpan w:val="11"/>
            <w:shd w:val="clear" w:color="auto" w:fill="DEEAF6" w:themeFill="accent5" w:themeFillTint="33"/>
          </w:tcPr>
          <w:p w14:paraId="2DFB401D" w14:textId="77777777" w:rsidR="007D5E58" w:rsidRPr="005C579C" w:rsidRDefault="007D5E58" w:rsidP="00974425">
            <w:pPr>
              <w:spacing w:before="120" w:after="120"/>
              <w:ind w:left="33" w:right="33" w:firstLine="0"/>
              <w:jc w:val="center"/>
              <w:rPr>
                <w:rFonts w:cstheme="minorHAnsi"/>
                <w:sz w:val="20"/>
                <w:szCs w:val="20"/>
              </w:rPr>
            </w:pPr>
            <w:r w:rsidRPr="005C579C">
              <w:rPr>
                <w:rFonts w:cstheme="minorHAnsi"/>
                <w:b/>
                <w:sz w:val="20"/>
                <w:szCs w:val="20"/>
              </w:rPr>
              <w:t>ACHIEVING SECURITY REQUIRES ADEQUATE INCOME</w:t>
            </w:r>
          </w:p>
        </w:tc>
      </w:tr>
      <w:tr w:rsidR="007D5E58" w:rsidRPr="00CA2018" w14:paraId="1ABA5E95" w14:textId="77777777" w:rsidTr="00974425">
        <w:trPr>
          <w:trHeight w:val="310"/>
        </w:trPr>
        <w:tc>
          <w:tcPr>
            <w:tcW w:w="3823" w:type="dxa"/>
            <w:gridSpan w:val="2"/>
          </w:tcPr>
          <w:p w14:paraId="53745F44"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Adopt the following 10 principles to redesign the income support system.</w:t>
            </w:r>
          </w:p>
          <w:p w14:paraId="327793EA"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Income support is adequate for meaningful participation in the community, and this support is maintained over time.</w:t>
            </w:r>
          </w:p>
          <w:p w14:paraId="3072342D"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Income support ensures people are always better off in paid work and high effective marginal tax rates are avoided as much as possible.</w:t>
            </w:r>
          </w:p>
          <w:p w14:paraId="284876B8"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Main benefits cover a larger proportion of people’s living costs than they do currently (reducing reliance on other assistance).</w:t>
            </w:r>
          </w:p>
          <w:p w14:paraId="7EFF388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Child-related payments follow the child and can be apportioned with shared care.</w:t>
            </w:r>
          </w:p>
          <w:p w14:paraId="20294C8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Payments for specific costs provide support that is adequate, appropriately designed and easy to access.</w:t>
            </w:r>
          </w:p>
          <w:p w14:paraId="6B6A49B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Changes to income support reduce disincentives to form relationships.</w:t>
            </w:r>
          </w:p>
          <w:p w14:paraId="679B97F2"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The income support system proactively supports people to access their full and correct entitlements and promotes these entitlements to the broader population.</w:t>
            </w:r>
          </w:p>
          <w:p w14:paraId="5721196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The income support system is easy to access and provides timely support, including to people transitioning in and out of the system.</w:t>
            </w:r>
          </w:p>
          <w:p w14:paraId="2BD91D67"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The income support system is as simple as possible balanced against the need to provide adequate support for people in a variety of circumstances at a reasonable cost to government.</w:t>
            </w:r>
          </w:p>
          <w:p w14:paraId="4349B1BD"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People are treated with dignity and respect when accessing this support.</w:t>
            </w:r>
          </w:p>
        </w:tc>
        <w:tc>
          <w:tcPr>
            <w:tcW w:w="1275" w:type="dxa"/>
            <w:gridSpan w:val="3"/>
          </w:tcPr>
          <w:p w14:paraId="7D3477C6"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33-39 (see Table 4).</w:t>
            </w:r>
          </w:p>
        </w:tc>
        <w:tc>
          <w:tcPr>
            <w:tcW w:w="3447" w:type="dxa"/>
            <w:gridSpan w:val="2"/>
          </w:tcPr>
          <w:p w14:paraId="60E3D825" w14:textId="0882DCCF"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“The income support system has experienced several changes since the release of WEAG report to align with the 10 principles outlined in recommendation 19”</w:t>
            </w:r>
            <w:r w:rsidR="00557E37">
              <w:rPr>
                <w:rFonts w:cstheme="minorHAnsi"/>
                <w:sz w:val="20"/>
                <w:szCs w:val="20"/>
              </w:rPr>
              <w:t xml:space="preserve"> (MSD, 2021d).</w:t>
            </w:r>
            <w:r w:rsidRPr="005C579C">
              <w:rPr>
                <w:rFonts w:cstheme="minorHAnsi"/>
                <w:sz w:val="20"/>
                <w:szCs w:val="20"/>
              </w:rPr>
              <w:t xml:space="preserve"> The Cabinet paper states that these principles have underpinned changes such as increases in benefits and benefit abatement thresholds, as well as amending the medical certificate process for work capacity assessment. They have stated “These principles continue to inform ongoing work including initial steps to review the operational policy, training and guidance on how staff determine relationships. MSD is also considering as part of its longer-term work programme a range of issues related to the unit of entitlement and how relationships interact with the welfare system.”</w:t>
            </w:r>
          </w:p>
        </w:tc>
        <w:tc>
          <w:tcPr>
            <w:tcW w:w="3924" w:type="dxa"/>
            <w:gridSpan w:val="2"/>
            <w:shd w:val="clear" w:color="auto" w:fill="F7CAAC" w:themeFill="accent2" w:themeFillTint="66"/>
          </w:tcPr>
          <w:p w14:paraId="1FE7EEF7" w14:textId="77777777" w:rsidR="007D5E58" w:rsidRPr="00CA2018" w:rsidRDefault="007D5E58" w:rsidP="00A53840">
            <w:pPr>
              <w:ind w:left="178" w:firstLine="0"/>
              <w:rPr>
                <w:sz w:val="20"/>
                <w:szCs w:val="20"/>
              </w:rPr>
            </w:pPr>
            <w:r w:rsidRPr="00CA2018">
              <w:rPr>
                <w:sz w:val="20"/>
                <w:szCs w:val="20"/>
              </w:rPr>
              <w:t>Minimal implementation.</w:t>
            </w:r>
          </w:p>
          <w:p w14:paraId="1FC7464F" w14:textId="77777777" w:rsidR="007D5E58" w:rsidRPr="00CA2018" w:rsidRDefault="007D5E58" w:rsidP="00A53840">
            <w:pPr>
              <w:ind w:left="178" w:firstLine="0"/>
              <w:rPr>
                <w:sz w:val="20"/>
                <w:szCs w:val="20"/>
              </w:rPr>
            </w:pPr>
          </w:p>
          <w:p w14:paraId="3AE1109A" w14:textId="00337F87" w:rsidR="007D5E58" w:rsidRPr="00CA2018" w:rsidRDefault="007D5E58" w:rsidP="00A53840">
            <w:pPr>
              <w:ind w:left="178" w:firstLine="0"/>
              <w:rPr>
                <w:sz w:val="20"/>
                <w:szCs w:val="20"/>
              </w:rPr>
            </w:pPr>
            <w:r w:rsidRPr="00CA2018">
              <w:rPr>
                <w:sz w:val="20"/>
                <w:szCs w:val="20"/>
              </w:rPr>
              <w:t>Budget 2021 increases mean that core benefits will cover a larger proportion of people’s living costs, and indexation to wages mean these increases will be maintained over time; however, as analyses such as that of Kore Hiakai demonstrate, rates remain too low for meaningful participation even after the April 2022 increases</w:t>
            </w:r>
            <w:r w:rsidR="00557E37">
              <w:rPr>
                <w:sz w:val="20"/>
                <w:szCs w:val="20"/>
              </w:rPr>
              <w:t xml:space="preserve"> (Kore Hiakai, 2021)</w:t>
            </w:r>
            <w:r w:rsidRPr="00CA2018">
              <w:rPr>
                <w:sz w:val="20"/>
                <w:szCs w:val="20"/>
              </w:rPr>
              <w:t>. Relationship rules have not been addressed, and people receiving benefits continue to report difficulty navigating a complex, and at times, dehumanising system.</w:t>
            </w:r>
          </w:p>
        </w:tc>
        <w:tc>
          <w:tcPr>
            <w:tcW w:w="2196" w:type="dxa"/>
            <w:gridSpan w:val="2"/>
            <w:shd w:val="clear" w:color="auto" w:fill="DEEAF6" w:themeFill="accent5" w:themeFillTint="33"/>
          </w:tcPr>
          <w:p w14:paraId="6746BDDB" w14:textId="77777777" w:rsidR="007D5E58" w:rsidRPr="00CA2018" w:rsidRDefault="007D5E58" w:rsidP="00A53840">
            <w:pPr>
              <w:ind w:left="178" w:firstLine="0"/>
              <w:rPr>
                <w:sz w:val="20"/>
                <w:szCs w:val="20"/>
              </w:rPr>
            </w:pPr>
            <w:r w:rsidRPr="00CA2018">
              <w:rPr>
                <w:sz w:val="20"/>
                <w:szCs w:val="20"/>
              </w:rPr>
              <w:t xml:space="preserve">Progressed from no implementation to minimal implementation. </w:t>
            </w:r>
          </w:p>
          <w:p w14:paraId="1FEE7990" w14:textId="77777777" w:rsidR="007D5E58" w:rsidRPr="00CA2018" w:rsidRDefault="007D5E58" w:rsidP="00A53840">
            <w:pPr>
              <w:ind w:left="178" w:firstLine="0"/>
              <w:rPr>
                <w:sz w:val="20"/>
                <w:szCs w:val="20"/>
              </w:rPr>
            </w:pPr>
          </w:p>
        </w:tc>
      </w:tr>
      <w:tr w:rsidR="007D5E58" w:rsidRPr="00CA2018" w14:paraId="1B24F63D" w14:textId="77777777" w:rsidTr="00974425">
        <w:trPr>
          <w:trHeight w:val="310"/>
        </w:trPr>
        <w:tc>
          <w:tcPr>
            <w:tcW w:w="3823" w:type="dxa"/>
            <w:gridSpan w:val="2"/>
          </w:tcPr>
          <w:p w14:paraId="7ACB48BA"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Reform main benefits by:</w:t>
            </w:r>
          </w:p>
          <w:p w14:paraId="63B1F62A"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increasing main benefits by between 12% and 47% as set out in Chapter 7, Table 2, page 99</w:t>
            </w:r>
          </w:p>
          <w:p w14:paraId="3D3D86F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increasing the abatement thresholds for:</w:t>
            </w:r>
          </w:p>
          <w:p w14:paraId="7C70A107" w14:textId="77777777" w:rsidR="007D5E58" w:rsidRPr="005C579C" w:rsidRDefault="007D5E58" w:rsidP="00974425">
            <w:pPr>
              <w:pStyle w:val="ListParagraph"/>
              <w:numPr>
                <w:ilvl w:val="1"/>
                <w:numId w:val="5"/>
              </w:numPr>
              <w:ind w:left="623"/>
              <w:rPr>
                <w:rFonts w:cstheme="minorHAnsi"/>
                <w:sz w:val="20"/>
                <w:szCs w:val="20"/>
              </w:rPr>
            </w:pPr>
            <w:r w:rsidRPr="005C579C">
              <w:rPr>
                <w:rFonts w:cstheme="minorHAnsi"/>
                <w:sz w:val="20"/>
                <w:szCs w:val="20"/>
              </w:rPr>
              <w:t>Jobseeker Support to $150 a week</w:t>
            </w:r>
          </w:p>
          <w:p w14:paraId="07DE72D2" w14:textId="77777777" w:rsidR="007D5E58" w:rsidRPr="005C579C" w:rsidRDefault="007D5E58" w:rsidP="00974425">
            <w:pPr>
              <w:pStyle w:val="ListParagraph"/>
              <w:numPr>
                <w:ilvl w:val="1"/>
                <w:numId w:val="5"/>
              </w:numPr>
              <w:ind w:left="623"/>
              <w:rPr>
                <w:rFonts w:cstheme="minorHAnsi"/>
                <w:sz w:val="20"/>
                <w:szCs w:val="20"/>
              </w:rPr>
            </w:pPr>
            <w:r w:rsidRPr="005C579C">
              <w:rPr>
                <w:rFonts w:cstheme="minorHAnsi"/>
                <w:sz w:val="20"/>
                <w:szCs w:val="20"/>
              </w:rPr>
              <w:t>Sole Parent Support and Supported Living Payment to $150 a week and $250 a week.</w:t>
            </w:r>
          </w:p>
        </w:tc>
        <w:tc>
          <w:tcPr>
            <w:tcW w:w="1275" w:type="dxa"/>
            <w:gridSpan w:val="3"/>
          </w:tcPr>
          <w:p w14:paraId="7BE79DB4"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Nil </w:t>
            </w:r>
          </w:p>
          <w:p w14:paraId="7F9A042A" w14:textId="77777777" w:rsidR="007D5E58" w:rsidRPr="005C579C" w:rsidRDefault="007D5E58" w:rsidP="00974425">
            <w:pPr>
              <w:ind w:left="33" w:right="33" w:firstLine="0"/>
              <w:rPr>
                <w:rFonts w:cstheme="minorHAnsi"/>
                <w:sz w:val="20"/>
                <w:szCs w:val="20"/>
              </w:rPr>
            </w:pPr>
          </w:p>
          <w:p w14:paraId="529EB02D" w14:textId="77777777" w:rsidR="007D5E58" w:rsidRPr="005C579C" w:rsidRDefault="007D5E58" w:rsidP="00974425">
            <w:pPr>
              <w:ind w:left="33" w:right="33" w:firstLine="0"/>
              <w:rPr>
                <w:rFonts w:cstheme="minorHAnsi"/>
                <w:sz w:val="20"/>
                <w:szCs w:val="20"/>
              </w:rPr>
            </w:pPr>
          </w:p>
        </w:tc>
        <w:tc>
          <w:tcPr>
            <w:tcW w:w="3447" w:type="dxa"/>
            <w:gridSpan w:val="2"/>
          </w:tcPr>
          <w:p w14:paraId="2CD97DFF" w14:textId="03A5D3BB" w:rsidR="007D5E58" w:rsidRPr="005C579C" w:rsidRDefault="007D5E58" w:rsidP="00A53840">
            <w:pPr>
              <w:ind w:left="178" w:firstLine="0"/>
              <w:rPr>
                <w:rFonts w:cstheme="minorHAnsi"/>
                <w:sz w:val="20"/>
                <w:szCs w:val="20"/>
              </w:rPr>
            </w:pPr>
            <w:r w:rsidRPr="005C579C">
              <w:rPr>
                <w:rFonts w:cstheme="minorHAnsi"/>
                <w:sz w:val="20"/>
                <w:szCs w:val="20"/>
              </w:rPr>
              <w:t>As part of Budget 2021, the Government announced a boost to main benefits, rolled out in two stages. The Government stated that benefits would increase by $20 in July 2021, and in April 2022, they would increase “by a range of amounts to meet the levels recommended by WEAG”</w:t>
            </w:r>
            <w:r w:rsidR="00557E37">
              <w:rPr>
                <w:rFonts w:cstheme="minorHAnsi"/>
                <w:sz w:val="20"/>
                <w:szCs w:val="20"/>
              </w:rPr>
              <w:t xml:space="preserve"> (Robertson, 2021).</w:t>
            </w:r>
          </w:p>
          <w:p w14:paraId="2EC37CB3" w14:textId="77777777" w:rsidR="007D5E58" w:rsidRPr="005C579C" w:rsidRDefault="007D5E58" w:rsidP="00A53840">
            <w:pPr>
              <w:ind w:left="178" w:firstLine="0"/>
              <w:rPr>
                <w:rFonts w:cstheme="minorHAnsi"/>
                <w:sz w:val="20"/>
                <w:szCs w:val="20"/>
              </w:rPr>
            </w:pPr>
          </w:p>
          <w:p w14:paraId="1C93A96F" w14:textId="448E84E2"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“Youth rates of main benefits will be the only rates that remain below those recommended by WEAG, for those not already paid at the adult rate</w:t>
            </w:r>
            <w:r w:rsidR="00557E37">
              <w:rPr>
                <w:rFonts w:cstheme="minorHAnsi"/>
                <w:sz w:val="20"/>
                <w:szCs w:val="20"/>
              </w:rPr>
              <w:t>”.</w:t>
            </w:r>
          </w:p>
          <w:p w14:paraId="67D7C8F6" w14:textId="350A0607" w:rsidR="007D5E58" w:rsidRPr="005C579C" w:rsidRDefault="007D5E58" w:rsidP="00A53840">
            <w:pPr>
              <w:ind w:left="178" w:firstLine="0"/>
              <w:rPr>
                <w:rFonts w:cstheme="minorHAnsi"/>
                <w:sz w:val="20"/>
                <w:szCs w:val="20"/>
              </w:rPr>
            </w:pPr>
            <w:r w:rsidRPr="005C579C">
              <w:rPr>
                <w:rFonts w:cstheme="minorHAnsi"/>
                <w:sz w:val="20"/>
                <w:szCs w:val="20"/>
              </w:rPr>
              <w:t>It also stated “There are significant implications for studying and training incentives by raising these rates, that require careful consideration</w:t>
            </w:r>
            <w:r w:rsidR="00557E37">
              <w:rPr>
                <w:rFonts w:cstheme="minorHAnsi"/>
                <w:sz w:val="20"/>
                <w:szCs w:val="20"/>
              </w:rPr>
              <w:t>” (MSD, 2021d).</w:t>
            </w:r>
          </w:p>
          <w:p w14:paraId="5C4563B3" w14:textId="77777777" w:rsidR="007D5E58" w:rsidRPr="005C579C" w:rsidRDefault="007D5E58" w:rsidP="00A53840">
            <w:pPr>
              <w:ind w:left="178" w:firstLine="0"/>
              <w:rPr>
                <w:rFonts w:cstheme="minorHAnsi"/>
                <w:sz w:val="20"/>
                <w:szCs w:val="20"/>
              </w:rPr>
            </w:pPr>
          </w:p>
        </w:tc>
        <w:tc>
          <w:tcPr>
            <w:tcW w:w="3924" w:type="dxa"/>
            <w:gridSpan w:val="2"/>
            <w:shd w:val="clear" w:color="auto" w:fill="FFE599" w:themeFill="accent4" w:themeFillTint="66"/>
          </w:tcPr>
          <w:p w14:paraId="6D0EBE2A" w14:textId="77777777" w:rsidR="007D5E58" w:rsidRPr="00CA2018" w:rsidRDefault="007D5E58" w:rsidP="00A53840">
            <w:pPr>
              <w:spacing w:after="120"/>
              <w:ind w:left="176" w:firstLine="0"/>
              <w:rPr>
                <w:sz w:val="20"/>
                <w:szCs w:val="20"/>
              </w:rPr>
            </w:pPr>
            <w:r w:rsidRPr="00CA2018">
              <w:rPr>
                <w:sz w:val="20"/>
                <w:szCs w:val="20"/>
              </w:rPr>
              <w:t>Partially implemented.</w:t>
            </w:r>
          </w:p>
          <w:p w14:paraId="69A23FED" w14:textId="77777777" w:rsidR="007D5E58" w:rsidRPr="00CA2018" w:rsidRDefault="007D5E58" w:rsidP="00A53840">
            <w:pPr>
              <w:spacing w:after="120"/>
              <w:ind w:left="176" w:firstLine="0"/>
              <w:rPr>
                <w:sz w:val="20"/>
                <w:szCs w:val="20"/>
              </w:rPr>
            </w:pPr>
            <w:r w:rsidRPr="00CA2018">
              <w:rPr>
                <w:sz w:val="20"/>
                <w:szCs w:val="20"/>
              </w:rPr>
              <w:t xml:space="preserve">Increased abatement thresholds as of 1 April 2021 meet the levels recommended by WEAG. </w:t>
            </w:r>
          </w:p>
          <w:p w14:paraId="107B4BE1" w14:textId="77777777" w:rsidR="007D5E58" w:rsidRPr="00CA2018" w:rsidRDefault="007D5E58" w:rsidP="00A53840">
            <w:pPr>
              <w:ind w:left="178" w:firstLine="0"/>
              <w:rPr>
                <w:sz w:val="20"/>
                <w:szCs w:val="20"/>
              </w:rPr>
            </w:pPr>
            <w:r w:rsidRPr="00CA2018">
              <w:rPr>
                <w:sz w:val="20"/>
                <w:szCs w:val="20"/>
              </w:rPr>
              <w:t xml:space="preserve">The benefit increases announced as part of Budget 2021 mean that the benefit rates recommended by WEAG </w:t>
            </w:r>
            <w:r>
              <w:rPr>
                <w:sz w:val="20"/>
                <w:szCs w:val="20"/>
              </w:rPr>
              <w:t xml:space="preserve">- </w:t>
            </w:r>
            <w:r w:rsidRPr="001A5B2E">
              <w:rPr>
                <w:bCs/>
                <w:sz w:val="20"/>
                <w:szCs w:val="20"/>
              </w:rPr>
              <w:t xml:space="preserve">except for </w:t>
            </w:r>
            <w:r>
              <w:rPr>
                <w:bCs/>
                <w:sz w:val="20"/>
                <w:szCs w:val="20"/>
              </w:rPr>
              <w:t>single young people 18-24 years (see below)</w:t>
            </w:r>
            <w:r>
              <w:rPr>
                <w:sz w:val="20"/>
                <w:szCs w:val="20"/>
              </w:rPr>
              <w:t xml:space="preserve">- </w:t>
            </w:r>
            <w:r w:rsidRPr="00CA2018">
              <w:rPr>
                <w:sz w:val="20"/>
                <w:szCs w:val="20"/>
              </w:rPr>
              <w:t xml:space="preserve">will be met in </w:t>
            </w:r>
            <w:r w:rsidRPr="00CA2018">
              <w:rPr>
                <w:i/>
                <w:iCs/>
                <w:sz w:val="20"/>
                <w:szCs w:val="20"/>
              </w:rPr>
              <w:t xml:space="preserve">nominal </w:t>
            </w:r>
            <w:r w:rsidRPr="00CA2018">
              <w:rPr>
                <w:sz w:val="20"/>
                <w:szCs w:val="20"/>
              </w:rPr>
              <w:t xml:space="preserve">terms by 1 April 2022; however, we note that in wage-adjusted terms these increases fall slightly short for coupled families and single people without children. </w:t>
            </w:r>
          </w:p>
          <w:p w14:paraId="651AB5FA" w14:textId="77777777" w:rsidR="007D5E58" w:rsidRPr="00CA2018" w:rsidRDefault="007D5E58" w:rsidP="00A53840">
            <w:pPr>
              <w:ind w:left="178" w:firstLine="0"/>
              <w:rPr>
                <w:sz w:val="20"/>
                <w:szCs w:val="20"/>
              </w:rPr>
            </w:pPr>
          </w:p>
          <w:p w14:paraId="4CC41D59" w14:textId="77777777" w:rsidR="007D5E58" w:rsidRPr="003C4AFA" w:rsidRDefault="007D5E58" w:rsidP="00A53840">
            <w:pPr>
              <w:ind w:left="176" w:hanging="20"/>
              <w:rPr>
                <w:sz w:val="20"/>
                <w:szCs w:val="20"/>
              </w:rPr>
            </w:pPr>
            <w:r w:rsidRPr="003C4AFA">
              <w:rPr>
                <w:sz w:val="20"/>
                <w:szCs w:val="20"/>
              </w:rPr>
              <w:t>Youth payment rates: Jobseeker Support benefits for both single people 18-19 years living away from home and 20-24 year olds are well below the 25 years and over rate. This is contrary to WEAG’s recommendation that these be brought in line with the adult rates. WEAG’s</w:t>
            </w:r>
            <w:r w:rsidRPr="003C4AFA">
              <w:rPr>
                <w:rFonts w:cs="Museo Sans 300"/>
                <w:color w:val="000000"/>
                <w:sz w:val="20"/>
                <w:szCs w:val="20"/>
              </w:rPr>
              <w:t xml:space="preserve"> reason was that there is no evidence that living costs are significantly lower for single young people 18-24 years old than for people 25years+.</w:t>
            </w:r>
          </w:p>
          <w:p w14:paraId="1AA6BDE5" w14:textId="77777777" w:rsidR="007D5E58" w:rsidRPr="00CA2018" w:rsidRDefault="007D5E58" w:rsidP="00A53840">
            <w:pPr>
              <w:ind w:left="178" w:firstLine="0"/>
              <w:rPr>
                <w:sz w:val="20"/>
                <w:szCs w:val="20"/>
              </w:rPr>
            </w:pPr>
          </w:p>
        </w:tc>
        <w:tc>
          <w:tcPr>
            <w:tcW w:w="2196" w:type="dxa"/>
            <w:gridSpan w:val="2"/>
            <w:shd w:val="clear" w:color="auto" w:fill="DEEAF6" w:themeFill="accent5" w:themeFillTint="33"/>
          </w:tcPr>
          <w:p w14:paraId="09CFB683" w14:textId="77777777" w:rsidR="007D5E58" w:rsidRPr="00CA2018" w:rsidRDefault="007D5E58" w:rsidP="00A53840">
            <w:pPr>
              <w:spacing w:after="120"/>
              <w:ind w:left="176" w:firstLine="0"/>
              <w:rPr>
                <w:sz w:val="20"/>
                <w:szCs w:val="20"/>
              </w:rPr>
            </w:pPr>
            <w:r w:rsidRPr="00CA2018">
              <w:rPr>
                <w:sz w:val="20"/>
                <w:szCs w:val="20"/>
              </w:rPr>
              <w:t>Progressed from minimal to partial implementation.</w:t>
            </w:r>
          </w:p>
          <w:p w14:paraId="00997B89" w14:textId="77777777" w:rsidR="007D5E58" w:rsidRPr="00CA2018" w:rsidRDefault="007D5E58" w:rsidP="00A53840">
            <w:pPr>
              <w:spacing w:after="120"/>
              <w:ind w:left="176" w:firstLine="0"/>
              <w:rPr>
                <w:sz w:val="20"/>
                <w:szCs w:val="20"/>
              </w:rPr>
            </w:pPr>
          </w:p>
        </w:tc>
      </w:tr>
      <w:tr w:rsidR="007D5E58" w:rsidRPr="00CA2018" w14:paraId="7A7226B3" w14:textId="77777777" w:rsidTr="00974425">
        <w:trPr>
          <w:trHeight w:val="310"/>
        </w:trPr>
        <w:tc>
          <w:tcPr>
            <w:tcW w:w="3823" w:type="dxa"/>
            <w:gridSpan w:val="2"/>
          </w:tcPr>
          <w:p w14:paraId="74072FDD"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Fully index all income support payments and thresholds annually to movements in average wages or prices, whichever is the greater. Index Accommodation Supplement rates to movements in housing costs.</w:t>
            </w:r>
          </w:p>
        </w:tc>
        <w:tc>
          <w:tcPr>
            <w:tcW w:w="1275" w:type="dxa"/>
            <w:gridSpan w:val="3"/>
          </w:tcPr>
          <w:p w14:paraId="52C43558"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4C3F6389" w14:textId="6679F784"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highlighted that indexation of main benefits to movements in average wages was passed as part of Budget 2019, implemented in April 2020. The government also stated that “From 1 April 2022, the income thresholds for Childcare Assistance will be adjusted annually in line with average wage growth</w:t>
            </w:r>
            <w:r w:rsidR="00557E37">
              <w:rPr>
                <w:rFonts w:cstheme="minorHAnsi"/>
                <w:sz w:val="20"/>
                <w:szCs w:val="20"/>
              </w:rPr>
              <w:t>” (MSD, 2021d).</w:t>
            </w:r>
          </w:p>
        </w:tc>
        <w:tc>
          <w:tcPr>
            <w:tcW w:w="3924" w:type="dxa"/>
            <w:gridSpan w:val="2"/>
            <w:shd w:val="clear" w:color="auto" w:fill="FFE599" w:themeFill="accent4" w:themeFillTint="66"/>
          </w:tcPr>
          <w:p w14:paraId="36DA4E32" w14:textId="77777777" w:rsidR="007D5E58" w:rsidRPr="00CA2018" w:rsidRDefault="007D5E58" w:rsidP="00A53840">
            <w:pPr>
              <w:ind w:left="178" w:firstLine="0"/>
              <w:rPr>
                <w:sz w:val="20"/>
                <w:szCs w:val="20"/>
              </w:rPr>
            </w:pPr>
            <w:r w:rsidRPr="00CA2018">
              <w:rPr>
                <w:sz w:val="20"/>
                <w:szCs w:val="20"/>
              </w:rPr>
              <w:t xml:space="preserve">Partially implemented. </w:t>
            </w:r>
          </w:p>
          <w:p w14:paraId="6FF69C51" w14:textId="77777777" w:rsidR="007D5E58" w:rsidRPr="00CA2018" w:rsidRDefault="007D5E58" w:rsidP="00A53840">
            <w:pPr>
              <w:ind w:left="178" w:firstLine="0"/>
              <w:rPr>
                <w:sz w:val="20"/>
                <w:szCs w:val="20"/>
              </w:rPr>
            </w:pPr>
          </w:p>
          <w:p w14:paraId="62D7CC8E" w14:textId="77777777" w:rsidR="007D5E58" w:rsidRPr="00CA2018" w:rsidRDefault="007D5E58" w:rsidP="00A53840">
            <w:pPr>
              <w:ind w:left="178" w:firstLine="0"/>
              <w:rPr>
                <w:sz w:val="20"/>
                <w:szCs w:val="20"/>
              </w:rPr>
            </w:pPr>
            <w:r w:rsidRPr="00CA2018">
              <w:rPr>
                <w:sz w:val="20"/>
                <w:szCs w:val="20"/>
              </w:rPr>
              <w:t>Main benefits have been indexed to wages, which is a welcome and important structural change.</w:t>
            </w:r>
          </w:p>
          <w:p w14:paraId="0BCF4A9E" w14:textId="77777777" w:rsidR="007D5E58" w:rsidRPr="00CA2018" w:rsidRDefault="007D5E58" w:rsidP="00A53840">
            <w:pPr>
              <w:ind w:left="178" w:firstLine="0"/>
              <w:rPr>
                <w:sz w:val="20"/>
                <w:szCs w:val="20"/>
              </w:rPr>
            </w:pPr>
          </w:p>
          <w:p w14:paraId="2A6E3983" w14:textId="63067ADA" w:rsidR="007D5E58" w:rsidRPr="00CA2018" w:rsidRDefault="007D5E58" w:rsidP="00A53840">
            <w:pPr>
              <w:ind w:left="178" w:firstLine="0"/>
              <w:rPr>
                <w:i/>
                <w:iCs/>
                <w:sz w:val="20"/>
                <w:szCs w:val="20"/>
              </w:rPr>
            </w:pPr>
            <w:r w:rsidRPr="00CA2018">
              <w:rPr>
                <w:sz w:val="20"/>
                <w:szCs w:val="20"/>
              </w:rPr>
              <w:t>However, no parts of Working For Families have been indexed to wages – all are “income support payments”. As CPAG’s May 2021 analysis demonstrated, a lack of indexation of Working for Families has led to an erosion in value of this crucial income support for children</w:t>
            </w:r>
            <w:r w:rsidR="00557E37">
              <w:rPr>
                <w:sz w:val="20"/>
                <w:szCs w:val="20"/>
              </w:rPr>
              <w:t xml:space="preserve"> (Neuwelt-Kearns &amp; St John, 2021).</w:t>
            </w:r>
          </w:p>
          <w:p w14:paraId="61A10D36" w14:textId="77777777" w:rsidR="007D5E58" w:rsidRPr="00CA2018" w:rsidRDefault="007D5E58" w:rsidP="00A53840">
            <w:pPr>
              <w:ind w:left="0" w:firstLine="0"/>
              <w:rPr>
                <w:sz w:val="20"/>
                <w:szCs w:val="20"/>
              </w:rPr>
            </w:pPr>
          </w:p>
          <w:p w14:paraId="7A84BA6A" w14:textId="77777777" w:rsidR="007D5E58" w:rsidRPr="00CA2018" w:rsidRDefault="007D5E58" w:rsidP="00A53840">
            <w:pPr>
              <w:ind w:left="178" w:firstLine="0"/>
              <w:rPr>
                <w:sz w:val="20"/>
                <w:szCs w:val="20"/>
              </w:rPr>
            </w:pPr>
            <w:r w:rsidRPr="00CA2018">
              <w:rPr>
                <w:sz w:val="20"/>
                <w:szCs w:val="20"/>
              </w:rPr>
              <w:t xml:space="preserve">Accommodation Supplement rates have not been indexed to movements in housing costs; however, in CPAG’s view, the preferred approach would be to lift </w:t>
            </w:r>
            <w:r>
              <w:rPr>
                <w:sz w:val="20"/>
                <w:szCs w:val="20"/>
              </w:rPr>
              <w:t xml:space="preserve">non-AS </w:t>
            </w:r>
            <w:r w:rsidRPr="00CA2018">
              <w:rPr>
                <w:sz w:val="20"/>
                <w:szCs w:val="20"/>
              </w:rPr>
              <w:t xml:space="preserve">incomes to adequate levels to cover </w:t>
            </w:r>
            <w:r>
              <w:rPr>
                <w:sz w:val="20"/>
                <w:szCs w:val="20"/>
              </w:rPr>
              <w:t xml:space="preserve">more </w:t>
            </w:r>
            <w:r w:rsidRPr="00CA2018">
              <w:rPr>
                <w:sz w:val="20"/>
                <w:szCs w:val="20"/>
              </w:rPr>
              <w:t>housing costs too</w:t>
            </w:r>
            <w:r>
              <w:rPr>
                <w:sz w:val="20"/>
                <w:szCs w:val="20"/>
              </w:rPr>
              <w:t xml:space="preserve"> (and reduce housing costs via housing mechanisms)</w:t>
            </w:r>
            <w:r w:rsidRPr="00CA2018">
              <w:rPr>
                <w:sz w:val="20"/>
                <w:szCs w:val="20"/>
              </w:rPr>
              <w:t>. This needs further consideration.</w:t>
            </w:r>
          </w:p>
          <w:p w14:paraId="50F060A1" w14:textId="77777777" w:rsidR="007D5E58" w:rsidRPr="00CA2018" w:rsidRDefault="007D5E58" w:rsidP="00A53840">
            <w:pPr>
              <w:ind w:left="178" w:firstLine="0"/>
              <w:rPr>
                <w:sz w:val="20"/>
                <w:szCs w:val="20"/>
              </w:rPr>
            </w:pPr>
          </w:p>
        </w:tc>
        <w:tc>
          <w:tcPr>
            <w:tcW w:w="2196" w:type="dxa"/>
            <w:gridSpan w:val="2"/>
            <w:shd w:val="clear" w:color="auto" w:fill="FFFFFF" w:themeFill="background1"/>
          </w:tcPr>
          <w:p w14:paraId="30B7DE86" w14:textId="77777777" w:rsidR="007D5E58" w:rsidRPr="00CA2018" w:rsidRDefault="007D5E58" w:rsidP="00A53840">
            <w:pPr>
              <w:ind w:left="178" w:firstLine="0"/>
              <w:rPr>
                <w:sz w:val="20"/>
                <w:szCs w:val="20"/>
              </w:rPr>
            </w:pPr>
            <w:r w:rsidRPr="00CA2018">
              <w:rPr>
                <w:sz w:val="20"/>
                <w:szCs w:val="20"/>
              </w:rPr>
              <w:t xml:space="preserve">No change since November 2020. </w:t>
            </w:r>
          </w:p>
          <w:p w14:paraId="18E092F3" w14:textId="77777777" w:rsidR="007D5E58" w:rsidRPr="00CA2018" w:rsidRDefault="007D5E58" w:rsidP="00A53840">
            <w:pPr>
              <w:ind w:left="178" w:firstLine="0"/>
              <w:rPr>
                <w:sz w:val="20"/>
                <w:szCs w:val="20"/>
              </w:rPr>
            </w:pPr>
          </w:p>
        </w:tc>
      </w:tr>
      <w:tr w:rsidR="007D5E58" w:rsidRPr="00CA2018" w14:paraId="487C2742" w14:textId="77777777" w:rsidTr="00974425">
        <w:trPr>
          <w:trHeight w:val="310"/>
        </w:trPr>
        <w:tc>
          <w:tcPr>
            <w:tcW w:w="3823" w:type="dxa"/>
            <w:gridSpan w:val="2"/>
          </w:tcPr>
          <w:p w14:paraId="0843AA99" w14:textId="77777777" w:rsidR="007D5E58" w:rsidRPr="005C579C" w:rsidRDefault="007D5E58" w:rsidP="00974425">
            <w:pPr>
              <w:pStyle w:val="ListParagraph"/>
              <w:numPr>
                <w:ilvl w:val="0"/>
                <w:numId w:val="3"/>
              </w:numPr>
              <w:spacing w:before="120"/>
              <w:ind w:left="58" w:firstLine="0"/>
              <w:rPr>
                <w:rFonts w:cstheme="minorHAnsi"/>
                <w:sz w:val="20"/>
                <w:szCs w:val="20"/>
              </w:rPr>
            </w:pPr>
            <w:r w:rsidRPr="005C579C">
              <w:rPr>
                <w:rFonts w:cstheme="minorHAnsi"/>
                <w:sz w:val="20"/>
                <w:szCs w:val="20"/>
              </w:rPr>
              <w:t>Consider introducing a Living Alone Payment that contributes to the additional costs of adults living alone (without another adult) on a low income.</w:t>
            </w:r>
          </w:p>
        </w:tc>
        <w:tc>
          <w:tcPr>
            <w:tcW w:w="1275" w:type="dxa"/>
            <w:gridSpan w:val="3"/>
          </w:tcPr>
          <w:p w14:paraId="26F475F1" w14:textId="77777777" w:rsidR="007D5E58" w:rsidRPr="005C579C" w:rsidRDefault="007D5E58" w:rsidP="00974425">
            <w:pPr>
              <w:spacing w:before="120"/>
              <w:ind w:left="33" w:right="33" w:firstLine="0"/>
              <w:rPr>
                <w:rFonts w:cstheme="minorHAnsi"/>
                <w:sz w:val="20"/>
                <w:szCs w:val="20"/>
              </w:rPr>
            </w:pPr>
            <w:r w:rsidRPr="005C579C">
              <w:rPr>
                <w:rFonts w:cstheme="minorHAnsi"/>
                <w:sz w:val="20"/>
                <w:szCs w:val="20"/>
              </w:rPr>
              <w:t>Nil</w:t>
            </w:r>
          </w:p>
        </w:tc>
        <w:tc>
          <w:tcPr>
            <w:tcW w:w="3447" w:type="dxa"/>
            <w:gridSpan w:val="2"/>
          </w:tcPr>
          <w:p w14:paraId="0B5D6789" w14:textId="5BB538B0"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A 27 September 2021 Cabinet paper, Appendix Three, stated that “This work remains on the welfare overhaul work programme and will be considered as part of work to improve the income support system</w:t>
            </w:r>
            <w:r w:rsidR="00821AD1">
              <w:rPr>
                <w:rFonts w:cstheme="minorHAnsi"/>
                <w:sz w:val="20"/>
                <w:szCs w:val="20"/>
              </w:rPr>
              <w:t>” (MSD, 2021d).</w:t>
            </w:r>
          </w:p>
        </w:tc>
        <w:tc>
          <w:tcPr>
            <w:tcW w:w="3924" w:type="dxa"/>
            <w:gridSpan w:val="2"/>
            <w:shd w:val="clear" w:color="auto" w:fill="FFA5A5"/>
          </w:tcPr>
          <w:p w14:paraId="1959A31A" w14:textId="77777777" w:rsidR="007D5E58" w:rsidRPr="00CA2018" w:rsidRDefault="007D5E58" w:rsidP="00A53840">
            <w:pPr>
              <w:spacing w:before="120"/>
              <w:ind w:left="176" w:firstLine="0"/>
              <w:rPr>
                <w:sz w:val="20"/>
                <w:szCs w:val="20"/>
              </w:rPr>
            </w:pPr>
            <w:r w:rsidRPr="00CA2018">
              <w:rPr>
                <w:sz w:val="20"/>
                <w:szCs w:val="20"/>
              </w:rPr>
              <w:t>No evidence of implementation.</w:t>
            </w:r>
          </w:p>
          <w:p w14:paraId="1ED2D5FE" w14:textId="77777777" w:rsidR="007D5E58" w:rsidRPr="00CA2018" w:rsidRDefault="007D5E58" w:rsidP="00A53840">
            <w:pPr>
              <w:ind w:left="178" w:firstLine="0"/>
              <w:rPr>
                <w:sz w:val="20"/>
                <w:szCs w:val="20"/>
              </w:rPr>
            </w:pPr>
          </w:p>
          <w:p w14:paraId="196837EF" w14:textId="77777777" w:rsidR="007D5E58" w:rsidRPr="00CA2018" w:rsidRDefault="007D5E58" w:rsidP="00A53840">
            <w:pPr>
              <w:ind w:left="178" w:firstLine="0"/>
              <w:rPr>
                <w:sz w:val="20"/>
                <w:szCs w:val="20"/>
              </w:rPr>
            </w:pPr>
            <w:r w:rsidRPr="00CA2018">
              <w:rPr>
                <w:sz w:val="20"/>
                <w:szCs w:val="20"/>
              </w:rPr>
              <w:t>In CPAG’s view, the introduction of a Living Alone Payment is not a priority for children in poverty.</w:t>
            </w:r>
          </w:p>
        </w:tc>
        <w:tc>
          <w:tcPr>
            <w:tcW w:w="2196" w:type="dxa"/>
            <w:gridSpan w:val="2"/>
            <w:shd w:val="clear" w:color="auto" w:fill="FFFFFF" w:themeFill="background1"/>
          </w:tcPr>
          <w:p w14:paraId="4E368A50" w14:textId="77777777" w:rsidR="007D5E58" w:rsidRPr="00CA2018" w:rsidRDefault="007D5E58" w:rsidP="00A53840">
            <w:pPr>
              <w:ind w:left="178" w:firstLine="0"/>
              <w:rPr>
                <w:sz w:val="20"/>
                <w:szCs w:val="20"/>
              </w:rPr>
            </w:pPr>
            <w:r w:rsidRPr="00CA2018">
              <w:rPr>
                <w:sz w:val="20"/>
                <w:szCs w:val="20"/>
              </w:rPr>
              <w:t xml:space="preserve">No change since November 2020. </w:t>
            </w:r>
          </w:p>
          <w:p w14:paraId="1D650BA3" w14:textId="77777777" w:rsidR="007D5E58" w:rsidRPr="00CA2018" w:rsidRDefault="007D5E58" w:rsidP="00A53840">
            <w:pPr>
              <w:spacing w:before="120"/>
              <w:ind w:left="176" w:firstLine="0"/>
              <w:rPr>
                <w:sz w:val="20"/>
                <w:szCs w:val="20"/>
              </w:rPr>
            </w:pPr>
          </w:p>
        </w:tc>
      </w:tr>
      <w:tr w:rsidR="007D5E58" w:rsidRPr="00CA2018" w14:paraId="735EE538" w14:textId="77777777" w:rsidTr="00974425">
        <w:trPr>
          <w:trHeight w:val="310"/>
        </w:trPr>
        <w:tc>
          <w:tcPr>
            <w:tcW w:w="3823" w:type="dxa"/>
            <w:gridSpan w:val="2"/>
          </w:tcPr>
          <w:p w14:paraId="5DFAEDE9"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Reform Working for Families and other tax credits by:</w:t>
            </w:r>
          </w:p>
          <w:p w14:paraId="7E85E2CD"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increasing the Family Tax Credit to $170 a week for the eldest child and to $120 a week for subsequent children</w:t>
            </w:r>
          </w:p>
          <w:p w14:paraId="715AC689"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increasing the abatement threshold for the Family Tax Credit and changing the abatement rate to:</w:t>
            </w:r>
          </w:p>
          <w:p w14:paraId="427F5D8C"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10% on family annual incomes between $48,000 and $65,000</w:t>
            </w:r>
          </w:p>
          <w:p w14:paraId="2B348D5E"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15% on family annual incomes between $65,000 and $160,000</w:t>
            </w:r>
          </w:p>
          <w:p w14:paraId="1A2009E5"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50% on family annual incomes in excess of $160,000</w:t>
            </w:r>
          </w:p>
          <w:p w14:paraId="5A285940"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replacing the In-Work Tax Credit, Minimum Family Tax Credit and Independent Earner Tax Credit with a new Earned Income Tax Credit</w:t>
            </w:r>
          </w:p>
          <w:p w14:paraId="58F4DBE4"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introducing an Earned Income Tax Credit of up to $50 a week for people with and without children and with a couple-based income test</w:t>
            </w:r>
          </w:p>
          <w:p w14:paraId="44A4AC65" w14:textId="77777777" w:rsidR="007D5E58" w:rsidRPr="005C579C" w:rsidRDefault="007D5E58" w:rsidP="00974425">
            <w:pPr>
              <w:pStyle w:val="ListParagraph"/>
              <w:numPr>
                <w:ilvl w:val="0"/>
                <w:numId w:val="5"/>
              </w:numPr>
              <w:ind w:left="339" w:hanging="283"/>
              <w:rPr>
                <w:rFonts w:cstheme="minorHAnsi"/>
                <w:sz w:val="20"/>
                <w:szCs w:val="20"/>
              </w:rPr>
            </w:pPr>
            <w:r w:rsidRPr="005C579C">
              <w:rPr>
                <w:rFonts w:cstheme="minorHAnsi"/>
                <w:sz w:val="20"/>
                <w:szCs w:val="20"/>
              </w:rPr>
              <w:t>making the Best Start Tax Credit universal for all children aged under 3 years.</w:t>
            </w:r>
          </w:p>
        </w:tc>
        <w:tc>
          <w:tcPr>
            <w:tcW w:w="1275" w:type="dxa"/>
            <w:gridSpan w:val="3"/>
          </w:tcPr>
          <w:p w14:paraId="7C766E1D"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666B3D0D" w14:textId="28D93C8E"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highlighted the removal of the hours requirements for the In-Work Tax Credit and the introduction of a two-week grace period in April 2021</w:t>
            </w:r>
            <w:r w:rsidR="00821AD1">
              <w:rPr>
                <w:rFonts w:cstheme="minorHAnsi"/>
                <w:sz w:val="20"/>
                <w:szCs w:val="20"/>
              </w:rPr>
              <w:t xml:space="preserve"> (MSD, 2021d).</w:t>
            </w:r>
          </w:p>
          <w:p w14:paraId="3B1218EE" w14:textId="77777777" w:rsidR="007D5E58" w:rsidRPr="005C579C" w:rsidRDefault="007D5E58" w:rsidP="00A53840">
            <w:pPr>
              <w:ind w:left="178" w:firstLine="0"/>
              <w:rPr>
                <w:rFonts w:cstheme="minorHAnsi"/>
                <w:sz w:val="20"/>
                <w:szCs w:val="20"/>
              </w:rPr>
            </w:pPr>
          </w:p>
          <w:p w14:paraId="405329F1" w14:textId="6408CACC" w:rsidR="007D5E58" w:rsidRPr="005C579C" w:rsidRDefault="007D5E58" w:rsidP="00A53840">
            <w:pPr>
              <w:ind w:left="178" w:firstLine="0"/>
              <w:rPr>
                <w:rFonts w:cstheme="minorHAnsi"/>
                <w:sz w:val="20"/>
                <w:szCs w:val="20"/>
              </w:rPr>
            </w:pPr>
            <w:r w:rsidRPr="005C579C">
              <w:rPr>
                <w:rFonts w:cstheme="minorHAnsi"/>
                <w:sz w:val="20"/>
                <w:szCs w:val="20"/>
              </w:rPr>
              <w:t>As part of Budget 2021 announcements, the Government signalled that it would be working on a review of the Working for Families package</w:t>
            </w:r>
            <w:r w:rsidR="00821AD1">
              <w:rPr>
                <w:rFonts w:cstheme="minorHAnsi"/>
                <w:sz w:val="20"/>
                <w:szCs w:val="20"/>
              </w:rPr>
              <w:t xml:space="preserve"> (RNZ, 2021).</w:t>
            </w:r>
            <w:r w:rsidRPr="005C579C">
              <w:rPr>
                <w:rFonts w:cstheme="minorHAnsi"/>
                <w:sz w:val="20"/>
                <w:szCs w:val="20"/>
              </w:rPr>
              <w:t xml:space="preserve"> In a 27 September 2021 Cabinet paper, Appendix Three, the Government stated that “Advice on the scope, scale and timing of the review was provided to joint ministers in April 2021</w:t>
            </w:r>
            <w:r w:rsidR="00821AD1">
              <w:rPr>
                <w:rFonts w:cstheme="minorHAnsi"/>
                <w:sz w:val="20"/>
                <w:szCs w:val="20"/>
              </w:rPr>
              <w:t>” (MSD, 2021d).</w:t>
            </w:r>
          </w:p>
          <w:p w14:paraId="517CE754" w14:textId="77777777" w:rsidR="007D5E58" w:rsidRPr="005C579C" w:rsidRDefault="007D5E58" w:rsidP="00A53840">
            <w:pPr>
              <w:ind w:left="178" w:firstLine="0"/>
              <w:rPr>
                <w:rFonts w:cstheme="minorHAnsi"/>
                <w:sz w:val="20"/>
                <w:szCs w:val="20"/>
              </w:rPr>
            </w:pPr>
          </w:p>
          <w:p w14:paraId="3FC3671E" w14:textId="04B2B6E9" w:rsidR="007D5E58" w:rsidRPr="005C579C" w:rsidRDefault="007D5E58" w:rsidP="00A53840">
            <w:pPr>
              <w:ind w:left="178" w:firstLine="0"/>
              <w:rPr>
                <w:rFonts w:cstheme="minorHAnsi"/>
                <w:sz w:val="20"/>
                <w:szCs w:val="20"/>
              </w:rPr>
            </w:pPr>
            <w:r w:rsidRPr="005C579C">
              <w:rPr>
                <w:rFonts w:cstheme="minorHAnsi"/>
                <w:sz w:val="20"/>
                <w:szCs w:val="20"/>
              </w:rPr>
              <w:t>The Government has also announced an increase in abatement rates from 25% to 27% and a $5 increase in the base Family Tax Credit (as well as an obligatory inflation catch-up), to be implemented from April 2022</w:t>
            </w:r>
            <w:r w:rsidR="00DD6074">
              <w:rPr>
                <w:rFonts w:cstheme="minorHAnsi"/>
                <w:sz w:val="20"/>
                <w:szCs w:val="20"/>
              </w:rPr>
              <w:t xml:space="preserve"> (NZ Government, 2021</w:t>
            </w:r>
            <w:r w:rsidR="00583B10">
              <w:rPr>
                <w:rFonts w:cstheme="minorHAnsi"/>
                <w:sz w:val="20"/>
                <w:szCs w:val="20"/>
              </w:rPr>
              <w:t>j</w:t>
            </w:r>
            <w:r w:rsidR="00DD6074">
              <w:rPr>
                <w:rFonts w:cstheme="minorHAnsi"/>
                <w:sz w:val="20"/>
                <w:szCs w:val="20"/>
              </w:rPr>
              <w:t>).</w:t>
            </w:r>
          </w:p>
        </w:tc>
        <w:tc>
          <w:tcPr>
            <w:tcW w:w="3924" w:type="dxa"/>
            <w:gridSpan w:val="2"/>
            <w:shd w:val="clear" w:color="auto" w:fill="FFA5A5"/>
          </w:tcPr>
          <w:p w14:paraId="4657CF6D" w14:textId="77777777" w:rsidR="007D5E58" w:rsidRDefault="007D5E58" w:rsidP="00A53840">
            <w:pPr>
              <w:ind w:left="178" w:firstLine="0"/>
              <w:rPr>
                <w:sz w:val="20"/>
                <w:szCs w:val="20"/>
              </w:rPr>
            </w:pPr>
            <w:r w:rsidRPr="00CA2018">
              <w:rPr>
                <w:sz w:val="20"/>
                <w:szCs w:val="20"/>
              </w:rPr>
              <w:t>No evidence of implementation.</w:t>
            </w:r>
            <w:r>
              <w:rPr>
                <w:sz w:val="20"/>
                <w:szCs w:val="20"/>
              </w:rPr>
              <w:t xml:space="preserve"> </w:t>
            </w:r>
          </w:p>
          <w:p w14:paraId="31BD6729" w14:textId="77777777" w:rsidR="007D5E58" w:rsidRDefault="007D5E58" w:rsidP="00A53840">
            <w:pPr>
              <w:ind w:left="178" w:firstLine="0"/>
              <w:rPr>
                <w:sz w:val="20"/>
                <w:szCs w:val="20"/>
              </w:rPr>
            </w:pPr>
          </w:p>
          <w:p w14:paraId="4A2B4C36" w14:textId="77777777" w:rsidR="007D5E58" w:rsidRPr="00CA2018" w:rsidRDefault="007D5E58" w:rsidP="00A53840">
            <w:pPr>
              <w:ind w:left="178" w:firstLine="0"/>
              <w:rPr>
                <w:sz w:val="20"/>
                <w:szCs w:val="20"/>
              </w:rPr>
            </w:pPr>
            <w:r>
              <w:rPr>
                <w:sz w:val="20"/>
                <w:szCs w:val="20"/>
              </w:rPr>
              <w:t>The abatement changes scheduled for April 2022 are contrary to WEAG recommendations for families on incomes lower than 160k (ie, most families and all low-income families).</w:t>
            </w:r>
          </w:p>
          <w:p w14:paraId="7A1795EB" w14:textId="77777777" w:rsidR="007D5E58" w:rsidRPr="00CA2018" w:rsidRDefault="007D5E58" w:rsidP="00A53840">
            <w:pPr>
              <w:ind w:left="178" w:firstLine="0"/>
              <w:rPr>
                <w:sz w:val="20"/>
                <w:szCs w:val="20"/>
              </w:rPr>
            </w:pPr>
          </w:p>
          <w:p w14:paraId="75DF648F" w14:textId="77777777" w:rsidR="007D5E58" w:rsidRPr="00CA2018" w:rsidRDefault="007D5E58" w:rsidP="00A53840">
            <w:pPr>
              <w:ind w:left="178" w:firstLine="0"/>
              <w:rPr>
                <w:sz w:val="20"/>
                <w:szCs w:val="20"/>
              </w:rPr>
            </w:pPr>
            <w:r w:rsidRPr="00CA2018">
              <w:rPr>
                <w:sz w:val="20"/>
                <w:szCs w:val="20"/>
              </w:rPr>
              <w:t>While the Families Package reached those supported by a benefit, WEAG recommendations post-date the Families Package implementation.</w:t>
            </w:r>
          </w:p>
          <w:p w14:paraId="1621BC76" w14:textId="77777777" w:rsidR="007D5E58" w:rsidRPr="00CA2018" w:rsidRDefault="007D5E58" w:rsidP="00A53840">
            <w:pPr>
              <w:ind w:left="178" w:firstLine="0"/>
              <w:rPr>
                <w:sz w:val="20"/>
                <w:szCs w:val="20"/>
              </w:rPr>
            </w:pPr>
          </w:p>
          <w:p w14:paraId="2747ADBF" w14:textId="77777777" w:rsidR="007D5E58" w:rsidRPr="00CA2018" w:rsidRDefault="007D5E58" w:rsidP="00A53840">
            <w:pPr>
              <w:ind w:left="178" w:firstLine="0"/>
              <w:rPr>
                <w:sz w:val="20"/>
                <w:szCs w:val="20"/>
              </w:rPr>
            </w:pPr>
            <w:r w:rsidRPr="00CA2018">
              <w:rPr>
                <w:sz w:val="20"/>
                <w:szCs w:val="20"/>
              </w:rPr>
              <w:t>The increased Family Tax Credit recommended by WEAG would go to all families for their children, including those supported by a main benefit; at the same time the</w:t>
            </w:r>
            <w:r>
              <w:rPr>
                <w:sz w:val="20"/>
                <w:szCs w:val="20"/>
              </w:rPr>
              <w:t xml:space="preserve"> WEAG recommendations in practice mean the</w:t>
            </w:r>
            <w:r w:rsidRPr="00CA2018">
              <w:rPr>
                <w:sz w:val="20"/>
                <w:szCs w:val="20"/>
              </w:rPr>
              <w:t xml:space="preserve"> In-Work Tax Credit is removed, a change long sought by CPAG because it is discriminatory against children in the deepest poverty.</w:t>
            </w:r>
          </w:p>
          <w:p w14:paraId="03E138AE" w14:textId="77777777" w:rsidR="007D5E58" w:rsidRPr="00CA2018" w:rsidRDefault="007D5E58" w:rsidP="00A53840">
            <w:pPr>
              <w:ind w:left="178" w:firstLine="0"/>
              <w:rPr>
                <w:sz w:val="20"/>
                <w:szCs w:val="20"/>
              </w:rPr>
            </w:pPr>
          </w:p>
          <w:p w14:paraId="724818D7" w14:textId="77777777" w:rsidR="007D5E58" w:rsidRPr="00CA2018" w:rsidRDefault="007D5E58" w:rsidP="00A53840">
            <w:pPr>
              <w:ind w:left="178" w:firstLine="0"/>
              <w:rPr>
                <w:sz w:val="20"/>
                <w:szCs w:val="20"/>
              </w:rPr>
            </w:pPr>
            <w:r w:rsidRPr="00CA2018">
              <w:rPr>
                <w:sz w:val="20"/>
                <w:szCs w:val="20"/>
              </w:rPr>
              <w:t xml:space="preserve">CPAG does not support the establishment of an Earned Income Tax Credit as the quid pro quo for abolishing the IWTC and increasing the FTC. The EITC involves overlapping abatements that will require compensatory changes to the abatement of WFF. </w:t>
            </w:r>
            <w:r>
              <w:rPr>
                <w:sz w:val="20"/>
                <w:szCs w:val="20"/>
              </w:rPr>
              <w:t>Paid-w</w:t>
            </w:r>
            <w:r w:rsidRPr="00CA2018">
              <w:rPr>
                <w:sz w:val="20"/>
                <w:szCs w:val="20"/>
              </w:rPr>
              <w:t>ork incentives are best met with other tools</w:t>
            </w:r>
            <w:r>
              <w:rPr>
                <w:sz w:val="20"/>
                <w:szCs w:val="20"/>
              </w:rPr>
              <w:t>, such as increases in the minimum wage, while enablers of paid-work for those caregivers for whom it is possible and appropriate include high quality, accessible and free childcare</w:t>
            </w:r>
            <w:r w:rsidRPr="00CA2018">
              <w:rPr>
                <w:sz w:val="20"/>
                <w:szCs w:val="20"/>
              </w:rPr>
              <w:t>.</w:t>
            </w:r>
          </w:p>
        </w:tc>
        <w:tc>
          <w:tcPr>
            <w:tcW w:w="2196" w:type="dxa"/>
            <w:gridSpan w:val="2"/>
            <w:shd w:val="clear" w:color="auto" w:fill="FFFFFF" w:themeFill="background1"/>
          </w:tcPr>
          <w:p w14:paraId="52EDE1B2" w14:textId="77777777" w:rsidR="007D5E58" w:rsidRPr="00CA2018" w:rsidRDefault="007D5E58" w:rsidP="00A53840">
            <w:pPr>
              <w:ind w:left="178" w:firstLine="0"/>
              <w:rPr>
                <w:sz w:val="20"/>
                <w:szCs w:val="20"/>
              </w:rPr>
            </w:pPr>
            <w:r w:rsidRPr="00CA2018">
              <w:rPr>
                <w:sz w:val="20"/>
                <w:szCs w:val="20"/>
              </w:rPr>
              <w:t>No change since November 2020.</w:t>
            </w:r>
          </w:p>
          <w:p w14:paraId="0AF85198" w14:textId="77777777" w:rsidR="007D5E58" w:rsidRPr="00CA2018" w:rsidRDefault="007D5E58" w:rsidP="00A53840">
            <w:pPr>
              <w:ind w:left="178" w:firstLine="0"/>
              <w:rPr>
                <w:sz w:val="20"/>
                <w:szCs w:val="20"/>
              </w:rPr>
            </w:pPr>
          </w:p>
        </w:tc>
      </w:tr>
      <w:tr w:rsidR="007D5E58" w:rsidRPr="00CA2018" w14:paraId="64E777D3" w14:textId="77777777" w:rsidTr="00974425">
        <w:trPr>
          <w:trHeight w:val="310"/>
        </w:trPr>
        <w:tc>
          <w:tcPr>
            <w:tcW w:w="3823" w:type="dxa"/>
            <w:gridSpan w:val="2"/>
          </w:tcPr>
          <w:p w14:paraId="1A8C8D9B"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Reform supplementary assistance and hardship assistance so they are adequate, appropriately designed and easy to access.</w:t>
            </w:r>
          </w:p>
        </w:tc>
        <w:tc>
          <w:tcPr>
            <w:tcW w:w="1275" w:type="dxa"/>
            <w:gridSpan w:val="3"/>
          </w:tcPr>
          <w:p w14:paraId="1D213B51"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40-43 (see Table 4).</w:t>
            </w:r>
          </w:p>
        </w:tc>
        <w:tc>
          <w:tcPr>
            <w:tcW w:w="3447" w:type="dxa"/>
            <w:gridSpan w:val="2"/>
          </w:tcPr>
          <w:p w14:paraId="1EED5B42" w14:textId="31276D7C"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“The review of Hardship Assistance is underway”</w:t>
            </w:r>
            <w:r w:rsidR="00DD6074">
              <w:rPr>
                <w:rFonts w:cstheme="minorHAnsi"/>
                <w:sz w:val="20"/>
                <w:szCs w:val="20"/>
              </w:rPr>
              <w:t xml:space="preserve"> (MSD, 2021d).</w:t>
            </w:r>
          </w:p>
        </w:tc>
        <w:tc>
          <w:tcPr>
            <w:tcW w:w="3924" w:type="dxa"/>
            <w:gridSpan w:val="2"/>
            <w:shd w:val="clear" w:color="auto" w:fill="FFA5A5"/>
          </w:tcPr>
          <w:p w14:paraId="12D2BBBC" w14:textId="77777777" w:rsidR="007D5E58" w:rsidRDefault="007D5E58" w:rsidP="00A53840">
            <w:pPr>
              <w:ind w:left="178" w:firstLine="0"/>
              <w:rPr>
                <w:sz w:val="20"/>
                <w:szCs w:val="20"/>
              </w:rPr>
            </w:pPr>
            <w:r w:rsidRPr="00CA2018">
              <w:rPr>
                <w:sz w:val="20"/>
                <w:szCs w:val="20"/>
              </w:rPr>
              <w:t>No evidence of implementation.</w:t>
            </w:r>
            <w:r>
              <w:rPr>
                <w:sz w:val="20"/>
                <w:szCs w:val="20"/>
              </w:rPr>
              <w:t xml:space="preserve"> </w:t>
            </w:r>
          </w:p>
          <w:p w14:paraId="3978DD16" w14:textId="77777777" w:rsidR="007D5E58" w:rsidRDefault="007D5E58" w:rsidP="00A53840">
            <w:pPr>
              <w:ind w:left="178" w:firstLine="0"/>
              <w:rPr>
                <w:sz w:val="20"/>
                <w:szCs w:val="20"/>
              </w:rPr>
            </w:pPr>
          </w:p>
          <w:p w14:paraId="6CC65AE6" w14:textId="4E4318D9" w:rsidR="007D5E58" w:rsidRPr="00CA2018" w:rsidRDefault="007D5E58" w:rsidP="00A53840">
            <w:pPr>
              <w:ind w:left="178" w:firstLine="0"/>
              <w:rPr>
                <w:sz w:val="20"/>
                <w:szCs w:val="20"/>
              </w:rPr>
            </w:pPr>
            <w:r>
              <w:rPr>
                <w:sz w:val="20"/>
                <w:szCs w:val="20"/>
              </w:rPr>
              <w:t>People report supplementary and hardship assistance are harder to access currently (Aug-Nov 2021) than they were during the last lockdown – an observation supported by quarterly hardship assistance statistics</w:t>
            </w:r>
            <w:r w:rsidR="00DD6074">
              <w:rPr>
                <w:sz w:val="20"/>
                <w:szCs w:val="20"/>
              </w:rPr>
              <w:t xml:space="preserve"> (MSD, 2021d).</w:t>
            </w:r>
          </w:p>
        </w:tc>
        <w:tc>
          <w:tcPr>
            <w:tcW w:w="2196" w:type="dxa"/>
            <w:gridSpan w:val="2"/>
            <w:shd w:val="clear" w:color="auto" w:fill="FFFFFF" w:themeFill="background1"/>
          </w:tcPr>
          <w:p w14:paraId="109A1574" w14:textId="77777777" w:rsidR="007D5E58" w:rsidRPr="00CA2018" w:rsidRDefault="007D5E58" w:rsidP="00A53840">
            <w:pPr>
              <w:ind w:left="178" w:firstLine="0"/>
              <w:rPr>
                <w:sz w:val="20"/>
                <w:szCs w:val="20"/>
              </w:rPr>
            </w:pPr>
            <w:r w:rsidRPr="00CA2018">
              <w:rPr>
                <w:sz w:val="20"/>
                <w:szCs w:val="20"/>
              </w:rPr>
              <w:t>No change since November 2020.</w:t>
            </w:r>
          </w:p>
          <w:p w14:paraId="0235CC33" w14:textId="77777777" w:rsidR="007D5E58" w:rsidRPr="00CA2018" w:rsidRDefault="007D5E58" w:rsidP="00A53840">
            <w:pPr>
              <w:ind w:left="178" w:firstLine="0"/>
              <w:rPr>
                <w:sz w:val="20"/>
                <w:szCs w:val="20"/>
              </w:rPr>
            </w:pPr>
          </w:p>
        </w:tc>
      </w:tr>
      <w:tr w:rsidR="007D5E58" w:rsidRPr="00CA2018" w14:paraId="55D3E9EE" w14:textId="77777777" w:rsidTr="00974425">
        <w:trPr>
          <w:trHeight w:val="310"/>
        </w:trPr>
        <w:tc>
          <w:tcPr>
            <w:tcW w:w="3823" w:type="dxa"/>
            <w:gridSpan w:val="2"/>
          </w:tcPr>
          <w:p w14:paraId="1EECB572"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Require the Ministry of Social Development to, within 2 years, complete work, including commissioning independent research and focus groups, to establish a minimum income standard for New Zealand (with 5-year reviews).</w:t>
            </w:r>
          </w:p>
        </w:tc>
        <w:tc>
          <w:tcPr>
            <w:tcW w:w="1275" w:type="dxa"/>
            <w:gridSpan w:val="3"/>
          </w:tcPr>
          <w:p w14:paraId="79F98E15" w14:textId="77777777" w:rsidR="007D5E58" w:rsidRPr="005C579C" w:rsidRDefault="007D5E58" w:rsidP="00974425">
            <w:pPr>
              <w:ind w:left="33" w:right="33" w:firstLine="0"/>
              <w:rPr>
                <w:rFonts w:cstheme="minorHAnsi"/>
                <w:sz w:val="20"/>
                <w:szCs w:val="20"/>
              </w:rPr>
            </w:pPr>
          </w:p>
        </w:tc>
        <w:tc>
          <w:tcPr>
            <w:tcW w:w="3447" w:type="dxa"/>
            <w:gridSpan w:val="2"/>
          </w:tcPr>
          <w:p w14:paraId="75CCBA41" w14:textId="133B9F4F"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“MSD is working with other agencies to develop advice on these recommendations</w:t>
            </w:r>
            <w:r w:rsidR="00DD6074">
              <w:rPr>
                <w:rFonts w:cstheme="minorHAnsi"/>
                <w:sz w:val="20"/>
                <w:szCs w:val="20"/>
              </w:rPr>
              <w:t>” (MSD, 2021d).</w:t>
            </w:r>
          </w:p>
        </w:tc>
        <w:tc>
          <w:tcPr>
            <w:tcW w:w="3924" w:type="dxa"/>
            <w:gridSpan w:val="2"/>
            <w:shd w:val="clear" w:color="auto" w:fill="FFA5A5"/>
          </w:tcPr>
          <w:p w14:paraId="4A124EEB" w14:textId="77777777" w:rsidR="007D5E58" w:rsidRPr="00CA2018" w:rsidRDefault="007D5E58" w:rsidP="00A53840">
            <w:pPr>
              <w:ind w:left="178" w:firstLine="0"/>
              <w:rPr>
                <w:sz w:val="20"/>
                <w:szCs w:val="20"/>
              </w:rPr>
            </w:pPr>
            <w:r w:rsidRPr="00CA2018">
              <w:rPr>
                <w:sz w:val="20"/>
                <w:szCs w:val="20"/>
              </w:rPr>
              <w:t xml:space="preserve">No evidence of implementation.  </w:t>
            </w:r>
          </w:p>
          <w:p w14:paraId="3B6A583A" w14:textId="77777777" w:rsidR="007D5E58" w:rsidRPr="00CA2018" w:rsidRDefault="007D5E58" w:rsidP="00A53840">
            <w:pPr>
              <w:ind w:left="178" w:firstLine="0"/>
              <w:rPr>
                <w:sz w:val="20"/>
                <w:szCs w:val="20"/>
              </w:rPr>
            </w:pPr>
          </w:p>
          <w:p w14:paraId="79C76E27" w14:textId="77777777" w:rsidR="007D5E58" w:rsidRPr="00CA2018" w:rsidRDefault="007D5E58" w:rsidP="00A53840">
            <w:pPr>
              <w:ind w:left="178" w:firstLine="0"/>
              <w:rPr>
                <w:sz w:val="20"/>
                <w:szCs w:val="20"/>
              </w:rPr>
            </w:pPr>
            <w:r w:rsidRPr="00CA2018">
              <w:rPr>
                <w:sz w:val="20"/>
                <w:szCs w:val="20"/>
              </w:rPr>
              <w:t>The Government has shown no indication of initiating a minimum income standards study to determine the minimum level of income needed for participation in society.</w:t>
            </w:r>
          </w:p>
        </w:tc>
        <w:tc>
          <w:tcPr>
            <w:tcW w:w="2196" w:type="dxa"/>
            <w:gridSpan w:val="2"/>
            <w:shd w:val="clear" w:color="auto" w:fill="FFFFFF" w:themeFill="background1"/>
          </w:tcPr>
          <w:p w14:paraId="72D9BA23" w14:textId="77777777" w:rsidR="007D5E58" w:rsidRPr="00CA2018" w:rsidRDefault="007D5E58" w:rsidP="00A53840">
            <w:pPr>
              <w:ind w:left="178" w:firstLine="0"/>
              <w:rPr>
                <w:sz w:val="20"/>
                <w:szCs w:val="20"/>
              </w:rPr>
            </w:pPr>
            <w:r w:rsidRPr="00CA2018">
              <w:rPr>
                <w:sz w:val="20"/>
                <w:szCs w:val="20"/>
              </w:rPr>
              <w:t>No change since November 2020.</w:t>
            </w:r>
          </w:p>
          <w:p w14:paraId="25C6C72E" w14:textId="77777777" w:rsidR="007D5E58" w:rsidRPr="00CA2018" w:rsidRDefault="007D5E58" w:rsidP="00A53840">
            <w:pPr>
              <w:ind w:left="178" w:firstLine="0"/>
              <w:rPr>
                <w:sz w:val="20"/>
                <w:szCs w:val="20"/>
              </w:rPr>
            </w:pPr>
          </w:p>
        </w:tc>
      </w:tr>
      <w:tr w:rsidR="007D5E58" w:rsidRPr="00CA2018" w14:paraId="46150FF1" w14:textId="77777777" w:rsidTr="00974425">
        <w:trPr>
          <w:trHeight w:val="310"/>
        </w:trPr>
        <w:tc>
          <w:tcPr>
            <w:tcW w:w="3823" w:type="dxa"/>
            <w:gridSpan w:val="2"/>
          </w:tcPr>
          <w:p w14:paraId="3DC22E78"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tc>
        <w:tc>
          <w:tcPr>
            <w:tcW w:w="1275" w:type="dxa"/>
            <w:gridSpan w:val="3"/>
          </w:tcPr>
          <w:p w14:paraId="5D7D97B8"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36325DCA" w14:textId="13B02099"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“More work is required, which will be considered as part of the renewed welfare overhaul work programme</w:t>
            </w:r>
            <w:r w:rsidR="00DD6074">
              <w:rPr>
                <w:rFonts w:cstheme="minorHAnsi"/>
                <w:sz w:val="20"/>
                <w:szCs w:val="20"/>
              </w:rPr>
              <w:t>” (MSD, 2021d).</w:t>
            </w:r>
          </w:p>
        </w:tc>
        <w:tc>
          <w:tcPr>
            <w:tcW w:w="3924" w:type="dxa"/>
            <w:gridSpan w:val="2"/>
            <w:shd w:val="clear" w:color="auto" w:fill="FFA5A5"/>
          </w:tcPr>
          <w:p w14:paraId="4544D018" w14:textId="77777777" w:rsidR="007D5E58" w:rsidRPr="00CA2018" w:rsidRDefault="007D5E58" w:rsidP="00A53840">
            <w:pPr>
              <w:ind w:left="178" w:firstLine="0"/>
              <w:rPr>
                <w:sz w:val="20"/>
                <w:szCs w:val="20"/>
              </w:rPr>
            </w:pPr>
            <w:r w:rsidRPr="00CA2018">
              <w:rPr>
                <w:sz w:val="20"/>
                <w:szCs w:val="20"/>
              </w:rPr>
              <w:t xml:space="preserve">No evidence of implementation. </w:t>
            </w:r>
          </w:p>
          <w:p w14:paraId="7BF00E05" w14:textId="77777777" w:rsidR="007D5E58" w:rsidRPr="00CA2018" w:rsidRDefault="007D5E58" w:rsidP="00A53840">
            <w:pPr>
              <w:ind w:left="178" w:firstLine="0"/>
              <w:rPr>
                <w:sz w:val="20"/>
                <w:szCs w:val="20"/>
              </w:rPr>
            </w:pPr>
          </w:p>
          <w:p w14:paraId="4356C5D6" w14:textId="77777777" w:rsidR="007D5E58" w:rsidRPr="00CA2018" w:rsidRDefault="007D5E58" w:rsidP="00A53840">
            <w:pPr>
              <w:ind w:left="178" w:firstLine="0"/>
              <w:rPr>
                <w:sz w:val="20"/>
                <w:szCs w:val="20"/>
              </w:rPr>
            </w:pPr>
            <w:r w:rsidRPr="00CA2018">
              <w:rPr>
                <w:sz w:val="20"/>
                <w:szCs w:val="20"/>
              </w:rPr>
              <w:t>The Government has shown no indication of initiating a minimum income standards study to determine the minimum level of income needed for participation in society.</w:t>
            </w:r>
          </w:p>
        </w:tc>
        <w:tc>
          <w:tcPr>
            <w:tcW w:w="2196" w:type="dxa"/>
            <w:gridSpan w:val="2"/>
            <w:shd w:val="clear" w:color="auto" w:fill="FFFFFF" w:themeFill="background1"/>
          </w:tcPr>
          <w:p w14:paraId="72F06B7F" w14:textId="77777777" w:rsidR="007D5E58" w:rsidRPr="00CA2018" w:rsidRDefault="007D5E58" w:rsidP="00A53840">
            <w:pPr>
              <w:ind w:left="178" w:firstLine="0"/>
              <w:rPr>
                <w:sz w:val="20"/>
                <w:szCs w:val="20"/>
              </w:rPr>
            </w:pPr>
            <w:r w:rsidRPr="00CA2018">
              <w:rPr>
                <w:sz w:val="20"/>
                <w:szCs w:val="20"/>
              </w:rPr>
              <w:t>No change since November 2020.</w:t>
            </w:r>
          </w:p>
          <w:p w14:paraId="0C58CF4A" w14:textId="77777777" w:rsidR="007D5E58" w:rsidRPr="00CA2018" w:rsidRDefault="007D5E58" w:rsidP="00A53840">
            <w:pPr>
              <w:ind w:left="178" w:firstLine="0"/>
              <w:rPr>
                <w:sz w:val="20"/>
                <w:szCs w:val="20"/>
              </w:rPr>
            </w:pPr>
          </w:p>
        </w:tc>
      </w:tr>
      <w:tr w:rsidR="007D5E58" w:rsidRPr="00CA2018" w14:paraId="7378DB50" w14:textId="77777777" w:rsidTr="00974425">
        <w:trPr>
          <w:trHeight w:val="310"/>
        </w:trPr>
        <w:tc>
          <w:tcPr>
            <w:tcW w:w="3823" w:type="dxa"/>
            <w:gridSpan w:val="2"/>
          </w:tcPr>
          <w:p w14:paraId="31116406"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Pass on all child support collected to receiving carers, including for recipients of Unsupported Child’s Benefit.</w:t>
            </w:r>
          </w:p>
        </w:tc>
        <w:tc>
          <w:tcPr>
            <w:tcW w:w="1275" w:type="dxa"/>
            <w:gridSpan w:val="3"/>
          </w:tcPr>
          <w:p w14:paraId="0336FAFF"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6F47C0AE" w14:textId="406199BC"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“Work on the child support pass-on proposal was paused in early 2020 due to the impact of COVID-19. Work is currently underway</w:t>
            </w:r>
            <w:r w:rsidR="00DD6074">
              <w:rPr>
                <w:rFonts w:cstheme="minorHAnsi"/>
                <w:sz w:val="20"/>
                <w:szCs w:val="20"/>
              </w:rPr>
              <w:t>” (MSD, 2021d).</w:t>
            </w:r>
          </w:p>
        </w:tc>
        <w:tc>
          <w:tcPr>
            <w:tcW w:w="3924" w:type="dxa"/>
            <w:gridSpan w:val="2"/>
            <w:shd w:val="clear" w:color="auto" w:fill="FFA5A5"/>
          </w:tcPr>
          <w:p w14:paraId="2EB7CE52" w14:textId="77777777" w:rsidR="007D5E58" w:rsidRPr="00CA2018" w:rsidRDefault="007D5E58" w:rsidP="00A53840">
            <w:pPr>
              <w:ind w:left="178" w:firstLine="0"/>
              <w:rPr>
                <w:sz w:val="20"/>
                <w:szCs w:val="20"/>
              </w:rPr>
            </w:pPr>
            <w:r w:rsidRPr="00CA2018">
              <w:rPr>
                <w:sz w:val="20"/>
                <w:szCs w:val="20"/>
              </w:rPr>
              <w:t>No evidence of implementation.</w:t>
            </w:r>
          </w:p>
        </w:tc>
        <w:tc>
          <w:tcPr>
            <w:tcW w:w="2196" w:type="dxa"/>
            <w:gridSpan w:val="2"/>
            <w:shd w:val="clear" w:color="auto" w:fill="FFFFFF" w:themeFill="background1"/>
          </w:tcPr>
          <w:p w14:paraId="5C72FAFA" w14:textId="77777777" w:rsidR="007D5E58" w:rsidRPr="00CA2018" w:rsidRDefault="007D5E58" w:rsidP="00A53840">
            <w:pPr>
              <w:ind w:left="178" w:firstLine="0"/>
              <w:rPr>
                <w:sz w:val="20"/>
                <w:szCs w:val="20"/>
              </w:rPr>
            </w:pPr>
            <w:r w:rsidRPr="00CA2018">
              <w:rPr>
                <w:sz w:val="20"/>
                <w:szCs w:val="20"/>
              </w:rPr>
              <w:t>No change since November 2020.</w:t>
            </w:r>
          </w:p>
          <w:p w14:paraId="421324D5" w14:textId="77777777" w:rsidR="007D5E58" w:rsidRPr="00CA2018" w:rsidRDefault="007D5E58" w:rsidP="00A53840">
            <w:pPr>
              <w:ind w:left="178" w:firstLine="0"/>
              <w:rPr>
                <w:sz w:val="20"/>
                <w:szCs w:val="20"/>
              </w:rPr>
            </w:pPr>
          </w:p>
        </w:tc>
      </w:tr>
      <w:tr w:rsidR="007D5E58" w:rsidRPr="00CA2018" w14:paraId="3CBE4B33" w14:textId="77777777" w:rsidTr="00974425">
        <w:trPr>
          <w:trHeight w:val="310"/>
        </w:trPr>
        <w:tc>
          <w:tcPr>
            <w:tcW w:w="3823" w:type="dxa"/>
            <w:gridSpan w:val="2"/>
          </w:tcPr>
          <w:p w14:paraId="7E828764" w14:textId="77777777" w:rsidR="007D5E58" w:rsidRPr="005C579C" w:rsidRDefault="007D5E58" w:rsidP="00974425">
            <w:pPr>
              <w:pStyle w:val="ListParagraph"/>
              <w:numPr>
                <w:ilvl w:val="0"/>
                <w:numId w:val="3"/>
              </w:numPr>
              <w:ind w:left="58" w:firstLine="0"/>
              <w:rPr>
                <w:rFonts w:cstheme="minorHAnsi"/>
                <w:sz w:val="20"/>
                <w:szCs w:val="20"/>
              </w:rPr>
            </w:pPr>
            <w:bookmarkStart w:id="44" w:name="_Hlk88147427"/>
            <w:r w:rsidRPr="005C579C">
              <w:rPr>
                <w:rFonts w:cstheme="minorHAnsi"/>
                <w:sz w:val="20"/>
                <w:szCs w:val="20"/>
              </w:rPr>
              <w:t>Move income support settings over time to be more neutral on the impact of being in a relationship in the nature of marriage.</w:t>
            </w:r>
          </w:p>
        </w:tc>
        <w:tc>
          <w:tcPr>
            <w:tcW w:w="1275" w:type="dxa"/>
            <w:gridSpan w:val="3"/>
          </w:tcPr>
          <w:p w14:paraId="709106EE"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62-65 (see Table 4).</w:t>
            </w:r>
          </w:p>
        </w:tc>
        <w:tc>
          <w:tcPr>
            <w:tcW w:w="3447" w:type="dxa"/>
            <w:gridSpan w:val="2"/>
          </w:tcPr>
          <w:p w14:paraId="06C3BF31" w14:textId="724A5DB8" w:rsidR="007D5E58" w:rsidRPr="005C579C" w:rsidRDefault="007D5E58" w:rsidP="00A53840">
            <w:pPr>
              <w:ind w:left="178" w:firstLine="0"/>
              <w:rPr>
                <w:rFonts w:cstheme="minorHAnsi"/>
                <w:sz w:val="20"/>
                <w:szCs w:val="20"/>
              </w:rPr>
            </w:pPr>
            <w:r w:rsidRPr="005C579C">
              <w:rPr>
                <w:rFonts w:cstheme="minorHAnsi"/>
                <w:sz w:val="20"/>
                <w:szCs w:val="20"/>
              </w:rPr>
              <w:t>In November 2019, the Government reported that implementation of Key Recommendation 28 is part of its ‘medium and longer-term work programme’, stating that “this will be considered as part of the further advice on income support settings”</w:t>
            </w:r>
            <w:r w:rsidR="00DD6074">
              <w:rPr>
                <w:rFonts w:cstheme="minorHAnsi"/>
                <w:sz w:val="20"/>
                <w:szCs w:val="20"/>
              </w:rPr>
              <w:t xml:space="preserve"> (</w:t>
            </w:r>
            <w:r w:rsidR="00F35D44">
              <w:rPr>
                <w:rFonts w:cstheme="minorHAnsi"/>
                <w:sz w:val="20"/>
                <w:szCs w:val="20"/>
              </w:rPr>
              <w:t>MSD, 2019A</w:t>
            </w:r>
            <w:r w:rsidR="00DD6074">
              <w:rPr>
                <w:rFonts w:cstheme="minorHAnsi"/>
                <w:sz w:val="20"/>
                <w:szCs w:val="20"/>
              </w:rPr>
              <w:t>).</w:t>
            </w:r>
          </w:p>
          <w:p w14:paraId="1E8A6F7A" w14:textId="77777777" w:rsidR="007D5E58" w:rsidRPr="005C579C" w:rsidRDefault="007D5E58" w:rsidP="00A53840">
            <w:pPr>
              <w:ind w:left="178" w:firstLine="0"/>
              <w:rPr>
                <w:rFonts w:cstheme="minorHAnsi"/>
                <w:sz w:val="20"/>
                <w:szCs w:val="20"/>
              </w:rPr>
            </w:pPr>
          </w:p>
          <w:p w14:paraId="3FE36965" w14:textId="42F79121"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indicated that work on relationship settings and unit of entitlement was part of MSD’s ‘longer-term’ work programme</w:t>
            </w:r>
            <w:r w:rsidR="00DD6074">
              <w:rPr>
                <w:rFonts w:cstheme="minorHAnsi"/>
                <w:sz w:val="20"/>
                <w:szCs w:val="20"/>
              </w:rPr>
              <w:t xml:space="preserve"> (MSD, 2021d).</w:t>
            </w:r>
          </w:p>
        </w:tc>
        <w:tc>
          <w:tcPr>
            <w:tcW w:w="3924" w:type="dxa"/>
            <w:gridSpan w:val="2"/>
            <w:shd w:val="clear" w:color="auto" w:fill="FBE4D5" w:themeFill="accent2" w:themeFillTint="33"/>
          </w:tcPr>
          <w:p w14:paraId="124F2BE0" w14:textId="77777777" w:rsidR="007D5E58" w:rsidRDefault="007D5E58" w:rsidP="00A53840">
            <w:pPr>
              <w:ind w:left="178" w:firstLine="0"/>
              <w:rPr>
                <w:sz w:val="20"/>
                <w:szCs w:val="20"/>
              </w:rPr>
            </w:pPr>
            <w:r w:rsidRPr="001A5B2E">
              <w:rPr>
                <w:sz w:val="20"/>
                <w:szCs w:val="20"/>
                <w:shd w:val="clear" w:color="auto" w:fill="FBE4D5" w:themeFill="accent2" w:themeFillTint="33"/>
              </w:rPr>
              <w:t>Minimal implementation</w:t>
            </w:r>
            <w:r w:rsidRPr="00CA2018">
              <w:rPr>
                <w:sz w:val="20"/>
                <w:szCs w:val="20"/>
              </w:rPr>
              <w:t>.</w:t>
            </w:r>
          </w:p>
          <w:p w14:paraId="0252DE3C" w14:textId="77777777" w:rsidR="007D5E58" w:rsidRDefault="007D5E58" w:rsidP="00A53840">
            <w:pPr>
              <w:ind w:left="178" w:firstLine="0"/>
              <w:rPr>
                <w:sz w:val="20"/>
                <w:szCs w:val="20"/>
              </w:rPr>
            </w:pPr>
          </w:p>
          <w:p w14:paraId="40245D91" w14:textId="77777777" w:rsidR="007D5E58" w:rsidRPr="00CA2018" w:rsidRDefault="007D5E58" w:rsidP="00A53840">
            <w:pPr>
              <w:ind w:left="178" w:firstLine="0"/>
              <w:rPr>
                <w:sz w:val="20"/>
                <w:szCs w:val="20"/>
              </w:rPr>
            </w:pPr>
            <w:r>
              <w:rPr>
                <w:sz w:val="20"/>
                <w:szCs w:val="20"/>
              </w:rPr>
              <w:t xml:space="preserve">The partial benefit increases implemented in July 2021 are individualised, closing the gap between individuals and couples to a very small extent. </w:t>
            </w:r>
          </w:p>
          <w:p w14:paraId="4E265F3D" w14:textId="77777777" w:rsidR="007D5E58" w:rsidRPr="00CA2018" w:rsidRDefault="007D5E58" w:rsidP="00A53840">
            <w:pPr>
              <w:ind w:left="178" w:firstLine="0"/>
              <w:rPr>
                <w:sz w:val="20"/>
                <w:szCs w:val="20"/>
              </w:rPr>
            </w:pPr>
          </w:p>
          <w:p w14:paraId="312096A8" w14:textId="77777777" w:rsidR="007D5E58" w:rsidRPr="00CA2018" w:rsidRDefault="007D5E58" w:rsidP="00A53840">
            <w:pPr>
              <w:ind w:left="178" w:firstLine="0"/>
              <w:rPr>
                <w:sz w:val="20"/>
                <w:szCs w:val="20"/>
              </w:rPr>
            </w:pPr>
          </w:p>
        </w:tc>
        <w:tc>
          <w:tcPr>
            <w:tcW w:w="2196" w:type="dxa"/>
            <w:gridSpan w:val="2"/>
            <w:shd w:val="clear" w:color="auto" w:fill="DEEAF6" w:themeFill="accent5" w:themeFillTint="33"/>
          </w:tcPr>
          <w:p w14:paraId="4A40694C" w14:textId="77777777" w:rsidR="007D5E58" w:rsidRPr="00CA2018" w:rsidRDefault="007D5E58" w:rsidP="00A53840">
            <w:pPr>
              <w:ind w:left="178" w:firstLine="0"/>
              <w:rPr>
                <w:sz w:val="20"/>
                <w:szCs w:val="20"/>
              </w:rPr>
            </w:pPr>
            <w:r>
              <w:rPr>
                <w:sz w:val="20"/>
                <w:szCs w:val="20"/>
              </w:rPr>
              <w:t xml:space="preserve">Change </w:t>
            </w:r>
            <w:r w:rsidRPr="00CA2018">
              <w:rPr>
                <w:sz w:val="20"/>
                <w:szCs w:val="20"/>
              </w:rPr>
              <w:t>since November 2020</w:t>
            </w:r>
            <w:r>
              <w:rPr>
                <w:sz w:val="20"/>
                <w:szCs w:val="20"/>
              </w:rPr>
              <w:t xml:space="preserve"> from no evidence of implementation to minimal implementation</w:t>
            </w:r>
            <w:r w:rsidRPr="00CA2018">
              <w:rPr>
                <w:sz w:val="20"/>
                <w:szCs w:val="20"/>
              </w:rPr>
              <w:t>.</w:t>
            </w:r>
          </w:p>
          <w:p w14:paraId="24146047" w14:textId="77777777" w:rsidR="007D5E58" w:rsidRPr="00CA2018" w:rsidRDefault="007D5E58" w:rsidP="00A53840">
            <w:pPr>
              <w:ind w:left="178" w:firstLine="0"/>
              <w:rPr>
                <w:sz w:val="20"/>
                <w:szCs w:val="20"/>
              </w:rPr>
            </w:pPr>
          </w:p>
        </w:tc>
      </w:tr>
      <w:tr w:rsidR="007D5E58" w:rsidRPr="00CA2018" w14:paraId="20A0E9F8" w14:textId="77777777" w:rsidTr="00974425">
        <w:trPr>
          <w:trHeight w:val="310"/>
        </w:trPr>
        <w:tc>
          <w:tcPr>
            <w:tcW w:w="14665" w:type="dxa"/>
            <w:gridSpan w:val="11"/>
            <w:shd w:val="clear" w:color="auto" w:fill="DEEAF6" w:themeFill="accent5" w:themeFillTint="33"/>
          </w:tcPr>
          <w:p w14:paraId="6B57C156" w14:textId="77777777" w:rsidR="007D5E58" w:rsidRPr="00CA2018" w:rsidRDefault="007D5E58" w:rsidP="00974425">
            <w:pPr>
              <w:spacing w:before="120" w:after="120"/>
              <w:ind w:left="33" w:right="33" w:firstLine="0"/>
              <w:jc w:val="center"/>
              <w:rPr>
                <w:sz w:val="20"/>
                <w:szCs w:val="20"/>
              </w:rPr>
            </w:pPr>
            <w:r w:rsidRPr="00CA2018">
              <w:rPr>
                <w:b/>
                <w:sz w:val="20"/>
                <w:szCs w:val="20"/>
              </w:rPr>
              <w:t>ALLEVIATING THE HOUSING CONUNDRUM</w:t>
            </w:r>
          </w:p>
        </w:tc>
      </w:tr>
      <w:tr w:rsidR="007D5E58" w:rsidRPr="00CA2018" w14:paraId="7F809DB1" w14:textId="77777777" w:rsidTr="00974425">
        <w:trPr>
          <w:trHeight w:val="310"/>
        </w:trPr>
        <w:tc>
          <w:tcPr>
            <w:tcW w:w="3823" w:type="dxa"/>
            <w:gridSpan w:val="2"/>
          </w:tcPr>
          <w:p w14:paraId="583C8DF5"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Urgently expand and accelerate Government efforts to substantially increase public housing on an industrial scale and continue urgent efforts to end homelessness.</w:t>
            </w:r>
          </w:p>
        </w:tc>
        <w:tc>
          <w:tcPr>
            <w:tcW w:w="1275" w:type="dxa"/>
            <w:gridSpan w:val="3"/>
          </w:tcPr>
          <w:p w14:paraId="261ED90E"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0879BAE4" w14:textId="62438568"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“Budget 2020 delivered funding for an additional 6,000 public and 2,000 transitional homes ($5b over 5 years). When coupled with delivery from previous Budget housing initiatives in 2018 and 2019, the Government is on track to deliver over 18,000 additional places by 2024.” The Cabinet paper appendix also stated that “Agencies continue to implement the Homelessness Action Plan. All of the 18 immediate actions are in place or underway with progress being made to support individuals, families and whānau at risk of or experiencing homelessness and positive wellbeing and housing outcomes emerging. … Challenges with implementation and traction in reducing homelessness continue, including COVID-19 impacts, capacity pressures and delays, continued housing affordability issues and housing supply shortages</w:t>
            </w:r>
            <w:r w:rsidR="00DD6074">
              <w:rPr>
                <w:rFonts w:cstheme="minorHAnsi"/>
                <w:sz w:val="20"/>
                <w:szCs w:val="20"/>
              </w:rPr>
              <w:t>” (MSD, 2021d).</w:t>
            </w:r>
          </w:p>
        </w:tc>
        <w:tc>
          <w:tcPr>
            <w:tcW w:w="3924" w:type="dxa"/>
            <w:gridSpan w:val="2"/>
            <w:shd w:val="clear" w:color="auto" w:fill="FFE599" w:themeFill="accent4" w:themeFillTint="66"/>
          </w:tcPr>
          <w:p w14:paraId="41037746" w14:textId="77777777" w:rsidR="007D5E58" w:rsidRPr="005C579C" w:rsidRDefault="007D5E58" w:rsidP="00A53840">
            <w:pPr>
              <w:spacing w:after="120"/>
              <w:ind w:left="176" w:firstLine="0"/>
              <w:rPr>
                <w:rFonts w:cstheme="minorHAnsi"/>
                <w:sz w:val="20"/>
                <w:szCs w:val="20"/>
              </w:rPr>
            </w:pPr>
            <w:r w:rsidRPr="005C579C">
              <w:rPr>
                <w:rFonts w:cstheme="minorHAnsi"/>
                <w:sz w:val="20"/>
                <w:szCs w:val="20"/>
              </w:rPr>
              <w:t xml:space="preserve">Partial implementation </w:t>
            </w:r>
          </w:p>
          <w:p w14:paraId="3D0385FB" w14:textId="12D7EB8C" w:rsidR="007D5E58" w:rsidRPr="005C579C" w:rsidRDefault="007D5E58" w:rsidP="00A53840">
            <w:pPr>
              <w:spacing w:after="120"/>
              <w:ind w:left="176" w:firstLine="0"/>
              <w:rPr>
                <w:rFonts w:cstheme="minorHAnsi"/>
                <w:sz w:val="20"/>
                <w:szCs w:val="20"/>
              </w:rPr>
            </w:pPr>
            <w:r w:rsidRPr="005C579C">
              <w:rPr>
                <w:rFonts w:cstheme="minorHAnsi"/>
                <w:sz w:val="20"/>
                <w:szCs w:val="20"/>
              </w:rPr>
              <w:t>The Government has expanded and accelerated the building of state houses, with the Prime Minister describing it as the “largest public housing build programme since the 1970s”</w:t>
            </w:r>
            <w:r w:rsidR="00DD6074">
              <w:rPr>
                <w:rFonts w:cstheme="minorHAnsi"/>
                <w:sz w:val="20"/>
                <w:szCs w:val="20"/>
              </w:rPr>
              <w:t xml:space="preserve"> (Edwards, 2021).</w:t>
            </w:r>
            <w:r w:rsidRPr="005C579C">
              <w:rPr>
                <w:rFonts w:cstheme="minorHAnsi"/>
                <w:sz w:val="20"/>
                <w:szCs w:val="20"/>
              </w:rPr>
              <w:t xml:space="preserve"> However, the housing register continues to grow rapidly, with 24,474 applicants as at June 2021, an increase of 32.1 percent on the year prior. The Government’s increased building pace does not reflect an ‘industrial scale’ build, and is not matching increases in demand. While the Government is rightfully pointing out that they’re building faster than any time in recent history, the fact that it’s faster doesn’t mean it’s at the level of response that is necessary. The scale of this housing crisis requires ambitious and urgent action.  The Government is currently building less than half the number of houses per capita compared to the building rate during the era of Prime Minister Savage – and that if the Government were to build state houses at the same rate as the first Labour Government, it would be building 10,500 per year</w:t>
            </w:r>
            <w:r w:rsidR="00DD6074">
              <w:rPr>
                <w:rFonts w:cstheme="minorHAnsi"/>
                <w:sz w:val="20"/>
                <w:szCs w:val="20"/>
              </w:rPr>
              <w:t xml:space="preserve"> (Edwards, 2021).</w:t>
            </w:r>
          </w:p>
        </w:tc>
        <w:tc>
          <w:tcPr>
            <w:tcW w:w="2196" w:type="dxa"/>
            <w:gridSpan w:val="2"/>
            <w:shd w:val="clear" w:color="auto" w:fill="FFFFFF" w:themeFill="background1"/>
          </w:tcPr>
          <w:p w14:paraId="4B37C7F3" w14:textId="77777777" w:rsidR="007D5E58" w:rsidRPr="00CA2018" w:rsidRDefault="007D5E58" w:rsidP="00A53840">
            <w:pPr>
              <w:ind w:left="178" w:firstLine="0"/>
              <w:rPr>
                <w:sz w:val="20"/>
                <w:szCs w:val="20"/>
              </w:rPr>
            </w:pPr>
            <w:r w:rsidRPr="00CA2018">
              <w:rPr>
                <w:sz w:val="20"/>
                <w:szCs w:val="20"/>
              </w:rPr>
              <w:t>No change since November 2020.</w:t>
            </w:r>
          </w:p>
          <w:p w14:paraId="35FE7FFB" w14:textId="77777777" w:rsidR="007D5E58" w:rsidRPr="00CA2018" w:rsidRDefault="007D5E58" w:rsidP="00A53840">
            <w:pPr>
              <w:spacing w:after="120"/>
              <w:ind w:left="176" w:firstLine="0"/>
              <w:rPr>
                <w:sz w:val="20"/>
                <w:szCs w:val="20"/>
              </w:rPr>
            </w:pPr>
          </w:p>
        </w:tc>
      </w:tr>
      <w:tr w:rsidR="007D5E58" w:rsidRPr="00CA2018" w14:paraId="02E9D27E" w14:textId="77777777" w:rsidTr="00974425">
        <w:trPr>
          <w:trHeight w:val="310"/>
        </w:trPr>
        <w:tc>
          <w:tcPr>
            <w:tcW w:w="3823" w:type="dxa"/>
            <w:gridSpan w:val="2"/>
          </w:tcPr>
          <w:p w14:paraId="042E8385"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Increase the range of home ownership and tenure options for people on low and low–middle incomes.</w:t>
            </w:r>
          </w:p>
        </w:tc>
        <w:tc>
          <w:tcPr>
            <w:tcW w:w="1275" w:type="dxa"/>
            <w:gridSpan w:val="3"/>
          </w:tcPr>
          <w:p w14:paraId="07782E4E"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Detailed Recs 85-87 (see Table 4). </w:t>
            </w:r>
          </w:p>
        </w:tc>
        <w:tc>
          <w:tcPr>
            <w:tcW w:w="3447" w:type="dxa"/>
            <w:gridSpan w:val="2"/>
          </w:tcPr>
          <w:p w14:paraId="28952786" w14:textId="7A10D02C" w:rsidR="007D5E58" w:rsidRPr="005C579C" w:rsidRDefault="007D5E58" w:rsidP="00A53840">
            <w:pPr>
              <w:ind w:left="178" w:firstLine="0"/>
              <w:rPr>
                <w:rFonts w:cstheme="minorHAnsi"/>
                <w:sz w:val="20"/>
                <w:szCs w:val="20"/>
              </w:rPr>
            </w:pPr>
            <w:r w:rsidRPr="005C579C">
              <w:rPr>
                <w:rFonts w:cstheme="minorHAnsi"/>
                <w:sz w:val="20"/>
                <w:szCs w:val="20"/>
              </w:rPr>
              <w:t>A 27 September 2021 Cabinet paper, Appendix Three, stated that “The Progressive Homeownership Scheme will help between 1,500 and 4,000 low to middle income households to access shared ownership, rent-to-buy, or leasehold arrangements to step into home ownership. ... Since the fund’s launch in July 2020, loans were confirmed with four providers to help 166 households and whānau step into home ownership in Auckland, Hamilton, Pāpāmoa, Nelson and Queenstown</w:t>
            </w:r>
            <w:r w:rsidR="00DD6074">
              <w:rPr>
                <w:rFonts w:cstheme="minorHAnsi"/>
                <w:sz w:val="20"/>
                <w:szCs w:val="20"/>
              </w:rPr>
              <w:t>” (MSD, 2021d).</w:t>
            </w:r>
          </w:p>
        </w:tc>
        <w:tc>
          <w:tcPr>
            <w:tcW w:w="3924" w:type="dxa"/>
            <w:gridSpan w:val="2"/>
            <w:shd w:val="clear" w:color="auto" w:fill="F7CAAC" w:themeFill="accent2" w:themeFillTint="66"/>
          </w:tcPr>
          <w:p w14:paraId="7D1A1A90" w14:textId="77777777" w:rsidR="007D5E58" w:rsidRPr="005C579C" w:rsidRDefault="007D5E58" w:rsidP="00A53840">
            <w:pPr>
              <w:ind w:left="178" w:firstLine="0"/>
              <w:rPr>
                <w:rFonts w:cstheme="minorHAnsi"/>
                <w:sz w:val="20"/>
                <w:szCs w:val="20"/>
              </w:rPr>
            </w:pPr>
            <w:r w:rsidRPr="005C579C">
              <w:rPr>
                <w:rFonts w:cstheme="minorHAnsi"/>
                <w:sz w:val="20"/>
                <w:szCs w:val="20"/>
              </w:rPr>
              <w:t>Minimally implemented.</w:t>
            </w:r>
          </w:p>
          <w:p w14:paraId="6D7A132D" w14:textId="77777777" w:rsidR="007D5E58" w:rsidRPr="005C579C" w:rsidRDefault="007D5E58" w:rsidP="00A53840">
            <w:pPr>
              <w:ind w:left="178" w:firstLine="0"/>
              <w:rPr>
                <w:rFonts w:cstheme="minorHAnsi"/>
                <w:sz w:val="20"/>
                <w:szCs w:val="20"/>
              </w:rPr>
            </w:pPr>
          </w:p>
          <w:p w14:paraId="7F3E91C4" w14:textId="7D860DD4" w:rsidR="007D5E58" w:rsidRPr="005C579C" w:rsidRDefault="007D5E58" w:rsidP="00A53840">
            <w:pPr>
              <w:spacing w:after="120"/>
              <w:ind w:left="176" w:firstLine="0"/>
              <w:rPr>
                <w:rFonts w:cstheme="minorHAnsi"/>
                <w:sz w:val="20"/>
                <w:szCs w:val="20"/>
              </w:rPr>
            </w:pPr>
            <w:r w:rsidRPr="005C579C">
              <w:rPr>
                <w:rFonts w:cstheme="minorHAnsi"/>
                <w:sz w:val="20"/>
                <w:szCs w:val="20"/>
              </w:rPr>
              <w:t>The Government stated that its Progressive Home Ownership scheme, announced in 2020, would help between 1,500 and 4,000 households, with priority given to Māori, Pacific peoples, and families with children</w:t>
            </w:r>
            <w:r w:rsidR="00DD6074">
              <w:rPr>
                <w:rFonts w:cstheme="minorHAnsi"/>
                <w:sz w:val="20"/>
                <w:szCs w:val="20"/>
              </w:rPr>
              <w:t xml:space="preserve"> (MHUD, 2021b).</w:t>
            </w:r>
            <w:r w:rsidR="00DD6074" w:rsidRPr="005C579C">
              <w:rPr>
                <w:rFonts w:cstheme="minorHAnsi"/>
                <w:sz w:val="20"/>
                <w:szCs w:val="20"/>
              </w:rPr>
              <w:t xml:space="preserve"> </w:t>
            </w:r>
            <w:r w:rsidRPr="005C579C">
              <w:rPr>
                <w:rFonts w:cstheme="minorHAnsi"/>
                <w:sz w:val="20"/>
                <w:szCs w:val="20"/>
              </w:rPr>
              <w:t>However, in the seven months since the launch of the scheme to February 2021, the scheme had housed just 12 families</w:t>
            </w:r>
            <w:r w:rsidR="009068E6">
              <w:rPr>
                <w:rFonts w:cstheme="minorHAnsi"/>
                <w:sz w:val="20"/>
                <w:szCs w:val="20"/>
              </w:rPr>
              <w:t xml:space="preserve"> (RNZ, 2021b)</w:t>
            </w:r>
            <w:r w:rsidRPr="005C579C">
              <w:rPr>
                <w:rFonts w:cstheme="minorHAnsi"/>
                <w:sz w:val="20"/>
                <w:szCs w:val="20"/>
              </w:rPr>
              <w:t xml:space="preserve">. Even if the original target is indeed met, the scale of this programme remains small in the context of the scale of the housing crisis, and the extent of inequities for Māori and Pacific peoples. Significant work remains to be done to ensure home ownership is affordable for more New Zealanders. </w:t>
            </w:r>
          </w:p>
          <w:p w14:paraId="1E6B061D" w14:textId="77777777" w:rsidR="007D5E58" w:rsidRPr="005C579C" w:rsidRDefault="007D5E58" w:rsidP="00A53840">
            <w:pPr>
              <w:spacing w:after="120"/>
              <w:ind w:left="176" w:firstLine="0"/>
              <w:rPr>
                <w:rFonts w:cstheme="minorHAnsi"/>
                <w:sz w:val="20"/>
                <w:szCs w:val="20"/>
              </w:rPr>
            </w:pPr>
          </w:p>
        </w:tc>
        <w:tc>
          <w:tcPr>
            <w:tcW w:w="2196" w:type="dxa"/>
            <w:gridSpan w:val="2"/>
            <w:shd w:val="clear" w:color="auto" w:fill="FFFFFF" w:themeFill="background1"/>
          </w:tcPr>
          <w:p w14:paraId="0AD64E65" w14:textId="77777777" w:rsidR="007D5E58" w:rsidRPr="00CA2018" w:rsidRDefault="007D5E58" w:rsidP="00A53840">
            <w:pPr>
              <w:ind w:left="178" w:firstLine="0"/>
              <w:rPr>
                <w:sz w:val="20"/>
                <w:szCs w:val="20"/>
              </w:rPr>
            </w:pPr>
            <w:r w:rsidRPr="00CA2018">
              <w:rPr>
                <w:sz w:val="20"/>
                <w:szCs w:val="20"/>
              </w:rPr>
              <w:t>No change since November 2020.</w:t>
            </w:r>
          </w:p>
          <w:p w14:paraId="5A8A3395" w14:textId="77777777" w:rsidR="007D5E58" w:rsidRPr="00CA2018" w:rsidRDefault="007D5E58" w:rsidP="00A53840">
            <w:pPr>
              <w:ind w:left="178" w:firstLine="0"/>
              <w:rPr>
                <w:sz w:val="20"/>
                <w:szCs w:val="20"/>
              </w:rPr>
            </w:pPr>
          </w:p>
        </w:tc>
      </w:tr>
      <w:tr w:rsidR="007D5E58" w:rsidRPr="00CA2018" w14:paraId="497AF680" w14:textId="77777777" w:rsidTr="00974425">
        <w:trPr>
          <w:trHeight w:val="310"/>
        </w:trPr>
        <w:tc>
          <w:tcPr>
            <w:tcW w:w="3823" w:type="dxa"/>
            <w:gridSpan w:val="2"/>
          </w:tcPr>
          <w:p w14:paraId="5F3CECCF"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Increase the capacity of third-sector community-based housing providers.</w:t>
            </w:r>
          </w:p>
        </w:tc>
        <w:tc>
          <w:tcPr>
            <w:tcW w:w="1275" w:type="dxa"/>
            <w:gridSpan w:val="3"/>
          </w:tcPr>
          <w:p w14:paraId="3F55B484"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55FB0B56" w14:textId="0D72356E" w:rsidR="007D5E58" w:rsidRPr="005C579C" w:rsidRDefault="007D5E58" w:rsidP="00A53840">
            <w:pPr>
              <w:spacing w:after="120"/>
              <w:ind w:left="176" w:firstLine="0"/>
              <w:rPr>
                <w:rFonts w:cstheme="minorHAnsi"/>
                <w:sz w:val="20"/>
                <w:szCs w:val="20"/>
              </w:rPr>
            </w:pPr>
            <w:r w:rsidRPr="005C579C">
              <w:rPr>
                <w:rFonts w:cstheme="minorHAnsi"/>
                <w:sz w:val="20"/>
                <w:szCs w:val="20"/>
              </w:rPr>
              <w:t>A 27 September 2021 Cabinet paper,  Appendix Three, stated that “HUD* is working closely with Homelessness Sector Services, formed by Te Matapihi and Community Housing Aotearoa, to identify the needs of providers, build their capability and capacity and promote effective practices, such as trauma-informed care approaches and supporting Kaupapa Māori approaches</w:t>
            </w:r>
            <w:r w:rsidR="009068E6">
              <w:rPr>
                <w:rFonts w:cstheme="minorHAnsi"/>
                <w:sz w:val="20"/>
                <w:szCs w:val="20"/>
              </w:rPr>
              <w:t>” (MSD, 2021d).</w:t>
            </w:r>
          </w:p>
          <w:p w14:paraId="1AEEC4DA" w14:textId="77777777" w:rsidR="007D5E58" w:rsidRPr="005C579C" w:rsidRDefault="007D5E58" w:rsidP="00A53840">
            <w:pPr>
              <w:spacing w:after="120"/>
              <w:ind w:firstLine="0"/>
              <w:rPr>
                <w:rFonts w:cstheme="minorHAnsi"/>
                <w:sz w:val="20"/>
                <w:szCs w:val="20"/>
              </w:rPr>
            </w:pPr>
            <w:r w:rsidRPr="005C579C">
              <w:rPr>
                <w:rFonts w:cstheme="minorHAnsi"/>
                <w:sz w:val="20"/>
                <w:szCs w:val="20"/>
              </w:rPr>
              <w:t>*Ministry for Housing and Urban Development</w:t>
            </w:r>
          </w:p>
        </w:tc>
        <w:tc>
          <w:tcPr>
            <w:tcW w:w="3924" w:type="dxa"/>
            <w:gridSpan w:val="2"/>
            <w:shd w:val="clear" w:color="auto" w:fill="F4B083" w:themeFill="accent2" w:themeFillTint="99"/>
          </w:tcPr>
          <w:p w14:paraId="5502942B" w14:textId="77777777" w:rsidR="007D5E58" w:rsidRPr="005C579C" w:rsidRDefault="007D5E58" w:rsidP="00A53840">
            <w:pPr>
              <w:ind w:left="178" w:firstLine="0"/>
              <w:rPr>
                <w:rFonts w:cstheme="minorHAnsi"/>
                <w:sz w:val="20"/>
                <w:szCs w:val="20"/>
              </w:rPr>
            </w:pPr>
            <w:r w:rsidRPr="005C579C">
              <w:rPr>
                <w:rFonts w:cstheme="minorHAnsi"/>
                <w:sz w:val="20"/>
                <w:szCs w:val="20"/>
              </w:rPr>
              <w:t>Minimal implementation.</w:t>
            </w:r>
          </w:p>
          <w:p w14:paraId="5EFB1F91" w14:textId="77777777" w:rsidR="007D5E58" w:rsidRPr="005C579C" w:rsidRDefault="007D5E58" w:rsidP="00A53840">
            <w:pPr>
              <w:ind w:left="178" w:firstLine="0"/>
              <w:rPr>
                <w:rFonts w:cstheme="minorHAnsi"/>
                <w:sz w:val="20"/>
                <w:szCs w:val="20"/>
              </w:rPr>
            </w:pPr>
          </w:p>
          <w:p w14:paraId="62F6F7BB" w14:textId="664E69C2" w:rsidR="007D5E58" w:rsidRPr="005C579C" w:rsidRDefault="007D5E58" w:rsidP="00A53840">
            <w:pPr>
              <w:ind w:left="178" w:firstLine="0"/>
              <w:rPr>
                <w:rFonts w:cstheme="minorHAnsi"/>
                <w:sz w:val="20"/>
                <w:szCs w:val="20"/>
              </w:rPr>
            </w:pPr>
            <w:r w:rsidRPr="005C579C">
              <w:rPr>
                <w:rFonts w:cstheme="minorHAnsi"/>
                <w:sz w:val="20"/>
                <w:szCs w:val="20"/>
              </w:rPr>
              <w:t>In August 2021, the Government reinstated upfront funding for community housing providers, bringing forward funding the Government already provides to Community Housing Providers in order to assist with early-stage costs associated with new build projects</w:t>
            </w:r>
            <w:r w:rsidR="009068E6">
              <w:rPr>
                <w:rFonts w:cstheme="minorHAnsi"/>
                <w:sz w:val="20"/>
                <w:szCs w:val="20"/>
              </w:rPr>
              <w:t xml:space="preserve"> (NZ Government, 2021f)</w:t>
            </w:r>
            <w:r w:rsidRPr="005C579C">
              <w:rPr>
                <w:rFonts w:cstheme="minorHAnsi"/>
                <w:sz w:val="20"/>
                <w:szCs w:val="20"/>
              </w:rPr>
              <w:t>. This will be particularly important for emerging providers.</w:t>
            </w:r>
          </w:p>
          <w:p w14:paraId="378ABD04" w14:textId="77777777" w:rsidR="007D5E58" w:rsidRPr="005C579C" w:rsidRDefault="007D5E58" w:rsidP="00A53840">
            <w:pPr>
              <w:ind w:left="178" w:firstLine="0"/>
              <w:rPr>
                <w:rFonts w:cstheme="minorHAnsi"/>
                <w:sz w:val="20"/>
                <w:szCs w:val="20"/>
              </w:rPr>
            </w:pPr>
          </w:p>
          <w:p w14:paraId="6082147F" w14:textId="7249FE9F" w:rsidR="007D5E58" w:rsidRPr="005C579C" w:rsidRDefault="007D5E58" w:rsidP="00A53840">
            <w:pPr>
              <w:ind w:left="178" w:firstLine="0"/>
              <w:rPr>
                <w:rFonts w:cstheme="minorHAnsi"/>
                <w:sz w:val="20"/>
                <w:szCs w:val="20"/>
              </w:rPr>
            </w:pPr>
            <w:r w:rsidRPr="005C579C">
              <w:rPr>
                <w:rFonts w:cstheme="minorHAnsi"/>
                <w:sz w:val="20"/>
                <w:szCs w:val="20"/>
              </w:rPr>
              <w:t>Additional funding has also been announced for Māori-led housing solutions, such as the Whai Kāinga Whai Oranga announcement as part of Budget 2021, which constitutes the “largest investment ever in Māori housing”</w:t>
            </w:r>
            <w:r w:rsidR="009068E6">
              <w:rPr>
                <w:rFonts w:cstheme="minorHAnsi"/>
                <w:sz w:val="20"/>
                <w:szCs w:val="20"/>
              </w:rPr>
              <w:t xml:space="preserve"> (MHUD, 2021c).</w:t>
            </w:r>
            <w:r w:rsidRPr="005C579C">
              <w:rPr>
                <w:rFonts w:cstheme="minorHAnsi"/>
                <w:sz w:val="20"/>
                <w:szCs w:val="20"/>
              </w:rPr>
              <w:t xml:space="preserve"> Alongside the MAIHI framework, these intiatives are both great steps in building the capacity of iwi Māori to respond to housing need.</w:t>
            </w:r>
          </w:p>
          <w:p w14:paraId="7959485D" w14:textId="77777777" w:rsidR="007D5E58" w:rsidRPr="005C579C" w:rsidRDefault="007D5E58" w:rsidP="00A53840">
            <w:pPr>
              <w:ind w:left="178" w:firstLine="0"/>
              <w:rPr>
                <w:rFonts w:cstheme="minorHAnsi"/>
                <w:sz w:val="20"/>
                <w:szCs w:val="20"/>
              </w:rPr>
            </w:pPr>
          </w:p>
          <w:p w14:paraId="713A1E21"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Overall, however, the Government continues to emphasise Kainga Ora as the preferred provider of social housing, with community housing looked to as a supplement for state housing. </w:t>
            </w:r>
          </w:p>
        </w:tc>
        <w:tc>
          <w:tcPr>
            <w:tcW w:w="2196" w:type="dxa"/>
            <w:gridSpan w:val="2"/>
            <w:shd w:val="clear" w:color="auto" w:fill="DEEAF6" w:themeFill="accent5" w:themeFillTint="33"/>
          </w:tcPr>
          <w:p w14:paraId="5DA2CC0D" w14:textId="77777777" w:rsidR="007D5E58" w:rsidRPr="00CA2018" w:rsidRDefault="007D5E58" w:rsidP="00A53840">
            <w:pPr>
              <w:ind w:left="0" w:firstLine="0"/>
              <w:rPr>
                <w:sz w:val="20"/>
                <w:szCs w:val="20"/>
              </w:rPr>
            </w:pPr>
            <w:r w:rsidRPr="00CA2018">
              <w:rPr>
                <w:sz w:val="20"/>
                <w:szCs w:val="20"/>
              </w:rPr>
              <w:t>Progressed from no evidence to minimal implementation.</w:t>
            </w:r>
          </w:p>
        </w:tc>
      </w:tr>
      <w:tr w:rsidR="007D5E58" w:rsidRPr="00CA2018" w14:paraId="6430978B" w14:textId="77777777" w:rsidTr="00974425">
        <w:trPr>
          <w:trHeight w:val="310"/>
        </w:trPr>
        <w:tc>
          <w:tcPr>
            <w:tcW w:w="3823" w:type="dxa"/>
            <w:gridSpan w:val="2"/>
          </w:tcPr>
          <w:p w14:paraId="0D4F55EF"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Develop and enact laws and regulations to ensure healthy homes and housing security, decent standards of housing quality, universal design, and accessibility.</w:t>
            </w:r>
          </w:p>
        </w:tc>
        <w:tc>
          <w:tcPr>
            <w:tcW w:w="1275" w:type="dxa"/>
            <w:gridSpan w:val="3"/>
          </w:tcPr>
          <w:p w14:paraId="37A0659A"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1F668C21" w14:textId="77777777" w:rsidR="007D5E58" w:rsidRPr="005C579C" w:rsidRDefault="007D5E58" w:rsidP="00A53840">
            <w:pPr>
              <w:spacing w:before="120"/>
              <w:ind w:left="176" w:firstLine="0"/>
              <w:rPr>
                <w:rFonts w:cstheme="minorHAnsi"/>
                <w:sz w:val="20"/>
                <w:szCs w:val="20"/>
              </w:rPr>
            </w:pPr>
          </w:p>
        </w:tc>
        <w:tc>
          <w:tcPr>
            <w:tcW w:w="3924" w:type="dxa"/>
            <w:gridSpan w:val="2"/>
            <w:shd w:val="clear" w:color="auto" w:fill="FFE599" w:themeFill="accent4" w:themeFillTint="66"/>
          </w:tcPr>
          <w:p w14:paraId="3C1A96E5" w14:textId="77777777" w:rsidR="007D5E58" w:rsidRPr="005C579C" w:rsidRDefault="007D5E58" w:rsidP="00A53840">
            <w:pPr>
              <w:ind w:left="178" w:firstLine="0"/>
              <w:rPr>
                <w:rFonts w:cstheme="minorHAnsi"/>
                <w:sz w:val="20"/>
                <w:szCs w:val="20"/>
              </w:rPr>
            </w:pPr>
            <w:r w:rsidRPr="005C579C">
              <w:rPr>
                <w:rFonts w:cstheme="minorHAnsi"/>
                <w:sz w:val="20"/>
                <w:szCs w:val="20"/>
              </w:rPr>
              <w:t>Partially implemented.</w:t>
            </w:r>
          </w:p>
          <w:p w14:paraId="631B9EEA" w14:textId="77777777" w:rsidR="007D5E58" w:rsidRPr="005C579C" w:rsidRDefault="007D5E58" w:rsidP="00A53840">
            <w:pPr>
              <w:ind w:left="178" w:firstLine="0"/>
              <w:rPr>
                <w:rFonts w:cstheme="minorHAnsi"/>
                <w:sz w:val="20"/>
                <w:szCs w:val="20"/>
              </w:rPr>
            </w:pPr>
          </w:p>
          <w:p w14:paraId="35AC5B0A"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Changes have made incremental improvements to protect tenants, however further work is needed to tighten regulations to ensure people have access to accessible, healthy homes. </w:t>
            </w:r>
          </w:p>
          <w:p w14:paraId="302D54EB" w14:textId="77777777" w:rsidR="007D5E58" w:rsidRPr="005C579C" w:rsidRDefault="007D5E58" w:rsidP="00A53840">
            <w:pPr>
              <w:ind w:left="178" w:firstLine="0"/>
              <w:rPr>
                <w:rFonts w:cstheme="minorHAnsi"/>
                <w:sz w:val="20"/>
                <w:szCs w:val="20"/>
              </w:rPr>
            </w:pPr>
          </w:p>
          <w:p w14:paraId="1119F36B" w14:textId="4E038C6D" w:rsidR="007D5E58" w:rsidRPr="005C579C" w:rsidRDefault="007D5E58" w:rsidP="009068E6">
            <w:pPr>
              <w:spacing w:after="120"/>
              <w:ind w:left="176" w:firstLine="0"/>
              <w:rPr>
                <w:rFonts w:cstheme="minorHAnsi"/>
                <w:sz w:val="20"/>
                <w:szCs w:val="20"/>
              </w:rPr>
            </w:pPr>
            <w:r w:rsidRPr="005C579C">
              <w:rPr>
                <w:rFonts w:cstheme="minorHAnsi"/>
                <w:sz w:val="20"/>
                <w:szCs w:val="20"/>
              </w:rPr>
              <w:t xml:space="preserve">The 2017 Healthy Homes Guarantee Act sets heating and insulation requirements. Healthy Homes Standards are not enforceable in public housing (Kāinga Ora) until 1 July 2023, meaning state housing tenants have not necessarily seen improvements in their quality of housing. Moreover it is still more than 2 years away (1 July 2024) – that all rental homes must comply. </w:t>
            </w:r>
          </w:p>
          <w:p w14:paraId="2B9C090B" w14:textId="755CF772" w:rsidR="007D5E58" w:rsidRPr="005C579C" w:rsidRDefault="007D5E58" w:rsidP="00A53840">
            <w:pPr>
              <w:spacing w:after="120"/>
              <w:ind w:left="176" w:firstLine="0"/>
              <w:rPr>
                <w:rFonts w:cstheme="minorHAnsi"/>
                <w:sz w:val="20"/>
                <w:szCs w:val="20"/>
              </w:rPr>
            </w:pPr>
            <w:r w:rsidRPr="005C579C">
              <w:rPr>
                <w:rFonts w:cstheme="minorHAnsi"/>
                <w:sz w:val="20"/>
                <w:szCs w:val="20"/>
              </w:rPr>
              <w:t>In August 2020 the Residential Tenancies Amendment Act came into force. This amendment means that rent increases are limited to once every 12 months</w:t>
            </w:r>
            <w:r w:rsidR="00ED1817">
              <w:rPr>
                <w:rFonts w:cstheme="minorHAnsi"/>
                <w:sz w:val="20"/>
                <w:szCs w:val="20"/>
              </w:rPr>
              <w:t xml:space="preserve"> (Tenancy Services, 2020)</w:t>
            </w:r>
            <w:r w:rsidRPr="005C579C">
              <w:rPr>
                <w:rFonts w:cstheme="minorHAnsi"/>
                <w:sz w:val="20"/>
                <w:szCs w:val="20"/>
              </w:rPr>
              <w:t xml:space="preserve">. Further changes were applied from 11 February 2021, including preventing landlords from ending a periodic tenancy without 90 days’ notice, and banning rental bidding. </w:t>
            </w:r>
          </w:p>
          <w:p w14:paraId="1C13B52D" w14:textId="72CA4D45" w:rsidR="007D5E58" w:rsidRPr="005C579C" w:rsidRDefault="007D5E58" w:rsidP="00A53840">
            <w:pPr>
              <w:spacing w:after="120"/>
              <w:ind w:left="176" w:firstLine="0"/>
              <w:rPr>
                <w:rFonts w:cstheme="minorHAnsi"/>
                <w:sz w:val="20"/>
                <w:szCs w:val="20"/>
              </w:rPr>
            </w:pPr>
            <w:r w:rsidRPr="005C579C">
              <w:rPr>
                <w:rFonts w:cstheme="minorHAnsi"/>
                <w:sz w:val="20"/>
                <w:szCs w:val="20"/>
              </w:rPr>
              <w:t>However, the onus remains on tenants to raise any concerns about landlord compliance with the Tenancy Tribunal, which is an onerous task that can jeopardise tenants’ housing circumstances</w:t>
            </w:r>
            <w:r w:rsidR="00ED1817">
              <w:rPr>
                <w:rFonts w:cstheme="minorHAnsi"/>
                <w:sz w:val="20"/>
                <w:szCs w:val="20"/>
              </w:rPr>
              <w:t xml:space="preserve"> (Andelane, 2021).</w:t>
            </w:r>
            <w:r w:rsidRPr="005C579C">
              <w:rPr>
                <w:rFonts w:cstheme="minorHAnsi"/>
                <w:sz w:val="20"/>
                <w:szCs w:val="20"/>
              </w:rPr>
              <w:t xml:space="preserve"> In a tight rental market, proactive enforcement of these regulations is necessary to ensure tenants are accessing rental homes that are compliant with this new legislation. </w:t>
            </w:r>
          </w:p>
          <w:p w14:paraId="3B1A5272" w14:textId="17409503" w:rsidR="007D5E58" w:rsidRPr="005C579C" w:rsidRDefault="007D5E58" w:rsidP="00A53840">
            <w:pPr>
              <w:spacing w:after="120"/>
              <w:ind w:left="176" w:firstLine="0"/>
              <w:rPr>
                <w:rFonts w:cstheme="minorHAnsi"/>
                <w:sz w:val="20"/>
                <w:szCs w:val="20"/>
              </w:rPr>
            </w:pPr>
            <w:r w:rsidRPr="005C579C">
              <w:rPr>
                <w:rFonts w:cstheme="minorHAnsi"/>
                <w:sz w:val="20"/>
                <w:szCs w:val="20"/>
              </w:rPr>
              <w:t>Disabled people with accessibility needs continue to struggle with a lack of choice with regards to housing, and research suggests a significant proportion of disabled people and their family and whānau feel a sense of tenure insecurity</w:t>
            </w:r>
            <w:r w:rsidR="00ED1817">
              <w:rPr>
                <w:rFonts w:cstheme="minorHAnsi"/>
                <w:sz w:val="20"/>
                <w:szCs w:val="20"/>
              </w:rPr>
              <w:t xml:space="preserve"> (Brown &amp; Johnson, 2021).</w:t>
            </w:r>
            <w:r w:rsidR="00ED1817" w:rsidRPr="005C579C">
              <w:rPr>
                <w:rFonts w:cstheme="minorHAnsi"/>
                <w:sz w:val="20"/>
                <w:szCs w:val="20"/>
              </w:rPr>
              <w:t xml:space="preserve"> </w:t>
            </w:r>
            <w:r w:rsidRPr="005C579C">
              <w:rPr>
                <w:rFonts w:cstheme="minorHAnsi"/>
                <w:sz w:val="20"/>
                <w:szCs w:val="20"/>
              </w:rPr>
              <w:t>We note that only 15 percent of new Kainga Ora builds are required to meet full universal design standards</w:t>
            </w:r>
            <w:r w:rsidR="00ED1817">
              <w:rPr>
                <w:rFonts w:cstheme="minorHAnsi"/>
                <w:sz w:val="20"/>
                <w:szCs w:val="20"/>
              </w:rPr>
              <w:t xml:space="preserve"> (Kāinga Ora, 2019)</w:t>
            </w:r>
            <w:r w:rsidRPr="005C579C">
              <w:rPr>
                <w:rFonts w:cstheme="minorHAnsi"/>
                <w:sz w:val="20"/>
                <w:szCs w:val="20"/>
              </w:rPr>
              <w:t>, and yet roughly 24 percent of New Zealanders identified as disabled in 2013</w:t>
            </w:r>
            <w:r w:rsidR="00ED1817">
              <w:rPr>
                <w:rFonts w:cstheme="minorHAnsi"/>
                <w:sz w:val="20"/>
                <w:szCs w:val="20"/>
              </w:rPr>
              <w:t xml:space="preserve"> (Ministry of Health, 2013).</w:t>
            </w:r>
          </w:p>
          <w:p w14:paraId="7BD9A3BF" w14:textId="77777777" w:rsidR="007D5E58" w:rsidRPr="005C579C" w:rsidRDefault="007D5E58" w:rsidP="00A53840">
            <w:pPr>
              <w:spacing w:after="120"/>
              <w:ind w:left="176" w:firstLine="0"/>
              <w:rPr>
                <w:rFonts w:cstheme="minorHAnsi"/>
                <w:sz w:val="20"/>
                <w:szCs w:val="20"/>
              </w:rPr>
            </w:pPr>
          </w:p>
        </w:tc>
        <w:tc>
          <w:tcPr>
            <w:tcW w:w="2196" w:type="dxa"/>
            <w:gridSpan w:val="2"/>
            <w:shd w:val="clear" w:color="auto" w:fill="FFFFFF" w:themeFill="background1"/>
          </w:tcPr>
          <w:p w14:paraId="676BC966" w14:textId="77777777" w:rsidR="007D5E58" w:rsidRPr="00CA2018" w:rsidRDefault="007D5E58" w:rsidP="00A53840">
            <w:pPr>
              <w:ind w:left="178" w:firstLine="0"/>
              <w:rPr>
                <w:sz w:val="20"/>
                <w:szCs w:val="20"/>
              </w:rPr>
            </w:pPr>
            <w:r w:rsidRPr="00CA2018">
              <w:rPr>
                <w:sz w:val="20"/>
                <w:szCs w:val="20"/>
              </w:rPr>
              <w:t>No change since November 2020.</w:t>
            </w:r>
          </w:p>
          <w:p w14:paraId="2D1A475D" w14:textId="77777777" w:rsidR="007D5E58" w:rsidRPr="00CA2018" w:rsidRDefault="007D5E58" w:rsidP="00A53840">
            <w:pPr>
              <w:ind w:left="178" w:firstLine="0"/>
              <w:rPr>
                <w:sz w:val="20"/>
                <w:szCs w:val="20"/>
              </w:rPr>
            </w:pPr>
          </w:p>
        </w:tc>
      </w:tr>
      <w:tr w:rsidR="007D5E58" w:rsidRPr="00CA2018" w14:paraId="63720D7D" w14:textId="77777777" w:rsidTr="00974425">
        <w:trPr>
          <w:trHeight w:val="310"/>
        </w:trPr>
        <w:tc>
          <w:tcPr>
            <w:tcW w:w="3823" w:type="dxa"/>
            <w:gridSpan w:val="2"/>
          </w:tcPr>
          <w:p w14:paraId="3732AAC1"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Subsidise housing costs for people on low incomes (in addition to raising main benefit rates to provide an adequate income) and ensure the combination of changes to housing support and abatement rates make households better off.</w:t>
            </w:r>
          </w:p>
        </w:tc>
        <w:tc>
          <w:tcPr>
            <w:tcW w:w="1275" w:type="dxa"/>
            <w:gridSpan w:val="3"/>
          </w:tcPr>
          <w:p w14:paraId="2DCD803C" w14:textId="77777777" w:rsidR="007D5E58" w:rsidRPr="005C579C" w:rsidRDefault="007D5E58" w:rsidP="00974425">
            <w:pPr>
              <w:ind w:left="33" w:right="33" w:firstLine="0"/>
              <w:rPr>
                <w:rFonts w:cstheme="minorHAnsi"/>
                <w:sz w:val="20"/>
                <w:szCs w:val="20"/>
              </w:rPr>
            </w:pPr>
            <w:r w:rsidRPr="005C579C">
              <w:rPr>
                <w:rFonts w:cstheme="minorHAnsi"/>
                <w:sz w:val="20"/>
                <w:szCs w:val="20"/>
              </w:rPr>
              <w:t>Nil</w:t>
            </w:r>
          </w:p>
        </w:tc>
        <w:tc>
          <w:tcPr>
            <w:tcW w:w="3447" w:type="dxa"/>
            <w:gridSpan w:val="2"/>
          </w:tcPr>
          <w:p w14:paraId="3FBD5AA2" w14:textId="176679C6"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A 27 September 2021 Cabinet paper,  Appendix Three, stated that “The review of housing subsidies remains under the medium to longer-term work programme. Advice on Accommodation Supplement (AS) continues to be a focus in the review and has been brought forward alongside the review of Working for Families. In June 2021, officials provided advice setting out key concerns and seeking joint Ministers’ feedback on the proposed scope and objectives for the review</w:t>
            </w:r>
            <w:r w:rsidR="00ED1817">
              <w:rPr>
                <w:rFonts w:cstheme="minorHAnsi"/>
                <w:sz w:val="20"/>
                <w:szCs w:val="20"/>
              </w:rPr>
              <w:t>” (MSD, 2021d).</w:t>
            </w:r>
          </w:p>
        </w:tc>
        <w:tc>
          <w:tcPr>
            <w:tcW w:w="3924" w:type="dxa"/>
            <w:gridSpan w:val="2"/>
            <w:shd w:val="clear" w:color="auto" w:fill="FFA5A5"/>
          </w:tcPr>
          <w:p w14:paraId="5E4AD4B6" w14:textId="77777777" w:rsidR="007D5E58" w:rsidRPr="005C579C" w:rsidRDefault="007D5E58" w:rsidP="00A53840">
            <w:pPr>
              <w:ind w:left="178" w:firstLine="0"/>
              <w:rPr>
                <w:rFonts w:cstheme="minorHAnsi"/>
                <w:sz w:val="20"/>
                <w:szCs w:val="20"/>
              </w:rPr>
            </w:pPr>
            <w:r w:rsidRPr="005C579C">
              <w:rPr>
                <w:rFonts w:cstheme="minorHAnsi"/>
                <w:sz w:val="20"/>
                <w:szCs w:val="20"/>
              </w:rPr>
              <w:t>No evidence of implementation.</w:t>
            </w:r>
          </w:p>
          <w:p w14:paraId="77CF3E7A" w14:textId="77777777" w:rsidR="007D5E58" w:rsidRPr="005C579C" w:rsidRDefault="007D5E58" w:rsidP="00A53840">
            <w:pPr>
              <w:ind w:left="178" w:firstLine="0"/>
              <w:rPr>
                <w:rFonts w:cstheme="minorHAnsi"/>
                <w:sz w:val="20"/>
                <w:szCs w:val="20"/>
              </w:rPr>
            </w:pPr>
          </w:p>
          <w:p w14:paraId="649CD1E4" w14:textId="5085991F" w:rsidR="007D5E58" w:rsidRPr="005C579C" w:rsidRDefault="007D5E58" w:rsidP="00A53840">
            <w:pPr>
              <w:ind w:left="178" w:firstLine="0"/>
              <w:rPr>
                <w:rFonts w:cstheme="minorHAnsi"/>
                <w:sz w:val="20"/>
                <w:szCs w:val="20"/>
              </w:rPr>
            </w:pPr>
            <w:r w:rsidRPr="005C579C">
              <w:rPr>
                <w:rFonts w:cstheme="minorHAnsi"/>
                <w:sz w:val="20"/>
                <w:szCs w:val="20"/>
              </w:rPr>
              <w:t>An upcoming review of the Accommodation Supplement has been announced alongside the review of Working for Families, but it is unclear what the objectives of the AS review are</w:t>
            </w:r>
            <w:r w:rsidR="00ED1817">
              <w:rPr>
                <w:rFonts w:cstheme="minorHAnsi"/>
                <w:sz w:val="20"/>
                <w:szCs w:val="20"/>
              </w:rPr>
              <w:t xml:space="preserve"> (RNZ, 2021a).</w:t>
            </w:r>
            <w:r w:rsidRPr="005C579C">
              <w:rPr>
                <w:rFonts w:cstheme="minorHAnsi"/>
                <w:sz w:val="20"/>
                <w:szCs w:val="20"/>
              </w:rPr>
              <w:t xml:space="preserve"> </w:t>
            </w:r>
          </w:p>
        </w:tc>
        <w:tc>
          <w:tcPr>
            <w:tcW w:w="2196" w:type="dxa"/>
            <w:gridSpan w:val="2"/>
            <w:shd w:val="clear" w:color="auto" w:fill="FFFFFF" w:themeFill="background1"/>
          </w:tcPr>
          <w:p w14:paraId="6F2D1688" w14:textId="77777777" w:rsidR="007D5E58" w:rsidRPr="00CA2018" w:rsidRDefault="007D5E58" w:rsidP="00A53840">
            <w:pPr>
              <w:ind w:left="178" w:firstLine="0"/>
              <w:rPr>
                <w:sz w:val="20"/>
                <w:szCs w:val="20"/>
              </w:rPr>
            </w:pPr>
            <w:r w:rsidRPr="00CA2018">
              <w:rPr>
                <w:sz w:val="20"/>
                <w:szCs w:val="20"/>
              </w:rPr>
              <w:t>No change since November 2020.</w:t>
            </w:r>
          </w:p>
          <w:p w14:paraId="2FC63F2A" w14:textId="77777777" w:rsidR="007D5E58" w:rsidRPr="00CA2018" w:rsidRDefault="007D5E58" w:rsidP="00A53840">
            <w:pPr>
              <w:ind w:left="178" w:firstLine="0"/>
              <w:rPr>
                <w:sz w:val="20"/>
                <w:szCs w:val="20"/>
              </w:rPr>
            </w:pPr>
          </w:p>
        </w:tc>
      </w:tr>
      <w:tr w:rsidR="007D5E58" w:rsidRPr="00CA2018" w14:paraId="5579AC78" w14:textId="77777777" w:rsidTr="00974425">
        <w:trPr>
          <w:trHeight w:val="310"/>
        </w:trPr>
        <w:tc>
          <w:tcPr>
            <w:tcW w:w="3823" w:type="dxa"/>
            <w:gridSpan w:val="2"/>
          </w:tcPr>
          <w:p w14:paraId="297C6F72"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Improve access to affordable, suitable housing support for people on low and low–middle incomes, including a range of affordable home-ownership products and papakāinga housing.</w:t>
            </w:r>
          </w:p>
        </w:tc>
        <w:tc>
          <w:tcPr>
            <w:tcW w:w="1275" w:type="dxa"/>
            <w:gridSpan w:val="3"/>
          </w:tcPr>
          <w:p w14:paraId="25CC25A2"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Detailed Recs 88-92 (see Table 4) </w:t>
            </w:r>
          </w:p>
        </w:tc>
        <w:tc>
          <w:tcPr>
            <w:tcW w:w="3447" w:type="dxa"/>
            <w:gridSpan w:val="2"/>
          </w:tcPr>
          <w:p w14:paraId="23CC7AB1" w14:textId="6F8F7D9B"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In a 27 September 2021 Cabinet paper, Appendix Three, the Government stated that “HUD* is progressing work on improving housing affordability, particularly through the supply of land, the role of regulation, the provision of infrastructure, the cost of building materials and increasing skills and the level of innovation in the construction sector”</w:t>
            </w:r>
            <w:r w:rsidR="00ED1817">
              <w:rPr>
                <w:rFonts w:cstheme="minorHAnsi"/>
                <w:sz w:val="20"/>
                <w:szCs w:val="20"/>
              </w:rPr>
              <w:t xml:space="preserve"> (MSD, 2021d).</w:t>
            </w:r>
            <w:r w:rsidRPr="005C579C">
              <w:rPr>
                <w:rFonts w:cstheme="minorHAnsi"/>
                <w:sz w:val="20"/>
                <w:szCs w:val="20"/>
              </w:rPr>
              <w:t xml:space="preserve"> The Cabinet paper appendix also stated that “Advice to improve housing supply and affordability was provided to Ministers in January 2021. This work complements the demand-side measures developed by the Treasury and Inland Revenue. … On 23 March 2021, the Government announced new measures to increase the pace and scale of housing delivery to support more people into home ownership”</w:t>
            </w:r>
            <w:r w:rsidR="00ED1817">
              <w:rPr>
                <w:rFonts w:cstheme="minorHAnsi"/>
                <w:sz w:val="20"/>
                <w:szCs w:val="20"/>
              </w:rPr>
              <w:t xml:space="preserve"> (MSD, 2021d).</w:t>
            </w:r>
          </w:p>
          <w:p w14:paraId="768B8CAC" w14:textId="77777777" w:rsidR="007D5E58" w:rsidRPr="005C579C" w:rsidRDefault="007D5E58" w:rsidP="00A53840">
            <w:pPr>
              <w:spacing w:before="120" w:after="120"/>
              <w:ind w:left="176" w:firstLine="0"/>
              <w:rPr>
                <w:rFonts w:cstheme="minorHAnsi"/>
                <w:sz w:val="20"/>
                <w:szCs w:val="20"/>
              </w:rPr>
            </w:pPr>
          </w:p>
          <w:p w14:paraId="62A0A169"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*Ministry for Housing and Urban Development</w:t>
            </w:r>
          </w:p>
        </w:tc>
        <w:tc>
          <w:tcPr>
            <w:tcW w:w="3924" w:type="dxa"/>
            <w:gridSpan w:val="2"/>
            <w:shd w:val="clear" w:color="auto" w:fill="FFE599" w:themeFill="accent4" w:themeFillTint="66"/>
          </w:tcPr>
          <w:p w14:paraId="475D2DF5" w14:textId="77777777" w:rsidR="007D5E58" w:rsidRPr="005C579C" w:rsidRDefault="007D5E58" w:rsidP="00A53840">
            <w:pPr>
              <w:ind w:left="178" w:firstLine="0"/>
              <w:rPr>
                <w:rFonts w:cstheme="minorHAnsi"/>
                <w:sz w:val="20"/>
                <w:szCs w:val="20"/>
              </w:rPr>
            </w:pPr>
            <w:r w:rsidRPr="005C579C">
              <w:rPr>
                <w:rFonts w:cstheme="minorHAnsi"/>
                <w:sz w:val="20"/>
                <w:szCs w:val="20"/>
              </w:rPr>
              <w:t>Partial implementation</w:t>
            </w:r>
          </w:p>
          <w:p w14:paraId="5CB8F0A9" w14:textId="77777777" w:rsidR="007D5E58" w:rsidRPr="005C579C" w:rsidRDefault="007D5E58" w:rsidP="00A53840">
            <w:pPr>
              <w:ind w:left="178" w:firstLine="0"/>
              <w:rPr>
                <w:rFonts w:cstheme="minorHAnsi"/>
                <w:sz w:val="20"/>
                <w:szCs w:val="20"/>
              </w:rPr>
            </w:pPr>
          </w:p>
          <w:p w14:paraId="3DF5695F" w14:textId="5C5DAFE7" w:rsidR="007D5E58" w:rsidRPr="005C579C" w:rsidRDefault="007D5E58" w:rsidP="00A53840">
            <w:pPr>
              <w:ind w:left="178" w:firstLine="0"/>
              <w:rPr>
                <w:rFonts w:cstheme="minorHAnsi"/>
                <w:sz w:val="20"/>
                <w:szCs w:val="20"/>
              </w:rPr>
            </w:pPr>
            <w:r w:rsidRPr="005C579C">
              <w:rPr>
                <w:rFonts w:cstheme="minorHAnsi"/>
                <w:sz w:val="20"/>
                <w:szCs w:val="20"/>
              </w:rPr>
              <w:t>Budget 2021 included a boost to funding for Māori housing initiatives including papakāinga housing and repairs to Māori-owned homes</w:t>
            </w:r>
            <w:r w:rsidR="00ED1817">
              <w:rPr>
                <w:rFonts w:cstheme="minorHAnsi"/>
                <w:sz w:val="20"/>
                <w:szCs w:val="20"/>
              </w:rPr>
              <w:t xml:space="preserve"> (NZ Government, 2021c)</w:t>
            </w:r>
            <w:r w:rsidRPr="005C579C">
              <w:rPr>
                <w:rFonts w:cstheme="minorHAnsi"/>
                <w:sz w:val="20"/>
                <w:szCs w:val="20"/>
              </w:rPr>
              <w:t>. This investment is estimated to enable 2,700 new houses. Given that half of the 24,000 households on the state housing register as at June 2021 are Māori, due to ongoing colonisation and racism, this funding is not a silver bullet, but this announcement has had significant support from many Māori housing advocates</w:t>
            </w:r>
            <w:r w:rsidR="009144F3">
              <w:rPr>
                <w:rFonts w:cstheme="minorHAnsi"/>
                <w:sz w:val="20"/>
                <w:szCs w:val="20"/>
              </w:rPr>
              <w:t xml:space="preserve"> (Astle, 2021; Kake, 2021)</w:t>
            </w:r>
            <w:r w:rsidRPr="005C579C">
              <w:rPr>
                <w:rFonts w:cstheme="minorHAnsi"/>
                <w:sz w:val="20"/>
                <w:szCs w:val="20"/>
              </w:rPr>
              <w:t>. Research suggests that there are still significant gaps in policy that would enable Government to work closely with whānau, hapū and iwi to deliver on housing that meets the long-term needs of Māori</w:t>
            </w:r>
            <w:r w:rsidR="009144F3">
              <w:rPr>
                <w:rFonts w:cstheme="minorHAnsi"/>
                <w:sz w:val="20"/>
                <w:szCs w:val="20"/>
              </w:rPr>
              <w:t xml:space="preserve"> (Boulton et al., 2021).</w:t>
            </w:r>
          </w:p>
          <w:p w14:paraId="0AD84386" w14:textId="77777777" w:rsidR="007D5E58" w:rsidRPr="005C579C" w:rsidRDefault="007D5E58" w:rsidP="00A53840">
            <w:pPr>
              <w:ind w:left="0" w:firstLine="0"/>
              <w:rPr>
                <w:rFonts w:cstheme="minorHAnsi"/>
                <w:sz w:val="20"/>
                <w:szCs w:val="20"/>
              </w:rPr>
            </w:pPr>
          </w:p>
          <w:p w14:paraId="25A30F46" w14:textId="5356C519" w:rsidR="007D5E58" w:rsidRPr="005C579C" w:rsidRDefault="007D5E58" w:rsidP="00A53840">
            <w:pPr>
              <w:ind w:left="178" w:firstLine="0"/>
              <w:rPr>
                <w:rFonts w:cstheme="minorHAnsi"/>
                <w:sz w:val="20"/>
                <w:szCs w:val="20"/>
              </w:rPr>
            </w:pPr>
            <w:r w:rsidRPr="005C579C">
              <w:rPr>
                <w:rFonts w:cstheme="minorHAnsi"/>
                <w:sz w:val="20"/>
                <w:szCs w:val="20"/>
              </w:rPr>
              <w:t>Indeed there are major outstanding issues with access to housing support, for instance a lack of below-market rentals for households who are working for low wages, many of whom are living extremely unaffordable housing. There is also a lack of diversity of housing to meet people’s particular needs, such as cultural requirements or accessibility-related requirements. For instance, in order to enable Māori to practice manaakitanga (hospitality) and tautoko (support), housing must be big enough or flexible enough to accommodate more than just its immediate inhabitants</w:t>
            </w:r>
            <w:r w:rsidR="009144F3">
              <w:rPr>
                <w:rFonts w:cstheme="minorHAnsi"/>
                <w:sz w:val="20"/>
                <w:szCs w:val="20"/>
              </w:rPr>
              <w:t xml:space="preserve"> (Boulton et al., 2021).</w:t>
            </w:r>
            <w:r w:rsidRPr="005C579C">
              <w:rPr>
                <w:rFonts w:cstheme="minorHAnsi"/>
                <w:sz w:val="20"/>
                <w:szCs w:val="20"/>
              </w:rPr>
              <w:t xml:space="preserve"> As another example, disabled people with accessibility needs continue to struggle with a lack of choice with regards to housing</w:t>
            </w:r>
            <w:r w:rsidR="009144F3">
              <w:rPr>
                <w:rFonts w:cstheme="minorHAnsi"/>
                <w:sz w:val="20"/>
                <w:szCs w:val="20"/>
              </w:rPr>
              <w:t xml:space="preserve"> (Brown &amp; Johnson, 2021)</w:t>
            </w:r>
            <w:r w:rsidRPr="005C579C">
              <w:rPr>
                <w:rFonts w:cstheme="minorHAnsi"/>
                <w:sz w:val="20"/>
                <w:szCs w:val="20"/>
              </w:rPr>
              <w:t>, meanwhile only 15 percent of new Kainga Ora builds are required to meet full universal design standards</w:t>
            </w:r>
            <w:r w:rsidR="009144F3">
              <w:rPr>
                <w:rFonts w:cstheme="minorHAnsi"/>
                <w:sz w:val="20"/>
                <w:szCs w:val="20"/>
              </w:rPr>
              <w:t xml:space="preserve"> (Kāinga Ora, 2019)</w:t>
            </w:r>
            <w:r w:rsidRPr="005C579C">
              <w:rPr>
                <w:rFonts w:cstheme="minorHAnsi"/>
                <w:sz w:val="20"/>
                <w:szCs w:val="20"/>
              </w:rPr>
              <w:t xml:space="preserve">. </w:t>
            </w:r>
          </w:p>
        </w:tc>
        <w:tc>
          <w:tcPr>
            <w:tcW w:w="2196" w:type="dxa"/>
            <w:gridSpan w:val="2"/>
            <w:shd w:val="clear" w:color="auto" w:fill="DEEAF6" w:themeFill="accent5" w:themeFillTint="33"/>
          </w:tcPr>
          <w:p w14:paraId="7B8DAE9E" w14:textId="77777777" w:rsidR="007D5E58" w:rsidRPr="00CA2018" w:rsidRDefault="007D5E58" w:rsidP="00A53840">
            <w:pPr>
              <w:ind w:left="178" w:firstLine="0"/>
              <w:rPr>
                <w:sz w:val="20"/>
                <w:szCs w:val="20"/>
              </w:rPr>
            </w:pPr>
            <w:r w:rsidRPr="00CA2018">
              <w:rPr>
                <w:sz w:val="20"/>
                <w:szCs w:val="20"/>
              </w:rPr>
              <w:t>Progressed from minimal to partial implement</w:t>
            </w:r>
            <w:r>
              <w:rPr>
                <w:sz w:val="20"/>
                <w:szCs w:val="20"/>
              </w:rPr>
              <w:t>ation</w:t>
            </w:r>
            <w:r w:rsidRPr="00CA2018">
              <w:rPr>
                <w:sz w:val="20"/>
                <w:szCs w:val="20"/>
              </w:rPr>
              <w:t>.</w:t>
            </w:r>
          </w:p>
          <w:p w14:paraId="0570DA77" w14:textId="77777777" w:rsidR="007D5E58" w:rsidRPr="00CA2018" w:rsidRDefault="007D5E58" w:rsidP="00A53840">
            <w:pPr>
              <w:ind w:left="178" w:firstLine="0"/>
              <w:rPr>
                <w:sz w:val="20"/>
                <w:szCs w:val="20"/>
              </w:rPr>
            </w:pPr>
          </w:p>
        </w:tc>
      </w:tr>
      <w:bookmarkEnd w:id="44"/>
      <w:tr w:rsidR="007D5E58" w:rsidRPr="00CA2018" w14:paraId="4F082EC3" w14:textId="77777777" w:rsidTr="00974425">
        <w:trPr>
          <w:trHeight w:val="310"/>
        </w:trPr>
        <w:tc>
          <w:tcPr>
            <w:tcW w:w="14665" w:type="dxa"/>
            <w:gridSpan w:val="11"/>
            <w:shd w:val="clear" w:color="auto" w:fill="E7E6E6" w:themeFill="background2"/>
          </w:tcPr>
          <w:p w14:paraId="37DA5C00" w14:textId="77777777" w:rsidR="007D5E58" w:rsidRPr="00CA2018" w:rsidRDefault="007D5E58" w:rsidP="00974425">
            <w:pPr>
              <w:ind w:left="33" w:right="33" w:firstLine="0"/>
              <w:jc w:val="center"/>
              <w:rPr>
                <w:sz w:val="20"/>
                <w:szCs w:val="20"/>
              </w:rPr>
            </w:pPr>
            <w:r w:rsidRPr="00CA2018">
              <w:rPr>
                <w:b/>
                <w:sz w:val="20"/>
                <w:szCs w:val="20"/>
              </w:rPr>
              <w:t>IMPROVING ACCESS TO EMPLOYMENT AND LABOUR MARKET SUPPORT</w:t>
            </w:r>
          </w:p>
        </w:tc>
      </w:tr>
      <w:tr w:rsidR="007D5E58" w:rsidRPr="00CA2018" w14:paraId="0DAE309F" w14:textId="77777777" w:rsidTr="00974425">
        <w:trPr>
          <w:gridBefore w:val="1"/>
          <w:gridAfter w:val="1"/>
          <w:wBefore w:w="24" w:type="dxa"/>
          <w:wAfter w:w="113" w:type="dxa"/>
          <w:trHeight w:val="310"/>
        </w:trPr>
        <w:tc>
          <w:tcPr>
            <w:tcW w:w="3818" w:type="dxa"/>
            <w:gridSpan w:val="2"/>
          </w:tcPr>
          <w:p w14:paraId="07F6C29D" w14:textId="77777777" w:rsidR="007D5E58" w:rsidRPr="005C579C" w:rsidRDefault="007D5E58" w:rsidP="00974425">
            <w:pPr>
              <w:pStyle w:val="ListParagraph"/>
              <w:numPr>
                <w:ilvl w:val="0"/>
                <w:numId w:val="3"/>
              </w:numPr>
              <w:ind w:left="33" w:right="33" w:firstLine="0"/>
              <w:rPr>
                <w:rFonts w:cstheme="minorHAnsi"/>
                <w:sz w:val="20"/>
                <w:szCs w:val="20"/>
              </w:rPr>
            </w:pPr>
            <w:r w:rsidRPr="005C579C">
              <w:rPr>
                <w:rFonts w:cstheme="minorHAnsi"/>
                <w:sz w:val="20"/>
                <w:szCs w:val="20"/>
              </w:rPr>
              <w:t>Establish an effective employment service of the Ministry of Social Development so it is better able to assist people to obtain and keep good, sustainable work.</w:t>
            </w:r>
          </w:p>
        </w:tc>
        <w:tc>
          <w:tcPr>
            <w:tcW w:w="1170" w:type="dxa"/>
          </w:tcPr>
          <w:p w14:paraId="2094B75C"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88-92 (see Table 4)</w:t>
            </w:r>
          </w:p>
        </w:tc>
        <w:tc>
          <w:tcPr>
            <w:tcW w:w="3420" w:type="dxa"/>
            <w:gridSpan w:val="2"/>
          </w:tcPr>
          <w:p w14:paraId="044B125A" w14:textId="01AF1821" w:rsidR="007D5E58" w:rsidRPr="005C579C" w:rsidRDefault="007D5E58" w:rsidP="00974425">
            <w:pPr>
              <w:ind w:left="33" w:right="33" w:firstLine="0"/>
              <w:rPr>
                <w:rFonts w:cstheme="minorHAnsi"/>
                <w:sz w:val="20"/>
                <w:szCs w:val="20"/>
              </w:rPr>
            </w:pPr>
            <w:r w:rsidRPr="005C579C">
              <w:rPr>
                <w:rFonts w:cstheme="minorHAnsi"/>
                <w:sz w:val="20"/>
                <w:szCs w:val="20"/>
              </w:rPr>
              <w:t>In response to key recommendations 35 and 36, a 27 September 2021 Cabinet paper, Appendix Three, pointed to Budget 2019 initiatives such as new frontline staff and boosting Mana in Mahi and Oranga Mahi places. The paper states that “Covid-19 affected the planned trajectory of implementing this vision [of supporting people into meaningful and sustainable employment], as demand for income support and employment services drove the need to respond to more New Zealanders who had previously not interacted with MSD and typically only needed short-term assistance to navigate the labour market”</w:t>
            </w:r>
            <w:r w:rsidR="009144F3">
              <w:rPr>
                <w:rFonts w:cstheme="minorHAnsi"/>
                <w:sz w:val="20"/>
                <w:szCs w:val="20"/>
              </w:rPr>
              <w:t xml:space="preserve"> (MSD, 2021d).</w:t>
            </w:r>
            <w:r w:rsidRPr="005C579C">
              <w:rPr>
                <w:rFonts w:cstheme="minorHAnsi"/>
                <w:sz w:val="20"/>
                <w:szCs w:val="20"/>
              </w:rPr>
              <w:t xml:space="preserve"> The Cabinet paper stated that in response to Covid-19, MSD received increased funding for employment services including increasing frontline staff and expanding Flexi-Wage over the next two years. </w:t>
            </w:r>
          </w:p>
          <w:p w14:paraId="4F0BB693" w14:textId="77777777" w:rsidR="007D5E58" w:rsidRPr="005C579C" w:rsidRDefault="007D5E58" w:rsidP="00974425">
            <w:pPr>
              <w:ind w:left="33" w:right="33" w:firstLine="0"/>
              <w:rPr>
                <w:rFonts w:cstheme="minorHAnsi"/>
                <w:sz w:val="20"/>
                <w:szCs w:val="20"/>
              </w:rPr>
            </w:pPr>
          </w:p>
          <w:p w14:paraId="0F6801DE"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Through Budget 2021, the Government reports that funding was obtained for meeting increased demand for employment products and services, and reinstating the Training Incentive Allowance. </w:t>
            </w:r>
          </w:p>
          <w:p w14:paraId="241C5AAC" w14:textId="77777777" w:rsidR="007D5E58" w:rsidRPr="005C579C" w:rsidRDefault="007D5E58" w:rsidP="00974425">
            <w:pPr>
              <w:ind w:left="33" w:right="33" w:firstLine="0"/>
              <w:rPr>
                <w:rFonts w:cstheme="minorHAnsi"/>
                <w:sz w:val="20"/>
                <w:szCs w:val="20"/>
              </w:rPr>
            </w:pPr>
          </w:p>
          <w:p w14:paraId="6ECF34B9" w14:textId="77777777" w:rsidR="007D5E58" w:rsidRPr="005C579C" w:rsidRDefault="007D5E58" w:rsidP="00974425">
            <w:pPr>
              <w:ind w:left="33" w:right="33" w:firstLine="0"/>
              <w:rPr>
                <w:rFonts w:cstheme="minorHAnsi"/>
                <w:sz w:val="20"/>
                <w:szCs w:val="20"/>
              </w:rPr>
            </w:pPr>
            <w:r w:rsidRPr="005C579C">
              <w:rPr>
                <w:rFonts w:cstheme="minorHAnsi"/>
                <w:sz w:val="20"/>
                <w:szCs w:val="20"/>
              </w:rPr>
              <w:t xml:space="preserve">The paper states that several longer-term workstreams are underway including the childcare assistance review, and developing and implementing the Employment Strategy Action Plans. The Government is also undertaking a cross-agency review of active labour market policies. </w:t>
            </w:r>
          </w:p>
        </w:tc>
        <w:tc>
          <w:tcPr>
            <w:tcW w:w="3870" w:type="dxa"/>
            <w:gridSpan w:val="2"/>
            <w:shd w:val="clear" w:color="auto" w:fill="F7CAAC" w:themeFill="accent2" w:themeFillTint="66"/>
          </w:tcPr>
          <w:p w14:paraId="1E269EE9" w14:textId="77777777" w:rsidR="007D5E58" w:rsidRPr="005C579C" w:rsidRDefault="007D5E58" w:rsidP="00A53840">
            <w:pPr>
              <w:ind w:left="178" w:firstLine="0"/>
              <w:rPr>
                <w:rFonts w:cstheme="minorHAnsi"/>
                <w:sz w:val="20"/>
                <w:szCs w:val="20"/>
              </w:rPr>
            </w:pPr>
            <w:r w:rsidRPr="005C579C">
              <w:rPr>
                <w:rFonts w:cstheme="minorHAnsi"/>
                <w:sz w:val="20"/>
                <w:szCs w:val="20"/>
              </w:rPr>
              <w:t>Minimal implementation.</w:t>
            </w:r>
          </w:p>
          <w:p w14:paraId="4AAB144E"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 xml:space="preserve">While some steps have been taken to increase the effectiveness of employment services within MSD, WEAG recommended rebuilding a core employment service within MSD that “provides specialist employment support and ongoing pastoral support when needed”, and it does not appear that employment services have been fundamentally reformed. </w:t>
            </w:r>
          </w:p>
          <w:p w14:paraId="2036CF00" w14:textId="77777777" w:rsidR="007D5E58" w:rsidRPr="005C579C" w:rsidRDefault="007D5E58" w:rsidP="00A53840">
            <w:pPr>
              <w:spacing w:before="120" w:after="120"/>
              <w:ind w:left="176" w:firstLine="0"/>
              <w:rPr>
                <w:rFonts w:cstheme="minorHAnsi"/>
                <w:sz w:val="20"/>
                <w:szCs w:val="20"/>
              </w:rPr>
            </w:pPr>
            <w:r w:rsidRPr="005C579C">
              <w:rPr>
                <w:rFonts w:cstheme="minorHAnsi"/>
                <w:sz w:val="20"/>
                <w:szCs w:val="20"/>
              </w:rPr>
              <w:t>Some positive developments include:</w:t>
            </w:r>
          </w:p>
          <w:p w14:paraId="71B00498" w14:textId="2B4C286B" w:rsidR="007D5E58" w:rsidRPr="005C579C" w:rsidRDefault="007D5E58" w:rsidP="00A53840">
            <w:pPr>
              <w:pStyle w:val="ListParagraph"/>
              <w:numPr>
                <w:ilvl w:val="0"/>
                <w:numId w:val="12"/>
              </w:numPr>
              <w:spacing w:before="120" w:after="120"/>
              <w:ind w:left="412" w:hanging="141"/>
              <w:rPr>
                <w:rFonts w:cstheme="minorHAnsi"/>
                <w:sz w:val="20"/>
                <w:szCs w:val="20"/>
              </w:rPr>
            </w:pPr>
            <w:r w:rsidRPr="005C579C">
              <w:rPr>
                <w:rFonts w:cstheme="minorHAnsi"/>
                <w:sz w:val="20"/>
                <w:szCs w:val="20"/>
              </w:rPr>
              <w:t>MSD expanding access to its employment services to all wishing to use them, not just existing MSD clients</w:t>
            </w:r>
            <w:r w:rsidR="009144F3">
              <w:rPr>
                <w:rFonts w:cstheme="minorHAnsi"/>
                <w:sz w:val="20"/>
                <w:szCs w:val="20"/>
              </w:rPr>
              <w:t xml:space="preserve"> (MBIE &amp; MSD, 2020)</w:t>
            </w:r>
          </w:p>
          <w:p w14:paraId="08AD3402" w14:textId="401F3822" w:rsidR="007D5E58" w:rsidRPr="005C579C" w:rsidRDefault="007D5E58" w:rsidP="00A53840">
            <w:pPr>
              <w:pStyle w:val="ListParagraph"/>
              <w:numPr>
                <w:ilvl w:val="0"/>
                <w:numId w:val="12"/>
              </w:numPr>
              <w:spacing w:before="120" w:after="120"/>
              <w:ind w:left="412" w:hanging="141"/>
              <w:rPr>
                <w:rFonts w:cstheme="minorHAnsi"/>
                <w:sz w:val="20"/>
                <w:szCs w:val="20"/>
              </w:rPr>
            </w:pPr>
            <w:r w:rsidRPr="005C579C">
              <w:rPr>
                <w:rFonts w:cstheme="minorHAnsi"/>
                <w:sz w:val="20"/>
                <w:szCs w:val="20"/>
              </w:rPr>
              <w:t>The reinstatement of the Training Incentive Allowance in Budget 2021, which will support sole parents, carers and disabled people with the costs of study</w:t>
            </w:r>
            <w:r w:rsidR="009144F3">
              <w:rPr>
                <w:rFonts w:cstheme="minorHAnsi"/>
                <w:sz w:val="20"/>
                <w:szCs w:val="20"/>
              </w:rPr>
              <w:t xml:space="preserve"> (NZ Government, 2021d)</w:t>
            </w:r>
          </w:p>
          <w:p w14:paraId="77B0DCB5" w14:textId="652215B1" w:rsidR="007D5E58" w:rsidRPr="005C579C" w:rsidRDefault="007D5E58" w:rsidP="00A53840">
            <w:pPr>
              <w:pStyle w:val="ListParagraph"/>
              <w:numPr>
                <w:ilvl w:val="0"/>
                <w:numId w:val="12"/>
              </w:numPr>
              <w:spacing w:before="120" w:after="120"/>
              <w:ind w:left="412" w:hanging="141"/>
              <w:rPr>
                <w:rFonts w:cstheme="minorHAnsi"/>
                <w:sz w:val="20"/>
                <w:szCs w:val="20"/>
              </w:rPr>
            </w:pPr>
            <w:r w:rsidRPr="005C579C">
              <w:rPr>
                <w:rFonts w:cstheme="minorHAnsi"/>
                <w:sz w:val="20"/>
                <w:szCs w:val="20"/>
              </w:rPr>
              <w:t>The growing number of Mana in Mahi placements (3,090 as at 30 April 2021</w:t>
            </w:r>
            <w:r w:rsidR="00A86CBB">
              <w:rPr>
                <w:rFonts w:cstheme="minorHAnsi"/>
                <w:sz w:val="20"/>
                <w:szCs w:val="20"/>
              </w:rPr>
              <w:t xml:space="preserve"> (Johnsen, 2021)</w:t>
            </w:r>
            <w:r w:rsidRPr="005C579C">
              <w:rPr>
                <w:rFonts w:cstheme="minorHAnsi"/>
                <w:sz w:val="20"/>
                <w:szCs w:val="20"/>
              </w:rPr>
              <w:t>;</w:t>
            </w:r>
            <w:r w:rsidRPr="005C579C">
              <w:rPr>
                <w:rStyle w:val="FootnoteReference"/>
                <w:rFonts w:cstheme="minorHAnsi"/>
                <w:sz w:val="20"/>
                <w:szCs w:val="20"/>
              </w:rPr>
              <w:t xml:space="preserve"> </w:t>
            </w:r>
            <w:r w:rsidRPr="005C579C">
              <w:rPr>
                <w:rFonts w:cstheme="minorHAnsi"/>
                <w:sz w:val="20"/>
                <w:szCs w:val="20"/>
              </w:rPr>
              <w:t>however these still fall short of the initial 4,000 places announced in 2018)</w:t>
            </w:r>
          </w:p>
          <w:p w14:paraId="570FFD7E" w14:textId="06E2679C" w:rsidR="007D5E58" w:rsidRPr="005C579C" w:rsidRDefault="007D5E58" w:rsidP="00A53840">
            <w:pPr>
              <w:pStyle w:val="ListParagraph"/>
              <w:numPr>
                <w:ilvl w:val="0"/>
                <w:numId w:val="12"/>
              </w:numPr>
              <w:spacing w:before="120" w:after="120"/>
              <w:ind w:left="412" w:hanging="141"/>
              <w:rPr>
                <w:rFonts w:cstheme="minorHAnsi"/>
                <w:sz w:val="20"/>
                <w:szCs w:val="20"/>
              </w:rPr>
            </w:pPr>
            <w:r w:rsidRPr="005C579C">
              <w:rPr>
                <w:rFonts w:cstheme="minorHAnsi"/>
                <w:sz w:val="20"/>
                <w:szCs w:val="20"/>
              </w:rPr>
              <w:t>The announcement of 263 new work-focussed frontline staff in Budget 2019 (however in early 2020 it was reported that these new ‘employment-focused’ frontline staff were being diverted to working on emergency hardship grants because of increased hardship demand)</w:t>
            </w:r>
            <w:r w:rsidR="00A86CBB">
              <w:rPr>
                <w:rFonts w:cstheme="minorHAnsi"/>
                <w:sz w:val="20"/>
                <w:szCs w:val="20"/>
              </w:rPr>
              <w:t xml:space="preserve"> (Coughlan, 2020)</w:t>
            </w:r>
          </w:p>
          <w:p w14:paraId="1B7CC0CA" w14:textId="542A2A45" w:rsidR="007D5E58" w:rsidRPr="005C579C" w:rsidRDefault="007D5E58" w:rsidP="00A53840">
            <w:pPr>
              <w:pStyle w:val="ListParagraph"/>
              <w:numPr>
                <w:ilvl w:val="0"/>
                <w:numId w:val="12"/>
              </w:numPr>
              <w:spacing w:before="120" w:after="120"/>
              <w:ind w:left="412" w:hanging="141"/>
              <w:rPr>
                <w:rFonts w:cstheme="minorHAnsi"/>
                <w:sz w:val="20"/>
                <w:szCs w:val="20"/>
              </w:rPr>
            </w:pPr>
            <w:r w:rsidRPr="005C579C">
              <w:rPr>
                <w:rFonts w:cstheme="minorHAnsi"/>
                <w:sz w:val="20"/>
                <w:szCs w:val="20"/>
              </w:rPr>
              <w:t>The Māori Trades Training Fund, announced in 2020 to support community-led employment and training programmes (though despite $50 million ring-fenced over two years from August 2020, as at May 2021, only $3.26 million had been paid out, with $11.4 million in funding approved</w:t>
            </w:r>
            <w:r w:rsidR="00A86CBB">
              <w:rPr>
                <w:rFonts w:cstheme="minorHAnsi"/>
                <w:sz w:val="20"/>
                <w:szCs w:val="20"/>
              </w:rPr>
              <w:t>; Johnsen, 2021</w:t>
            </w:r>
            <w:r w:rsidRPr="005C579C">
              <w:rPr>
                <w:rFonts w:cstheme="minorHAnsi"/>
                <w:sz w:val="20"/>
                <w:szCs w:val="20"/>
              </w:rPr>
              <w:t>)</w:t>
            </w:r>
          </w:p>
          <w:p w14:paraId="1BFCBC15" w14:textId="0070D47E" w:rsidR="007D5E58" w:rsidRPr="005C579C" w:rsidRDefault="007D5E58" w:rsidP="00A53840">
            <w:pPr>
              <w:pStyle w:val="ListParagraph"/>
              <w:numPr>
                <w:ilvl w:val="0"/>
                <w:numId w:val="12"/>
              </w:numPr>
              <w:spacing w:before="120" w:after="120"/>
              <w:ind w:left="412" w:hanging="141"/>
              <w:rPr>
                <w:rFonts w:cstheme="minorHAnsi"/>
                <w:sz w:val="20"/>
                <w:szCs w:val="20"/>
              </w:rPr>
            </w:pPr>
            <w:r w:rsidRPr="005C579C">
              <w:rPr>
                <w:rFonts w:cstheme="minorHAnsi"/>
                <w:sz w:val="20"/>
                <w:szCs w:val="20"/>
              </w:rPr>
              <w:t>The Oranga Mahi programme was introduced in 2016, with funding ring-fenced in Budget 2019 for the extension of trials of the programme</w:t>
            </w:r>
            <w:r w:rsidR="00DF241B">
              <w:rPr>
                <w:rFonts w:cstheme="minorHAnsi"/>
                <w:sz w:val="20"/>
                <w:szCs w:val="20"/>
              </w:rPr>
              <w:t xml:space="preserve"> (NZ Government, 2019)</w:t>
            </w:r>
            <w:r w:rsidRPr="005C579C">
              <w:rPr>
                <w:rFonts w:cstheme="minorHAnsi"/>
                <w:sz w:val="20"/>
                <w:szCs w:val="20"/>
              </w:rPr>
              <w:t>. The programme does not appear to have yet progressed beyond the prototype stage</w:t>
            </w:r>
            <w:r w:rsidR="00DF241B">
              <w:rPr>
                <w:rFonts w:cstheme="minorHAnsi"/>
                <w:sz w:val="20"/>
                <w:szCs w:val="20"/>
              </w:rPr>
              <w:t xml:space="preserve"> (MSD, 2021j).</w:t>
            </w:r>
          </w:p>
        </w:tc>
        <w:tc>
          <w:tcPr>
            <w:tcW w:w="2250" w:type="dxa"/>
            <w:gridSpan w:val="2"/>
            <w:shd w:val="clear" w:color="auto" w:fill="FFFFFF" w:themeFill="background1"/>
          </w:tcPr>
          <w:p w14:paraId="49C83C08" w14:textId="77777777" w:rsidR="007D5E58" w:rsidRPr="005C579C" w:rsidRDefault="007D5E58" w:rsidP="00A53840">
            <w:pPr>
              <w:ind w:left="178" w:firstLine="0"/>
              <w:rPr>
                <w:rFonts w:cstheme="minorHAnsi"/>
                <w:sz w:val="20"/>
                <w:szCs w:val="20"/>
              </w:rPr>
            </w:pPr>
            <w:r w:rsidRPr="005C579C">
              <w:rPr>
                <w:rFonts w:cstheme="minorHAnsi"/>
                <w:sz w:val="20"/>
                <w:szCs w:val="20"/>
              </w:rPr>
              <w:t>No change since November 2020.</w:t>
            </w:r>
          </w:p>
          <w:p w14:paraId="21B3E6E9" w14:textId="77777777" w:rsidR="007D5E58" w:rsidRPr="005C579C" w:rsidRDefault="007D5E58" w:rsidP="00A53840">
            <w:pPr>
              <w:ind w:left="178" w:firstLine="0"/>
              <w:rPr>
                <w:rFonts w:cstheme="minorHAnsi"/>
                <w:sz w:val="20"/>
                <w:szCs w:val="20"/>
              </w:rPr>
            </w:pPr>
          </w:p>
        </w:tc>
      </w:tr>
      <w:tr w:rsidR="007D5E58" w:rsidRPr="00CA2018" w14:paraId="2F29789E" w14:textId="77777777" w:rsidTr="00974425">
        <w:trPr>
          <w:trHeight w:val="310"/>
        </w:trPr>
        <w:tc>
          <w:tcPr>
            <w:tcW w:w="3823" w:type="dxa"/>
            <w:gridSpan w:val="2"/>
          </w:tcPr>
          <w:p w14:paraId="6E8BEB2C"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Revamp active labour market, labour market, employment and training policies across government to make them more coherent and effective.</w:t>
            </w:r>
          </w:p>
        </w:tc>
        <w:tc>
          <w:tcPr>
            <w:tcW w:w="1275" w:type="dxa"/>
            <w:gridSpan w:val="3"/>
          </w:tcPr>
          <w:p w14:paraId="08C9E5A8"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93-97 (see Table 4).</w:t>
            </w:r>
          </w:p>
        </w:tc>
        <w:tc>
          <w:tcPr>
            <w:tcW w:w="3447" w:type="dxa"/>
            <w:gridSpan w:val="2"/>
          </w:tcPr>
          <w:p w14:paraId="447C1C72" w14:textId="1F5FA829" w:rsidR="007D5E58" w:rsidRPr="005C579C" w:rsidRDefault="007D5E58" w:rsidP="00A53840">
            <w:pPr>
              <w:ind w:left="178" w:firstLine="0"/>
              <w:rPr>
                <w:rFonts w:cstheme="minorHAnsi"/>
                <w:sz w:val="20"/>
                <w:szCs w:val="20"/>
              </w:rPr>
            </w:pPr>
            <w:r w:rsidRPr="005C579C">
              <w:rPr>
                <w:rFonts w:cstheme="minorHAnsi"/>
                <w:sz w:val="20"/>
                <w:szCs w:val="20"/>
              </w:rPr>
              <w:t>In response to key recommendations 35 and 36, a 27 September 2021 Cabinet paper, Appendix Three, pointed to Budget 2019 initiatives such as new frontline staff and boosting Mana in Mahi and Oranga Mahi places. The Cabinet paper appendix states that “Covid-19 affected the planned trajectory of implementing this vision [of supporting people into meaningful and sustainable employment], as demand for income support and employment services drove the need to respond to more New Zealanders who had previously not interacted with MSD and typically only needed short-term assistance to navigate the labour market</w:t>
            </w:r>
            <w:r w:rsidR="00DF241B">
              <w:rPr>
                <w:rFonts w:cstheme="minorHAnsi"/>
                <w:sz w:val="20"/>
                <w:szCs w:val="20"/>
              </w:rPr>
              <w:t>” (MSD, 2021d).</w:t>
            </w:r>
            <w:r w:rsidRPr="005C579C">
              <w:rPr>
                <w:rFonts w:cstheme="minorHAnsi"/>
                <w:sz w:val="20"/>
                <w:szCs w:val="20"/>
              </w:rPr>
              <w:t xml:space="preserve"> The paper stated that in response to Covid-19, MSD received increased funding for employment services including increasing frontline staff and expanding Flexi-Wage over the next two years. </w:t>
            </w:r>
          </w:p>
          <w:p w14:paraId="685C2704" w14:textId="77777777" w:rsidR="007D5E58" w:rsidRPr="005C579C" w:rsidRDefault="007D5E58" w:rsidP="00A53840">
            <w:pPr>
              <w:ind w:left="178" w:firstLine="0"/>
              <w:rPr>
                <w:rFonts w:cstheme="minorHAnsi"/>
                <w:sz w:val="20"/>
                <w:szCs w:val="20"/>
              </w:rPr>
            </w:pPr>
          </w:p>
          <w:p w14:paraId="3251A9FB"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Through Budget 2021, the Government reports that funding was obtained for meeting increased demand for employment products and services, and reinstating the Training Incentive Allowance. </w:t>
            </w:r>
          </w:p>
          <w:p w14:paraId="01F2E0BF" w14:textId="77777777" w:rsidR="007D5E58" w:rsidRPr="005C579C" w:rsidRDefault="007D5E58" w:rsidP="00A53840">
            <w:pPr>
              <w:ind w:left="178" w:firstLine="0"/>
              <w:rPr>
                <w:rFonts w:cstheme="minorHAnsi"/>
                <w:sz w:val="20"/>
                <w:szCs w:val="20"/>
              </w:rPr>
            </w:pPr>
          </w:p>
          <w:p w14:paraId="5DA4BBB4"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The paper states that several longer-term workstreams are underway including the childcare assistance review, and developing and implementing the Employment Strategy Action Plans. The Government is also undertaking a cross-agency review of active labour market policies. </w:t>
            </w:r>
          </w:p>
        </w:tc>
        <w:tc>
          <w:tcPr>
            <w:tcW w:w="3924" w:type="dxa"/>
            <w:gridSpan w:val="2"/>
            <w:shd w:val="clear" w:color="auto" w:fill="FFE599" w:themeFill="accent4" w:themeFillTint="66"/>
          </w:tcPr>
          <w:p w14:paraId="13C1CAB4" w14:textId="77777777" w:rsidR="007D5E58" w:rsidRPr="005C579C" w:rsidRDefault="007D5E58" w:rsidP="00A53840">
            <w:pPr>
              <w:ind w:left="178" w:firstLine="0"/>
              <w:rPr>
                <w:rFonts w:cstheme="minorHAnsi"/>
                <w:sz w:val="20"/>
                <w:szCs w:val="20"/>
              </w:rPr>
            </w:pPr>
            <w:r w:rsidRPr="005C579C">
              <w:rPr>
                <w:rFonts w:cstheme="minorHAnsi"/>
                <w:sz w:val="20"/>
                <w:szCs w:val="20"/>
              </w:rPr>
              <w:t>Partial implementation.</w:t>
            </w:r>
          </w:p>
          <w:p w14:paraId="0C8A0B80" w14:textId="77777777" w:rsidR="007D5E58" w:rsidRPr="005C579C" w:rsidRDefault="007D5E58" w:rsidP="00A53840">
            <w:pPr>
              <w:ind w:left="178" w:firstLine="0"/>
              <w:rPr>
                <w:rFonts w:cstheme="minorHAnsi"/>
                <w:sz w:val="20"/>
                <w:szCs w:val="20"/>
              </w:rPr>
            </w:pPr>
          </w:p>
          <w:p w14:paraId="26E7D224"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As at November 2020, a review of Active Labour Market Programmes was being undertaken, and Regional Skills Leadership Groups had been developed. </w:t>
            </w:r>
          </w:p>
          <w:p w14:paraId="2675821A" w14:textId="77777777" w:rsidR="007D5E58" w:rsidRPr="005C579C" w:rsidRDefault="007D5E58" w:rsidP="00A53840">
            <w:pPr>
              <w:ind w:left="178" w:firstLine="0"/>
              <w:rPr>
                <w:rFonts w:cstheme="minorHAnsi"/>
                <w:sz w:val="20"/>
                <w:szCs w:val="20"/>
              </w:rPr>
            </w:pPr>
          </w:p>
          <w:p w14:paraId="050CDCD1"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Since then, the following positive developments have occurred: </w:t>
            </w:r>
          </w:p>
          <w:p w14:paraId="597FE855" w14:textId="1DA8E1C1" w:rsidR="007D5E58" w:rsidRPr="005C579C" w:rsidRDefault="007D5E58" w:rsidP="00A53840">
            <w:pPr>
              <w:pStyle w:val="ListParagraph"/>
              <w:numPr>
                <w:ilvl w:val="0"/>
                <w:numId w:val="12"/>
              </w:numPr>
              <w:ind w:firstLine="0"/>
              <w:rPr>
                <w:rFonts w:cstheme="minorHAnsi"/>
                <w:sz w:val="20"/>
                <w:szCs w:val="20"/>
              </w:rPr>
            </w:pPr>
            <w:r w:rsidRPr="005C579C">
              <w:rPr>
                <w:rFonts w:cstheme="minorHAnsi"/>
                <w:sz w:val="20"/>
                <w:szCs w:val="20"/>
              </w:rPr>
              <w:t>15 permanent Regional Skill Leadership Groups with Te Tiriti-based co-chairs have been established.  The major task is to produce a Regional Workforce Plan by June 2022</w:t>
            </w:r>
            <w:r w:rsidR="00DF241B">
              <w:rPr>
                <w:rFonts w:cstheme="minorHAnsi"/>
                <w:sz w:val="20"/>
                <w:szCs w:val="20"/>
              </w:rPr>
              <w:t xml:space="preserve"> (MBIE, 2021).</w:t>
            </w:r>
          </w:p>
          <w:p w14:paraId="1B00FDBE" w14:textId="77777777" w:rsidR="007D5E58" w:rsidRPr="005C579C" w:rsidRDefault="007D5E58" w:rsidP="00A53840">
            <w:pPr>
              <w:pStyle w:val="ListParagraph"/>
              <w:numPr>
                <w:ilvl w:val="0"/>
                <w:numId w:val="12"/>
              </w:numPr>
              <w:ind w:firstLine="0"/>
              <w:rPr>
                <w:rFonts w:cstheme="minorHAnsi"/>
                <w:sz w:val="20"/>
                <w:szCs w:val="20"/>
              </w:rPr>
            </w:pPr>
            <w:r w:rsidRPr="005C579C">
              <w:rPr>
                <w:rFonts w:cstheme="minorHAnsi"/>
                <w:sz w:val="20"/>
                <w:szCs w:val="20"/>
              </w:rPr>
              <w:t>Further Employment Action plans have and are being released.</w:t>
            </w:r>
          </w:p>
          <w:p w14:paraId="101314FA" w14:textId="4D3FA545" w:rsidR="007D5E58" w:rsidRPr="005C579C" w:rsidRDefault="007D5E58" w:rsidP="00A53840">
            <w:pPr>
              <w:pStyle w:val="ListParagraph"/>
              <w:numPr>
                <w:ilvl w:val="0"/>
                <w:numId w:val="12"/>
              </w:numPr>
              <w:ind w:firstLine="0"/>
              <w:rPr>
                <w:rFonts w:cstheme="minorHAnsi"/>
                <w:sz w:val="20"/>
                <w:szCs w:val="20"/>
              </w:rPr>
            </w:pPr>
            <w:r w:rsidRPr="005C579C">
              <w:rPr>
                <w:rFonts w:cstheme="minorHAnsi"/>
                <w:sz w:val="20"/>
                <w:szCs w:val="20"/>
              </w:rPr>
              <w:t>The Reform of Vocational Education (RoVE) process continues which will strengthen the skills and training part of Active Labour Market Policies. As from 4 October the new Workforce Development Councils have been established</w:t>
            </w:r>
            <w:r w:rsidR="00DF241B">
              <w:rPr>
                <w:rFonts w:cstheme="minorHAnsi"/>
                <w:sz w:val="20"/>
                <w:szCs w:val="20"/>
              </w:rPr>
              <w:t xml:space="preserve"> (TEC, 2021)</w:t>
            </w:r>
          </w:p>
          <w:p w14:paraId="47188214" w14:textId="77777777" w:rsidR="007D5E58" w:rsidRPr="005C579C" w:rsidRDefault="007D5E58" w:rsidP="00A53840">
            <w:pPr>
              <w:ind w:left="0" w:firstLine="0"/>
              <w:rPr>
                <w:rFonts w:cstheme="minorHAnsi"/>
                <w:sz w:val="20"/>
                <w:szCs w:val="20"/>
              </w:rPr>
            </w:pPr>
          </w:p>
          <w:p w14:paraId="12430924" w14:textId="77777777" w:rsidR="007D5E58" w:rsidRPr="005C579C" w:rsidRDefault="007D5E58" w:rsidP="00A53840">
            <w:pPr>
              <w:ind w:left="360" w:firstLine="0"/>
              <w:rPr>
                <w:rFonts w:cstheme="minorHAnsi"/>
                <w:sz w:val="20"/>
                <w:szCs w:val="20"/>
              </w:rPr>
            </w:pPr>
            <w:r w:rsidRPr="005C579C">
              <w:rPr>
                <w:rFonts w:cstheme="minorHAnsi"/>
                <w:sz w:val="20"/>
                <w:szCs w:val="20"/>
              </w:rPr>
              <w:t>Other Active Labour Market Programmes are being practiced through the Government’s Future of Work, Just Transition and Industry Transformation Plans but there looks to be little cohesion or coordination between these initiatives, the Employment Actions Plans, The Regional Workforce Plans and the plethora of employment programmes coming out of MSD, MBIE, TPK, MPP, DOC etc.</w:t>
            </w:r>
          </w:p>
        </w:tc>
        <w:tc>
          <w:tcPr>
            <w:tcW w:w="2196" w:type="dxa"/>
            <w:gridSpan w:val="2"/>
            <w:shd w:val="clear" w:color="auto" w:fill="DEEAF6" w:themeFill="accent5" w:themeFillTint="33"/>
          </w:tcPr>
          <w:p w14:paraId="30C275AF" w14:textId="77777777" w:rsidR="007D5E58" w:rsidRPr="00CA2018" w:rsidRDefault="007D5E58" w:rsidP="00A53840">
            <w:pPr>
              <w:ind w:left="0" w:firstLine="0"/>
              <w:rPr>
                <w:sz w:val="20"/>
                <w:szCs w:val="20"/>
              </w:rPr>
            </w:pPr>
            <w:r w:rsidRPr="00CA2018">
              <w:rPr>
                <w:sz w:val="20"/>
                <w:szCs w:val="20"/>
              </w:rPr>
              <w:t xml:space="preserve">Progressed from minimal to partial implementation </w:t>
            </w:r>
          </w:p>
        </w:tc>
      </w:tr>
      <w:tr w:rsidR="007D5E58" w:rsidRPr="00CA2018" w14:paraId="3E80DBEA" w14:textId="77777777" w:rsidTr="00974425">
        <w:trPr>
          <w:trHeight w:val="310"/>
        </w:trPr>
        <w:tc>
          <w:tcPr>
            <w:tcW w:w="3823" w:type="dxa"/>
            <w:gridSpan w:val="2"/>
          </w:tcPr>
          <w:p w14:paraId="65050828"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Strengthen the Ministry of Social Development's redundancy support policies to better support displaced workers.</w:t>
            </w:r>
          </w:p>
        </w:tc>
        <w:tc>
          <w:tcPr>
            <w:tcW w:w="1275" w:type="dxa"/>
            <w:gridSpan w:val="3"/>
          </w:tcPr>
          <w:p w14:paraId="0D16E0AB"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98-100 (see Table 4)</w:t>
            </w:r>
          </w:p>
        </w:tc>
        <w:tc>
          <w:tcPr>
            <w:tcW w:w="3447" w:type="dxa"/>
            <w:gridSpan w:val="2"/>
          </w:tcPr>
          <w:p w14:paraId="41B5B672" w14:textId="671EB562"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highlighted various Covid-19 responses including the  removal of stand-down periods for those eligible for a benefit between 23 March 2020 and 24 July 2021, and introducing the Covid-19 Income Relief Payment</w:t>
            </w:r>
            <w:r w:rsidR="00DF241B">
              <w:rPr>
                <w:rFonts w:cstheme="minorHAnsi"/>
                <w:sz w:val="20"/>
                <w:szCs w:val="20"/>
              </w:rPr>
              <w:t xml:space="preserve"> (MSD, 2021)</w:t>
            </w:r>
            <w:r w:rsidRPr="005C579C">
              <w:rPr>
                <w:rFonts w:cstheme="minorHAnsi"/>
                <w:sz w:val="20"/>
                <w:szCs w:val="20"/>
              </w:rPr>
              <w:t>. The paper stated that “The Government has also undertaken work to explore whether a Social Unemployment Insurance Scheme should be introduced for New Zealanders, to better support displaced workers long-term (MSD, TSY, IRD, MBIE, DPMC). Public consultation is planned for later this year.”</w:t>
            </w:r>
          </w:p>
          <w:p w14:paraId="73250156" w14:textId="77777777" w:rsidR="007D5E58" w:rsidRPr="005C579C" w:rsidRDefault="007D5E58" w:rsidP="00A53840">
            <w:pPr>
              <w:ind w:left="178" w:firstLine="0"/>
              <w:rPr>
                <w:rFonts w:cstheme="minorHAnsi"/>
                <w:sz w:val="20"/>
                <w:szCs w:val="20"/>
              </w:rPr>
            </w:pPr>
          </w:p>
        </w:tc>
        <w:tc>
          <w:tcPr>
            <w:tcW w:w="3924" w:type="dxa"/>
            <w:gridSpan w:val="2"/>
            <w:shd w:val="clear" w:color="auto" w:fill="F7CAAC" w:themeFill="accent2" w:themeFillTint="66"/>
          </w:tcPr>
          <w:p w14:paraId="6DB13CD8" w14:textId="77777777" w:rsidR="007D5E58" w:rsidRPr="005C579C" w:rsidRDefault="007D5E58" w:rsidP="00A53840">
            <w:pPr>
              <w:ind w:left="178" w:firstLine="0"/>
              <w:rPr>
                <w:rFonts w:cstheme="minorHAnsi"/>
                <w:sz w:val="20"/>
                <w:szCs w:val="20"/>
              </w:rPr>
            </w:pPr>
            <w:r w:rsidRPr="005C579C">
              <w:rPr>
                <w:rFonts w:cstheme="minorHAnsi"/>
                <w:sz w:val="20"/>
                <w:szCs w:val="20"/>
              </w:rPr>
              <w:t>Minimal implementation.</w:t>
            </w:r>
          </w:p>
          <w:p w14:paraId="43782D5E" w14:textId="77777777" w:rsidR="007D5E58" w:rsidRPr="005C579C" w:rsidRDefault="007D5E58" w:rsidP="00A53840">
            <w:pPr>
              <w:ind w:left="178" w:firstLine="0"/>
              <w:rPr>
                <w:rFonts w:cstheme="minorHAnsi"/>
                <w:sz w:val="20"/>
                <w:szCs w:val="20"/>
              </w:rPr>
            </w:pPr>
          </w:p>
          <w:p w14:paraId="29A2224D" w14:textId="5A529692" w:rsidR="007D5E58" w:rsidRPr="005C579C" w:rsidRDefault="007D5E58" w:rsidP="005F6945">
            <w:pPr>
              <w:ind w:left="178" w:firstLine="0"/>
              <w:rPr>
                <w:rFonts w:cstheme="minorHAnsi"/>
                <w:sz w:val="20"/>
                <w:szCs w:val="20"/>
              </w:rPr>
            </w:pPr>
            <w:r w:rsidRPr="005C579C">
              <w:rPr>
                <w:rFonts w:cstheme="minorHAnsi"/>
                <w:sz w:val="20"/>
                <w:szCs w:val="20"/>
              </w:rPr>
              <w:t>Some progress was made in response to Covid-19, but many measures were temporary. The Covid-19 Income Relief Payment for those who lost work from 1 March 2020 due to Covid-19 was paid to people irrespective of their partner earnings (up to $2,000 per week), temporarily strengthening support for many displaced workers whose partners were still earning. However, this has not applied to core benefits, and was only a temporary measure. There are significant equity concerns associated with this payment, particularly as those receiving it were disproportionately Pākehā compared with core benefits</w:t>
            </w:r>
            <w:r w:rsidR="00DF241B">
              <w:rPr>
                <w:rFonts w:cstheme="minorHAnsi"/>
                <w:sz w:val="20"/>
                <w:szCs w:val="20"/>
              </w:rPr>
              <w:t xml:space="preserve"> (Cardwell, 2020).</w:t>
            </w:r>
          </w:p>
        </w:tc>
        <w:tc>
          <w:tcPr>
            <w:tcW w:w="2196" w:type="dxa"/>
            <w:gridSpan w:val="2"/>
            <w:shd w:val="clear" w:color="auto" w:fill="FFFFFF" w:themeFill="background1"/>
          </w:tcPr>
          <w:p w14:paraId="4C0AB259" w14:textId="77777777" w:rsidR="007D5E58" w:rsidRPr="00CA2018" w:rsidRDefault="007D5E58" w:rsidP="00A53840">
            <w:pPr>
              <w:ind w:left="178" w:firstLine="0"/>
              <w:rPr>
                <w:sz w:val="20"/>
                <w:szCs w:val="20"/>
              </w:rPr>
            </w:pPr>
            <w:r w:rsidRPr="00CA2018">
              <w:rPr>
                <w:sz w:val="20"/>
                <w:szCs w:val="20"/>
              </w:rPr>
              <w:t>No change since November 2020.</w:t>
            </w:r>
          </w:p>
          <w:p w14:paraId="5168DA05" w14:textId="77777777" w:rsidR="007D5E58" w:rsidRPr="00CA2018" w:rsidRDefault="007D5E58" w:rsidP="00A53840">
            <w:pPr>
              <w:ind w:left="178" w:firstLine="0"/>
              <w:rPr>
                <w:sz w:val="20"/>
                <w:szCs w:val="20"/>
              </w:rPr>
            </w:pPr>
          </w:p>
        </w:tc>
      </w:tr>
      <w:tr w:rsidR="007D5E58" w:rsidRPr="00CA2018" w14:paraId="6DA2390C" w14:textId="77777777" w:rsidTr="00974425">
        <w:trPr>
          <w:trHeight w:val="310"/>
        </w:trPr>
        <w:tc>
          <w:tcPr>
            <w:tcW w:w="3823" w:type="dxa"/>
            <w:gridSpan w:val="2"/>
          </w:tcPr>
          <w:p w14:paraId="708181A3"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Abolish, in the Youth Service, compulsory money management, and separate case management from youth mentoring so it is consistent with and has a positive youth development focus.</w:t>
            </w:r>
          </w:p>
        </w:tc>
        <w:tc>
          <w:tcPr>
            <w:tcW w:w="1275" w:type="dxa"/>
            <w:gridSpan w:val="3"/>
          </w:tcPr>
          <w:p w14:paraId="33573E0E"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101-104 (see Table 4)</w:t>
            </w:r>
          </w:p>
        </w:tc>
        <w:tc>
          <w:tcPr>
            <w:tcW w:w="3447" w:type="dxa"/>
            <w:gridSpan w:val="2"/>
          </w:tcPr>
          <w:p w14:paraId="34F47208" w14:textId="57C76BB7"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“Consultation with young people and providers was completed in 2019. We recommended to the Minister for Social Development and Employment that compulsory money management should not be abolished, but reformed to make it more flexible. Subsequent advice on options to improve the flexibility of money management in the Youth Service was provided in May 2021”</w:t>
            </w:r>
            <w:r w:rsidR="00DF241B">
              <w:rPr>
                <w:rFonts w:cstheme="minorHAnsi"/>
                <w:sz w:val="20"/>
                <w:szCs w:val="20"/>
              </w:rPr>
              <w:t xml:space="preserve"> (MSD, 2021d).</w:t>
            </w:r>
          </w:p>
        </w:tc>
        <w:tc>
          <w:tcPr>
            <w:tcW w:w="3924" w:type="dxa"/>
            <w:gridSpan w:val="2"/>
            <w:shd w:val="clear" w:color="auto" w:fill="FFA5A5"/>
          </w:tcPr>
          <w:p w14:paraId="20C779AB" w14:textId="77777777" w:rsidR="007D5E58" w:rsidRPr="005C579C" w:rsidRDefault="007D5E58" w:rsidP="00A53840">
            <w:pPr>
              <w:ind w:left="178" w:firstLine="0"/>
              <w:rPr>
                <w:rFonts w:cstheme="minorHAnsi"/>
                <w:sz w:val="20"/>
                <w:szCs w:val="20"/>
              </w:rPr>
            </w:pPr>
            <w:r w:rsidRPr="005C579C">
              <w:rPr>
                <w:rFonts w:cstheme="minorHAnsi"/>
                <w:sz w:val="20"/>
                <w:szCs w:val="20"/>
              </w:rPr>
              <w:t>No evidence of implementation.</w:t>
            </w:r>
          </w:p>
          <w:p w14:paraId="1F936A04" w14:textId="77777777" w:rsidR="007D5E58" w:rsidRPr="005C579C" w:rsidRDefault="007D5E58" w:rsidP="00A53840">
            <w:pPr>
              <w:ind w:left="178" w:firstLine="0"/>
              <w:rPr>
                <w:rFonts w:cstheme="minorHAnsi"/>
                <w:sz w:val="20"/>
                <w:szCs w:val="20"/>
              </w:rPr>
            </w:pPr>
          </w:p>
          <w:p w14:paraId="7556ED92" w14:textId="4423AE05" w:rsidR="007D5E58" w:rsidRPr="005C579C" w:rsidRDefault="007D5E58" w:rsidP="00A53840">
            <w:pPr>
              <w:ind w:left="178" w:firstLine="0"/>
              <w:rPr>
                <w:rFonts w:cstheme="minorHAnsi"/>
                <w:sz w:val="20"/>
                <w:szCs w:val="20"/>
              </w:rPr>
            </w:pPr>
            <w:r w:rsidRPr="005C579C">
              <w:rPr>
                <w:rFonts w:cstheme="minorHAnsi"/>
                <w:sz w:val="20"/>
                <w:szCs w:val="20"/>
              </w:rPr>
              <w:t>‘Youth coaches’ retain control over young people’s money management as well as taking on a case management and mentoring role</w:t>
            </w:r>
            <w:r w:rsidR="00DF241B">
              <w:rPr>
                <w:rFonts w:cstheme="minorHAnsi"/>
                <w:sz w:val="20"/>
                <w:szCs w:val="20"/>
              </w:rPr>
              <w:t xml:space="preserve"> (Work and Income, n.d.).</w:t>
            </w:r>
          </w:p>
        </w:tc>
        <w:tc>
          <w:tcPr>
            <w:tcW w:w="2196" w:type="dxa"/>
            <w:gridSpan w:val="2"/>
            <w:shd w:val="clear" w:color="auto" w:fill="FFFFFF" w:themeFill="background1"/>
          </w:tcPr>
          <w:p w14:paraId="22E4FD3E" w14:textId="77777777" w:rsidR="007D5E58" w:rsidRPr="00CA2018" w:rsidRDefault="007D5E58" w:rsidP="00A53840">
            <w:pPr>
              <w:ind w:left="178" w:firstLine="0"/>
              <w:rPr>
                <w:sz w:val="20"/>
                <w:szCs w:val="20"/>
              </w:rPr>
            </w:pPr>
            <w:r w:rsidRPr="00CA2018">
              <w:rPr>
                <w:sz w:val="20"/>
                <w:szCs w:val="20"/>
              </w:rPr>
              <w:t>No change since November 2020.</w:t>
            </w:r>
          </w:p>
          <w:p w14:paraId="45D3E919" w14:textId="77777777" w:rsidR="007D5E58" w:rsidRPr="00CA2018" w:rsidRDefault="007D5E58" w:rsidP="00A53840">
            <w:pPr>
              <w:ind w:left="178" w:firstLine="0"/>
              <w:rPr>
                <w:sz w:val="20"/>
                <w:szCs w:val="20"/>
              </w:rPr>
            </w:pPr>
          </w:p>
        </w:tc>
      </w:tr>
      <w:tr w:rsidR="007D5E58" w:rsidRPr="00CA2018" w14:paraId="5E83DC4C" w14:textId="77777777" w:rsidTr="00974425">
        <w:trPr>
          <w:trHeight w:val="310"/>
        </w:trPr>
        <w:tc>
          <w:tcPr>
            <w:tcW w:w="3823" w:type="dxa"/>
            <w:gridSpan w:val="2"/>
          </w:tcPr>
          <w:p w14:paraId="037380D1" w14:textId="77777777" w:rsidR="007D5E58" w:rsidRPr="005C579C" w:rsidRDefault="007D5E58" w:rsidP="00974425">
            <w:pPr>
              <w:pStyle w:val="ListParagraph"/>
              <w:numPr>
                <w:ilvl w:val="0"/>
                <w:numId w:val="3"/>
              </w:numPr>
              <w:ind w:left="58" w:firstLine="0"/>
              <w:rPr>
                <w:rFonts w:cstheme="minorHAnsi"/>
                <w:sz w:val="20"/>
                <w:szCs w:val="20"/>
              </w:rPr>
            </w:pPr>
            <w:r w:rsidRPr="005C579C">
              <w:rPr>
                <w:rFonts w:cstheme="minorHAnsi"/>
                <w:sz w:val="20"/>
                <w:szCs w:val="20"/>
              </w:rPr>
              <w:t>Use evidence-based approaches that support young people to be learning, earning and, where young people are parents, caring. These approaches need to build on the strengths of young people and provide a basis for their long-term engagement with the changing world of work.</w:t>
            </w:r>
          </w:p>
        </w:tc>
        <w:tc>
          <w:tcPr>
            <w:tcW w:w="1275" w:type="dxa"/>
            <w:gridSpan w:val="3"/>
          </w:tcPr>
          <w:p w14:paraId="0121845B" w14:textId="77777777" w:rsidR="007D5E58" w:rsidRPr="005C579C" w:rsidRDefault="007D5E58" w:rsidP="00974425">
            <w:pPr>
              <w:ind w:left="33" w:right="33" w:firstLine="0"/>
              <w:rPr>
                <w:rFonts w:cstheme="minorHAnsi"/>
                <w:sz w:val="20"/>
                <w:szCs w:val="20"/>
              </w:rPr>
            </w:pPr>
            <w:r w:rsidRPr="005C579C">
              <w:rPr>
                <w:rFonts w:cstheme="minorHAnsi"/>
                <w:sz w:val="20"/>
                <w:szCs w:val="20"/>
              </w:rPr>
              <w:t>Detailed Recs 101-104 (see Table 4)</w:t>
            </w:r>
          </w:p>
        </w:tc>
        <w:tc>
          <w:tcPr>
            <w:tcW w:w="3447" w:type="dxa"/>
            <w:gridSpan w:val="2"/>
          </w:tcPr>
          <w:p w14:paraId="7DDF53E6" w14:textId="72E57A7D" w:rsidR="007D5E58" w:rsidRPr="005C579C" w:rsidRDefault="007D5E58" w:rsidP="00A53840">
            <w:pPr>
              <w:ind w:left="178" w:firstLine="0"/>
              <w:rPr>
                <w:rFonts w:cstheme="minorHAnsi"/>
                <w:sz w:val="20"/>
                <w:szCs w:val="20"/>
              </w:rPr>
            </w:pPr>
            <w:r w:rsidRPr="005C579C">
              <w:rPr>
                <w:rFonts w:cstheme="minorHAnsi"/>
                <w:sz w:val="20"/>
                <w:szCs w:val="20"/>
              </w:rPr>
              <w:t>In a 27 September 2021 Cabinet paper,  Appendix Three, the Government stated that “MSD has several programmes that support youth development, including He Poutama Rangatahi, Mana in Mahi and Apprenticeship Boost (the latter two are open to all groups, with relatively high take up among young people). Further work is being progressed on reviewing the expanded Mana in Mahi offering, implementing the Youth Action Plan … and developing the cross-agency long-term insights briefing on youth at risk of limited employmen</w:t>
            </w:r>
            <w:r w:rsidR="009D5FBF">
              <w:rPr>
                <w:rFonts w:cstheme="minorHAnsi"/>
                <w:sz w:val="20"/>
                <w:szCs w:val="20"/>
              </w:rPr>
              <w:t>t” (MSD, 2021d)</w:t>
            </w:r>
          </w:p>
        </w:tc>
        <w:tc>
          <w:tcPr>
            <w:tcW w:w="3924" w:type="dxa"/>
            <w:gridSpan w:val="2"/>
            <w:shd w:val="clear" w:color="auto" w:fill="FFE599" w:themeFill="accent4" w:themeFillTint="66"/>
          </w:tcPr>
          <w:p w14:paraId="7BA28B46"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Partial implementation. </w:t>
            </w:r>
          </w:p>
          <w:p w14:paraId="25C5F764" w14:textId="77777777" w:rsidR="007D5E58" w:rsidRPr="005C579C" w:rsidRDefault="007D5E58" w:rsidP="00A53840">
            <w:pPr>
              <w:ind w:left="178" w:firstLine="0"/>
              <w:rPr>
                <w:rFonts w:cstheme="minorHAnsi"/>
                <w:sz w:val="20"/>
                <w:szCs w:val="20"/>
              </w:rPr>
            </w:pPr>
          </w:p>
          <w:p w14:paraId="36B06DA7" w14:textId="1BD8A0BF" w:rsidR="007D5E58" w:rsidRPr="005C579C" w:rsidRDefault="007D5E58" w:rsidP="00A53840">
            <w:pPr>
              <w:ind w:left="178" w:firstLine="0"/>
              <w:rPr>
                <w:rFonts w:cstheme="minorHAnsi"/>
                <w:sz w:val="20"/>
                <w:szCs w:val="20"/>
              </w:rPr>
            </w:pPr>
            <w:r w:rsidRPr="005C579C">
              <w:rPr>
                <w:rFonts w:cstheme="minorHAnsi"/>
                <w:sz w:val="20"/>
                <w:szCs w:val="20"/>
              </w:rPr>
              <w:t>Since our last stocktake in November 2020, the Government has rolled out investment in various He Poutama Rangatahi projects, which focus on helping young people to overcome barriers to employment, education and training</w:t>
            </w:r>
            <w:r w:rsidR="009D5FBF">
              <w:rPr>
                <w:rFonts w:cstheme="minorHAnsi"/>
                <w:sz w:val="20"/>
                <w:szCs w:val="20"/>
              </w:rPr>
              <w:t xml:space="preserve"> (Johnsen, 2021; NZ Government, 2021q,2021r)</w:t>
            </w:r>
          </w:p>
          <w:p w14:paraId="296B6D98" w14:textId="580C8B0F" w:rsidR="007D5E58" w:rsidRPr="005C579C" w:rsidRDefault="007D5E58" w:rsidP="00A53840">
            <w:pPr>
              <w:ind w:left="178" w:firstLine="0"/>
              <w:rPr>
                <w:rFonts w:cstheme="minorHAnsi"/>
                <w:sz w:val="20"/>
                <w:szCs w:val="20"/>
              </w:rPr>
            </w:pPr>
            <w:r w:rsidRPr="005C579C">
              <w:rPr>
                <w:rFonts w:cstheme="minorHAnsi"/>
                <w:sz w:val="20"/>
                <w:szCs w:val="20"/>
              </w:rPr>
              <w:t>As at 30 April 2021, the total placements in Mana in Mahi were 3,090</w:t>
            </w:r>
            <w:r w:rsidR="009D5FBF">
              <w:rPr>
                <w:rFonts w:cstheme="minorHAnsi"/>
                <w:sz w:val="20"/>
                <w:szCs w:val="20"/>
              </w:rPr>
              <w:t xml:space="preserve"> (Johnsen, 2021),</w:t>
            </w:r>
            <w:r w:rsidR="009D5FBF" w:rsidRPr="005C579C">
              <w:rPr>
                <w:rFonts w:cstheme="minorHAnsi"/>
                <w:sz w:val="20"/>
                <w:szCs w:val="20"/>
              </w:rPr>
              <w:t xml:space="preserve"> </w:t>
            </w:r>
            <w:r w:rsidRPr="005C579C">
              <w:rPr>
                <w:rFonts w:cstheme="minorHAnsi"/>
                <w:sz w:val="20"/>
                <w:szCs w:val="20"/>
              </w:rPr>
              <w:t>which is positive but still falls short of the initial announcement of 4,000 places in 2018.</w:t>
            </w:r>
          </w:p>
          <w:p w14:paraId="19583677" w14:textId="77777777" w:rsidR="007D5E58" w:rsidRPr="005C579C" w:rsidRDefault="007D5E58" w:rsidP="00A53840">
            <w:pPr>
              <w:ind w:left="0" w:firstLine="0"/>
              <w:rPr>
                <w:rFonts w:cstheme="minorHAnsi"/>
                <w:sz w:val="20"/>
                <w:szCs w:val="20"/>
              </w:rPr>
            </w:pPr>
          </w:p>
          <w:p w14:paraId="682E2954" w14:textId="55E744F4" w:rsidR="007D5E58" w:rsidRPr="005C579C" w:rsidRDefault="007D5E58" w:rsidP="00A53840">
            <w:pPr>
              <w:ind w:left="178" w:firstLine="0"/>
              <w:rPr>
                <w:rFonts w:cstheme="minorHAnsi"/>
                <w:sz w:val="20"/>
                <w:szCs w:val="20"/>
              </w:rPr>
            </w:pPr>
            <w:r w:rsidRPr="005C579C">
              <w:rPr>
                <w:rFonts w:cstheme="minorHAnsi"/>
                <w:sz w:val="20"/>
                <w:szCs w:val="20"/>
              </w:rPr>
              <w:t>The Targeted Training and Apprenticeship Fund announced in 2020 in response to Covid-19 will be supporting some young people into apprenticeships, however this fund is only temporary, expiring in December 2022</w:t>
            </w:r>
            <w:r w:rsidR="004A3121">
              <w:rPr>
                <w:rFonts w:cstheme="minorHAnsi"/>
                <w:sz w:val="20"/>
                <w:szCs w:val="20"/>
              </w:rPr>
              <w:t xml:space="preserve"> (TEC, 2020</w:t>
            </w:r>
            <w:r w:rsidR="00F312A8">
              <w:rPr>
                <w:rFonts w:cstheme="minorHAnsi"/>
                <w:sz w:val="20"/>
                <w:szCs w:val="20"/>
              </w:rPr>
              <w:t>a</w:t>
            </w:r>
            <w:r w:rsidR="004A3121">
              <w:rPr>
                <w:rFonts w:cstheme="minorHAnsi"/>
                <w:sz w:val="20"/>
                <w:szCs w:val="20"/>
              </w:rPr>
              <w:t>).</w:t>
            </w:r>
          </w:p>
          <w:p w14:paraId="4DF45AE6" w14:textId="77777777" w:rsidR="007D5E58" w:rsidRPr="005C579C" w:rsidRDefault="007D5E58" w:rsidP="00A53840">
            <w:pPr>
              <w:ind w:left="178" w:firstLine="0"/>
              <w:rPr>
                <w:rFonts w:cstheme="minorHAnsi"/>
                <w:sz w:val="20"/>
                <w:szCs w:val="20"/>
              </w:rPr>
            </w:pPr>
          </w:p>
          <w:p w14:paraId="32500C29" w14:textId="77777777" w:rsidR="007D5E58" w:rsidRPr="005C579C" w:rsidRDefault="007D5E58" w:rsidP="00A53840">
            <w:pPr>
              <w:ind w:left="178" w:firstLine="0"/>
              <w:rPr>
                <w:rFonts w:cstheme="minorHAnsi"/>
                <w:sz w:val="20"/>
                <w:szCs w:val="20"/>
              </w:rPr>
            </w:pPr>
            <w:r w:rsidRPr="005C579C">
              <w:rPr>
                <w:rFonts w:cstheme="minorHAnsi"/>
                <w:sz w:val="20"/>
                <w:szCs w:val="20"/>
              </w:rPr>
              <w:t xml:space="preserve">Lower Jobseeker and Supported Living Payment rates remain for those under 25 and 18 respectively, despite WEAG recommending these be brought in line with the adult rates (see Detailed Recommendation 33).  </w:t>
            </w:r>
          </w:p>
        </w:tc>
        <w:tc>
          <w:tcPr>
            <w:tcW w:w="2196" w:type="dxa"/>
            <w:gridSpan w:val="2"/>
            <w:shd w:val="clear" w:color="auto" w:fill="DEEAF6" w:themeFill="accent5" w:themeFillTint="33"/>
          </w:tcPr>
          <w:p w14:paraId="43EF5C3B" w14:textId="77777777" w:rsidR="007D5E58" w:rsidRPr="00CA2018" w:rsidRDefault="007D5E58" w:rsidP="00A53840">
            <w:pPr>
              <w:ind w:left="178" w:firstLine="0"/>
              <w:rPr>
                <w:sz w:val="20"/>
                <w:szCs w:val="20"/>
              </w:rPr>
            </w:pPr>
            <w:r w:rsidRPr="00CA2018">
              <w:rPr>
                <w:sz w:val="20"/>
                <w:szCs w:val="20"/>
              </w:rPr>
              <w:t>Progressed from minimal to partial implement</w:t>
            </w:r>
            <w:r>
              <w:rPr>
                <w:sz w:val="20"/>
                <w:szCs w:val="20"/>
              </w:rPr>
              <w:t>ation</w:t>
            </w:r>
          </w:p>
          <w:p w14:paraId="50B22D62" w14:textId="77777777" w:rsidR="007D5E58" w:rsidRPr="00CA2018" w:rsidRDefault="007D5E58" w:rsidP="00A53840">
            <w:pPr>
              <w:ind w:left="178" w:firstLine="0"/>
              <w:rPr>
                <w:sz w:val="20"/>
                <w:szCs w:val="20"/>
              </w:rPr>
            </w:pPr>
          </w:p>
        </w:tc>
      </w:tr>
      <w:tr w:rsidR="007D5E58" w:rsidRPr="00CA2018" w14:paraId="3E4FD990" w14:textId="77777777" w:rsidTr="00974425">
        <w:trPr>
          <w:trHeight w:val="310"/>
        </w:trPr>
        <w:tc>
          <w:tcPr>
            <w:tcW w:w="14665" w:type="dxa"/>
            <w:gridSpan w:val="11"/>
            <w:shd w:val="clear" w:color="auto" w:fill="DEEAF6" w:themeFill="accent5" w:themeFillTint="33"/>
          </w:tcPr>
          <w:p w14:paraId="03A72555" w14:textId="77777777" w:rsidR="007D5E58" w:rsidRPr="00CA2018" w:rsidRDefault="007D5E58" w:rsidP="00974425">
            <w:pPr>
              <w:spacing w:before="120" w:after="120"/>
              <w:ind w:left="33" w:right="33" w:firstLine="0"/>
              <w:jc w:val="center"/>
              <w:rPr>
                <w:sz w:val="20"/>
                <w:szCs w:val="20"/>
              </w:rPr>
            </w:pPr>
            <w:r w:rsidRPr="007B0E31">
              <w:rPr>
                <w:b/>
                <w:szCs w:val="24"/>
              </w:rPr>
              <w:t>CREATING A FAIRER DEAL FOR PEOPLE WITH HEALTH CONDITIONS OR DISABILITIES AND CARERS</w:t>
            </w:r>
          </w:p>
        </w:tc>
      </w:tr>
      <w:tr w:rsidR="007D5E58" w:rsidRPr="00CA2018" w14:paraId="51005995" w14:textId="77777777" w:rsidTr="00974425">
        <w:trPr>
          <w:trHeight w:val="310"/>
        </w:trPr>
        <w:tc>
          <w:tcPr>
            <w:tcW w:w="3823" w:type="dxa"/>
            <w:gridSpan w:val="2"/>
          </w:tcPr>
          <w:p w14:paraId="185A3F2F" w14:textId="77777777" w:rsidR="007D5E58" w:rsidRPr="005C579C" w:rsidRDefault="007D5E58" w:rsidP="00974425">
            <w:pPr>
              <w:pStyle w:val="ListParagraph"/>
              <w:numPr>
                <w:ilvl w:val="0"/>
                <w:numId w:val="3"/>
              </w:numPr>
              <w:ind w:left="58" w:firstLine="0"/>
              <w:rPr>
                <w:sz w:val="20"/>
                <w:szCs w:val="20"/>
              </w:rPr>
            </w:pPr>
            <w:r w:rsidRPr="005C579C">
              <w:rPr>
                <w:sz w:val="20"/>
                <w:szCs w:val="20"/>
              </w:rPr>
              <w:t>Improve the health and wellbeing of people with health conditions and disabilities, along with carers of people with health conditions and disabilities who interact with the welfare system by:</w:t>
            </w:r>
          </w:p>
          <w:p w14:paraId="5936A7B1" w14:textId="77777777" w:rsidR="007D5E58" w:rsidRPr="005C579C" w:rsidRDefault="007D5E58" w:rsidP="00974425">
            <w:pPr>
              <w:pStyle w:val="ListParagraph"/>
              <w:numPr>
                <w:ilvl w:val="0"/>
                <w:numId w:val="2"/>
              </w:numPr>
              <w:ind w:left="176" w:firstLine="0"/>
              <w:rPr>
                <w:sz w:val="20"/>
                <w:szCs w:val="20"/>
              </w:rPr>
            </w:pPr>
            <w:r w:rsidRPr="005C579C">
              <w:rPr>
                <w:sz w:val="20"/>
                <w:szCs w:val="20"/>
              </w:rPr>
              <w:t>providing financial support that is adequate to live a life with dignity and is equitable across the social sector</w:t>
            </w:r>
          </w:p>
          <w:p w14:paraId="20CC254B" w14:textId="77777777" w:rsidR="007D5E58" w:rsidRPr="005C579C" w:rsidRDefault="007D5E58" w:rsidP="00974425">
            <w:pPr>
              <w:pStyle w:val="ListParagraph"/>
              <w:numPr>
                <w:ilvl w:val="0"/>
                <w:numId w:val="2"/>
              </w:numPr>
              <w:ind w:left="176" w:firstLine="0"/>
              <w:rPr>
                <w:sz w:val="20"/>
                <w:szCs w:val="20"/>
              </w:rPr>
            </w:pPr>
            <w:r w:rsidRPr="005C579C">
              <w:rPr>
                <w:sz w:val="20"/>
                <w:szCs w:val="20"/>
              </w:rPr>
              <w:t>implementing evidence-based approaches to support engagement in good, suitable work and the community where this is possible</w:t>
            </w:r>
          </w:p>
          <w:p w14:paraId="52BF689D" w14:textId="77777777" w:rsidR="007D5E58" w:rsidRPr="005C579C" w:rsidRDefault="007D5E58" w:rsidP="00974425">
            <w:pPr>
              <w:pStyle w:val="ListParagraph"/>
              <w:numPr>
                <w:ilvl w:val="0"/>
                <w:numId w:val="2"/>
              </w:numPr>
              <w:ind w:left="176" w:firstLine="0"/>
              <w:rPr>
                <w:sz w:val="20"/>
                <w:szCs w:val="20"/>
              </w:rPr>
            </w:pPr>
            <w:r w:rsidRPr="005C579C">
              <w:rPr>
                <w:sz w:val="20"/>
                <w:szCs w:val="20"/>
              </w:rPr>
              <w:t>implementing strategies to prevent work-limiting health conditions and disabilities.</w:t>
            </w:r>
          </w:p>
        </w:tc>
        <w:tc>
          <w:tcPr>
            <w:tcW w:w="1275" w:type="dxa"/>
            <w:gridSpan w:val="3"/>
          </w:tcPr>
          <w:p w14:paraId="141D3BFC" w14:textId="77777777" w:rsidR="007D5E58" w:rsidRPr="005C579C" w:rsidRDefault="007D5E58" w:rsidP="00974425">
            <w:pPr>
              <w:ind w:left="33" w:right="33" w:firstLine="0"/>
              <w:rPr>
                <w:sz w:val="20"/>
                <w:szCs w:val="20"/>
              </w:rPr>
            </w:pPr>
            <w:r w:rsidRPr="005C579C">
              <w:rPr>
                <w:sz w:val="20"/>
                <w:szCs w:val="20"/>
              </w:rPr>
              <w:t>Detailed Recs 105-122 (see Table 4)</w:t>
            </w:r>
          </w:p>
        </w:tc>
        <w:tc>
          <w:tcPr>
            <w:tcW w:w="3447" w:type="dxa"/>
            <w:gridSpan w:val="2"/>
          </w:tcPr>
          <w:p w14:paraId="4092EA12" w14:textId="77777777" w:rsidR="007D5E58" w:rsidRPr="005C579C" w:rsidRDefault="007D5E58" w:rsidP="00A53840">
            <w:pPr>
              <w:ind w:left="178" w:firstLine="0"/>
              <w:rPr>
                <w:sz w:val="20"/>
                <w:szCs w:val="20"/>
              </w:rPr>
            </w:pPr>
            <w:r w:rsidRPr="005C579C">
              <w:rPr>
                <w:sz w:val="20"/>
                <w:szCs w:val="20"/>
              </w:rPr>
              <w:t>In a 27 September 2021 Cabinet paper, Appendix Three, the Government stated that “Funding for the disability sector was significantly increased in Budget 2020, specifically with the intent of improving access to services and alleviating financial pressure on them. Further work is required.”</w:t>
            </w:r>
          </w:p>
          <w:p w14:paraId="5F2A7EDE" w14:textId="77777777" w:rsidR="007D5E58" w:rsidRPr="005C579C" w:rsidRDefault="007D5E58" w:rsidP="00A53840">
            <w:pPr>
              <w:ind w:left="178" w:firstLine="0"/>
              <w:rPr>
                <w:sz w:val="20"/>
                <w:szCs w:val="20"/>
              </w:rPr>
            </w:pPr>
          </w:p>
          <w:p w14:paraId="7C51EBAD" w14:textId="77777777" w:rsidR="007D5E58" w:rsidRPr="005C579C" w:rsidRDefault="007D5E58" w:rsidP="00A53840">
            <w:pPr>
              <w:ind w:left="178" w:firstLine="0"/>
              <w:rPr>
                <w:sz w:val="20"/>
                <w:szCs w:val="20"/>
              </w:rPr>
            </w:pPr>
            <w:r w:rsidRPr="005C579C">
              <w:rPr>
                <w:sz w:val="20"/>
                <w:szCs w:val="20"/>
              </w:rPr>
              <w:t>The Cabinet paper appendix also pointed to the subsequent work capacity medical certificate change to be implemented in January 2022, and more general changes to improve income adequacy that will benefit people with health conditions and disabilities accessing support from the welfare system.</w:t>
            </w:r>
          </w:p>
          <w:p w14:paraId="6DCB54AA" w14:textId="77777777" w:rsidR="007D5E58" w:rsidRPr="005C579C" w:rsidRDefault="007D5E58" w:rsidP="00A53840">
            <w:pPr>
              <w:ind w:left="178" w:firstLine="0"/>
              <w:rPr>
                <w:sz w:val="20"/>
                <w:szCs w:val="20"/>
              </w:rPr>
            </w:pPr>
          </w:p>
          <w:p w14:paraId="2C7BF1AC" w14:textId="360CF98F" w:rsidR="007D5E58" w:rsidRPr="005C579C" w:rsidRDefault="007D5E58" w:rsidP="00A53840">
            <w:pPr>
              <w:ind w:left="178" w:firstLine="0"/>
              <w:rPr>
                <w:sz w:val="20"/>
                <w:szCs w:val="20"/>
              </w:rPr>
            </w:pPr>
            <w:r w:rsidRPr="005C579C">
              <w:rPr>
                <w:sz w:val="20"/>
                <w:szCs w:val="20"/>
              </w:rPr>
              <w:t>The Government also stated that “MSD is reviewing financial support and eligibility settings for current benefit payments for disabled people, people with health conditions and their carers</w:t>
            </w:r>
            <w:r w:rsidR="004A3121">
              <w:rPr>
                <w:sz w:val="20"/>
                <w:szCs w:val="20"/>
              </w:rPr>
              <w:t>” (MSD, 2021d).</w:t>
            </w:r>
          </w:p>
        </w:tc>
        <w:tc>
          <w:tcPr>
            <w:tcW w:w="3924" w:type="dxa"/>
            <w:gridSpan w:val="2"/>
            <w:shd w:val="clear" w:color="auto" w:fill="F8CA9C"/>
          </w:tcPr>
          <w:p w14:paraId="29F32D53" w14:textId="77777777" w:rsidR="007D5E58" w:rsidRPr="005C579C" w:rsidRDefault="007D5E58" w:rsidP="00A53840">
            <w:pPr>
              <w:ind w:left="178" w:firstLine="0"/>
              <w:rPr>
                <w:sz w:val="20"/>
                <w:szCs w:val="20"/>
              </w:rPr>
            </w:pPr>
            <w:r w:rsidRPr="005C579C">
              <w:rPr>
                <w:sz w:val="20"/>
                <w:szCs w:val="20"/>
              </w:rPr>
              <w:t>Minimal implementation.</w:t>
            </w:r>
          </w:p>
          <w:p w14:paraId="711E9AD2" w14:textId="77777777" w:rsidR="007D5E58" w:rsidRPr="005C579C" w:rsidRDefault="007D5E58" w:rsidP="00A53840">
            <w:pPr>
              <w:ind w:left="178" w:firstLine="0"/>
              <w:rPr>
                <w:sz w:val="20"/>
                <w:szCs w:val="20"/>
              </w:rPr>
            </w:pPr>
          </w:p>
          <w:p w14:paraId="3E266A0B" w14:textId="35CBE724" w:rsidR="007D5E58" w:rsidRPr="005C579C" w:rsidRDefault="007D5E58" w:rsidP="00A53840">
            <w:pPr>
              <w:ind w:left="178" w:firstLine="0"/>
              <w:rPr>
                <w:sz w:val="20"/>
                <w:szCs w:val="20"/>
              </w:rPr>
            </w:pPr>
            <w:r w:rsidRPr="005C579C">
              <w:rPr>
                <w:sz w:val="20"/>
                <w:szCs w:val="20"/>
              </w:rPr>
              <w:t>Budget 2019 saw additional funding to support disabled people and people with health conditions into employment through Oranga Mahi, disability Employment Services and Support Funds</w:t>
            </w:r>
            <w:r w:rsidR="004A3121">
              <w:rPr>
                <w:sz w:val="20"/>
                <w:szCs w:val="20"/>
              </w:rPr>
              <w:t xml:space="preserve"> (</w:t>
            </w:r>
            <w:r w:rsidR="00F35D44">
              <w:rPr>
                <w:sz w:val="20"/>
                <w:szCs w:val="20"/>
              </w:rPr>
              <w:t>MSD, 2019A</w:t>
            </w:r>
            <w:r w:rsidR="004A3121">
              <w:rPr>
                <w:sz w:val="20"/>
                <w:szCs w:val="20"/>
              </w:rPr>
              <w:t>).</w:t>
            </w:r>
            <w:r w:rsidRPr="005C579C">
              <w:rPr>
                <w:sz w:val="20"/>
                <w:szCs w:val="20"/>
              </w:rPr>
              <w:t xml:space="preserve"> A Disability Employment Action Plan was released in July 2020, with a work programme laid out for 2020-2022. </w:t>
            </w:r>
          </w:p>
          <w:p w14:paraId="62BEF64B" w14:textId="77777777" w:rsidR="007D5E58" w:rsidRPr="005C579C" w:rsidRDefault="007D5E58" w:rsidP="00A53840">
            <w:pPr>
              <w:ind w:left="178" w:firstLine="0"/>
              <w:rPr>
                <w:sz w:val="20"/>
                <w:szCs w:val="20"/>
              </w:rPr>
            </w:pPr>
          </w:p>
          <w:p w14:paraId="52FB9454" w14:textId="1DC888E2" w:rsidR="007D5E58" w:rsidRPr="005C579C" w:rsidRDefault="007D5E58" w:rsidP="00A53840">
            <w:pPr>
              <w:spacing w:after="120"/>
              <w:ind w:left="176" w:firstLine="0"/>
              <w:rPr>
                <w:sz w:val="20"/>
                <w:szCs w:val="20"/>
              </w:rPr>
            </w:pPr>
            <w:r w:rsidRPr="005C579C">
              <w:rPr>
                <w:sz w:val="20"/>
                <w:szCs w:val="20"/>
              </w:rPr>
              <w:t>Budget 2021 provided no tailored support for people with disabilities. Supplementary income support entitlements for people with health conditions and disabilities remain inadequate, and have not yet been reviewed</w:t>
            </w:r>
            <w:r w:rsidR="00EF4168">
              <w:rPr>
                <w:sz w:val="20"/>
                <w:szCs w:val="20"/>
              </w:rPr>
              <w:t xml:space="preserve"> (Neuwelt-Kearns et al., 2020)</w:t>
            </w:r>
            <w:r w:rsidRPr="005C579C">
              <w:rPr>
                <w:sz w:val="20"/>
                <w:szCs w:val="20"/>
              </w:rPr>
              <w:t>. The announcement of a Ministry for Disabled People</w:t>
            </w:r>
            <w:r w:rsidR="00EF4168">
              <w:rPr>
                <w:sz w:val="20"/>
                <w:szCs w:val="20"/>
              </w:rPr>
              <w:t xml:space="preserve"> (Ford, 2021)</w:t>
            </w:r>
            <w:r w:rsidRPr="005C579C">
              <w:rPr>
                <w:sz w:val="20"/>
                <w:szCs w:val="20"/>
              </w:rPr>
              <w:t xml:space="preserve"> is positive, but must be sufficiently resourced and have good representation of disabled people within leadership roles in order to make substantial improvements to the wellbeing of disabled people and their families and whānau.</w:t>
            </w:r>
          </w:p>
        </w:tc>
        <w:tc>
          <w:tcPr>
            <w:tcW w:w="2196" w:type="dxa"/>
            <w:gridSpan w:val="2"/>
            <w:shd w:val="clear" w:color="auto" w:fill="FFFFFF" w:themeFill="background1"/>
          </w:tcPr>
          <w:p w14:paraId="187648BD" w14:textId="77777777" w:rsidR="007D5E58" w:rsidRPr="00CA2018" w:rsidRDefault="007D5E58" w:rsidP="00A53840">
            <w:pPr>
              <w:ind w:left="178" w:firstLine="0"/>
              <w:rPr>
                <w:sz w:val="20"/>
                <w:szCs w:val="20"/>
              </w:rPr>
            </w:pPr>
            <w:r w:rsidRPr="00CA2018">
              <w:rPr>
                <w:sz w:val="20"/>
                <w:szCs w:val="20"/>
              </w:rPr>
              <w:t>No change since November 2020.</w:t>
            </w:r>
          </w:p>
          <w:p w14:paraId="0CD1358F" w14:textId="77777777" w:rsidR="007D5E58" w:rsidRPr="00CA2018" w:rsidRDefault="007D5E58" w:rsidP="00A53840">
            <w:pPr>
              <w:ind w:left="178" w:firstLine="0"/>
              <w:rPr>
                <w:sz w:val="20"/>
                <w:szCs w:val="20"/>
              </w:rPr>
            </w:pPr>
          </w:p>
        </w:tc>
      </w:tr>
      <w:tr w:rsidR="007D5E58" w:rsidRPr="00CA2018" w14:paraId="5690528A" w14:textId="77777777" w:rsidTr="00974425">
        <w:trPr>
          <w:trHeight w:val="310"/>
        </w:trPr>
        <w:tc>
          <w:tcPr>
            <w:tcW w:w="3823" w:type="dxa"/>
            <w:gridSpan w:val="2"/>
          </w:tcPr>
          <w:p w14:paraId="15799088" w14:textId="77777777" w:rsidR="007D5E58" w:rsidRPr="005C579C" w:rsidRDefault="007D5E58" w:rsidP="00974425">
            <w:pPr>
              <w:pStyle w:val="ListParagraph"/>
              <w:numPr>
                <w:ilvl w:val="0"/>
                <w:numId w:val="3"/>
              </w:numPr>
              <w:ind w:left="58" w:firstLine="0"/>
              <w:rPr>
                <w:sz w:val="20"/>
                <w:szCs w:val="20"/>
              </w:rPr>
            </w:pPr>
            <w:r w:rsidRPr="005C579C">
              <w:rPr>
                <w:sz w:val="20"/>
                <w:szCs w:val="20"/>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p>
        </w:tc>
        <w:tc>
          <w:tcPr>
            <w:tcW w:w="1275" w:type="dxa"/>
            <w:gridSpan w:val="3"/>
          </w:tcPr>
          <w:p w14:paraId="73AA7E5B" w14:textId="77777777" w:rsidR="007D5E58" w:rsidRPr="005C579C" w:rsidRDefault="007D5E58" w:rsidP="00974425">
            <w:pPr>
              <w:ind w:left="33" w:right="33" w:firstLine="0"/>
              <w:rPr>
                <w:sz w:val="20"/>
                <w:szCs w:val="20"/>
              </w:rPr>
            </w:pPr>
            <w:r w:rsidRPr="005C579C">
              <w:rPr>
                <w:sz w:val="20"/>
                <w:szCs w:val="20"/>
              </w:rPr>
              <w:t>Detailed Rec 113 (see Table 4)</w:t>
            </w:r>
          </w:p>
        </w:tc>
        <w:tc>
          <w:tcPr>
            <w:tcW w:w="3447" w:type="dxa"/>
            <w:gridSpan w:val="2"/>
          </w:tcPr>
          <w:p w14:paraId="6EBE57CD" w14:textId="26FB2782" w:rsidR="007D5E58" w:rsidRPr="005C579C" w:rsidRDefault="007D5E58" w:rsidP="00A53840">
            <w:pPr>
              <w:ind w:left="178" w:firstLine="0"/>
              <w:rPr>
                <w:sz w:val="20"/>
                <w:szCs w:val="20"/>
              </w:rPr>
            </w:pPr>
            <w:r w:rsidRPr="005C579C">
              <w:rPr>
                <w:sz w:val="20"/>
                <w:szCs w:val="20"/>
              </w:rPr>
              <w:t>In a 27 September 2021 Cabinet paper, Appendix Three, the Government has stated that it “recognises that improvements in outcomes for people with health conditions and disabilities requires greater integration across systems. Further work to improve the interfaces between MSD and other agencies working with people with health conditions and disabilities will need to consider broad-ranging work already underway</w:t>
            </w:r>
            <w:r w:rsidR="00EF4168">
              <w:rPr>
                <w:sz w:val="20"/>
                <w:szCs w:val="20"/>
              </w:rPr>
              <w:t>” (MSD, 2021d).</w:t>
            </w:r>
          </w:p>
        </w:tc>
        <w:tc>
          <w:tcPr>
            <w:tcW w:w="3924" w:type="dxa"/>
            <w:gridSpan w:val="2"/>
            <w:shd w:val="clear" w:color="auto" w:fill="FFA5A5"/>
          </w:tcPr>
          <w:p w14:paraId="173B3F4C" w14:textId="77777777" w:rsidR="007D5E58" w:rsidRPr="005C579C" w:rsidRDefault="007D5E58" w:rsidP="00A53840">
            <w:pPr>
              <w:ind w:left="178" w:firstLine="0"/>
              <w:rPr>
                <w:sz w:val="20"/>
                <w:szCs w:val="20"/>
              </w:rPr>
            </w:pPr>
            <w:r w:rsidRPr="005C579C">
              <w:rPr>
                <w:sz w:val="20"/>
                <w:szCs w:val="20"/>
              </w:rPr>
              <w:t>No evidence of implementation.</w:t>
            </w:r>
          </w:p>
          <w:p w14:paraId="56F808C5" w14:textId="77777777" w:rsidR="007D5E58" w:rsidRPr="005C579C" w:rsidRDefault="007D5E58" w:rsidP="00A53840">
            <w:pPr>
              <w:ind w:left="178" w:firstLine="0"/>
              <w:rPr>
                <w:sz w:val="20"/>
                <w:szCs w:val="20"/>
              </w:rPr>
            </w:pPr>
          </w:p>
          <w:p w14:paraId="04755652" w14:textId="77777777" w:rsidR="007D5E58" w:rsidRPr="005C579C" w:rsidRDefault="007D5E58" w:rsidP="00A53840">
            <w:pPr>
              <w:ind w:left="178" w:firstLine="0"/>
              <w:rPr>
                <w:sz w:val="20"/>
                <w:szCs w:val="20"/>
              </w:rPr>
            </w:pPr>
            <w:r w:rsidRPr="005C579C">
              <w:rPr>
                <w:sz w:val="20"/>
                <w:szCs w:val="20"/>
              </w:rPr>
              <w:t xml:space="preserve">The relationship between the health and disability system and the accident compensation scheme was not included within the scope of the Health and Disability System Review. </w:t>
            </w:r>
          </w:p>
          <w:p w14:paraId="247D38B8" w14:textId="77777777" w:rsidR="007D5E58" w:rsidRPr="005C579C" w:rsidRDefault="007D5E58" w:rsidP="00A53840">
            <w:pPr>
              <w:ind w:left="178" w:firstLine="0"/>
              <w:rPr>
                <w:sz w:val="20"/>
                <w:szCs w:val="20"/>
              </w:rPr>
            </w:pPr>
          </w:p>
          <w:p w14:paraId="72F5B5C5" w14:textId="072E2E8C" w:rsidR="007D5E58" w:rsidRPr="005C579C" w:rsidRDefault="007D5E58" w:rsidP="00A53840">
            <w:pPr>
              <w:ind w:left="178" w:firstLine="0"/>
              <w:rPr>
                <w:sz w:val="20"/>
                <w:szCs w:val="20"/>
              </w:rPr>
            </w:pPr>
            <w:r w:rsidRPr="005C579C">
              <w:rPr>
                <w:sz w:val="20"/>
                <w:szCs w:val="20"/>
              </w:rPr>
              <w:t>We note that as Wai 2575 (the Waitangi Tribunal for the Health Services and Outcomes Inquiry) concluded, “the intersection of indigeneity and disability leads to even further significant inequities for Māori with lived experience of disability”</w:t>
            </w:r>
            <w:r w:rsidR="00EF4168">
              <w:rPr>
                <w:sz w:val="20"/>
                <w:szCs w:val="20"/>
              </w:rPr>
              <w:t xml:space="preserve"> (King, 2019).</w:t>
            </w:r>
            <w:r w:rsidRPr="005C579C">
              <w:rPr>
                <w:sz w:val="20"/>
                <w:szCs w:val="20"/>
              </w:rPr>
              <w:t xml:space="preserve"> Ongoing inaction in improving the disability system, and assessing the relationship between the ACC and the disability systems, disproportionately impacts whānau Māori who are overrepresented among those with disability and yet the most poorly served.</w:t>
            </w:r>
          </w:p>
        </w:tc>
        <w:tc>
          <w:tcPr>
            <w:tcW w:w="2196" w:type="dxa"/>
            <w:gridSpan w:val="2"/>
            <w:shd w:val="clear" w:color="auto" w:fill="FFFFFF" w:themeFill="background1"/>
          </w:tcPr>
          <w:p w14:paraId="574B38FB" w14:textId="77777777" w:rsidR="007D5E58" w:rsidRPr="00CA2018" w:rsidRDefault="007D5E58" w:rsidP="00A53840">
            <w:pPr>
              <w:ind w:left="178" w:firstLine="0"/>
              <w:rPr>
                <w:sz w:val="20"/>
                <w:szCs w:val="20"/>
              </w:rPr>
            </w:pPr>
            <w:r w:rsidRPr="00CA2018">
              <w:rPr>
                <w:sz w:val="20"/>
                <w:szCs w:val="20"/>
              </w:rPr>
              <w:t>No change since November 2020.</w:t>
            </w:r>
          </w:p>
          <w:p w14:paraId="7BD5DD1B" w14:textId="77777777" w:rsidR="007D5E58" w:rsidRPr="00CA2018" w:rsidRDefault="007D5E58" w:rsidP="00A53840">
            <w:pPr>
              <w:ind w:left="178" w:firstLine="0"/>
              <w:rPr>
                <w:sz w:val="20"/>
                <w:szCs w:val="20"/>
              </w:rPr>
            </w:pPr>
          </w:p>
        </w:tc>
      </w:tr>
      <w:tr w:rsidR="007D5E58" w:rsidRPr="00CA2018" w14:paraId="21199C95" w14:textId="77777777" w:rsidTr="00974425">
        <w:trPr>
          <w:trHeight w:val="310"/>
        </w:trPr>
        <w:tc>
          <w:tcPr>
            <w:tcW w:w="14665" w:type="dxa"/>
            <w:gridSpan w:val="11"/>
            <w:shd w:val="clear" w:color="auto" w:fill="E7E6E6" w:themeFill="background2"/>
          </w:tcPr>
          <w:p w14:paraId="79BB4A2D" w14:textId="77777777" w:rsidR="007D5E58" w:rsidRPr="00CA2018" w:rsidRDefault="007D5E58" w:rsidP="00974425">
            <w:pPr>
              <w:ind w:left="33" w:right="33" w:firstLine="0"/>
              <w:jc w:val="center"/>
              <w:rPr>
                <w:sz w:val="20"/>
                <w:szCs w:val="20"/>
              </w:rPr>
            </w:pPr>
            <w:r w:rsidRPr="00CA2018">
              <w:rPr>
                <w:b/>
                <w:sz w:val="20"/>
                <w:szCs w:val="20"/>
              </w:rPr>
              <w:t>STRENGTHENING COMMUNITY ORGANISATIONS AND VOLUNTEERING</w:t>
            </w:r>
          </w:p>
        </w:tc>
      </w:tr>
      <w:tr w:rsidR="007D5E58" w:rsidRPr="00CA2018" w14:paraId="756BC371" w14:textId="77777777" w:rsidTr="00974425">
        <w:trPr>
          <w:trHeight w:val="310"/>
        </w:trPr>
        <w:tc>
          <w:tcPr>
            <w:tcW w:w="3823" w:type="dxa"/>
            <w:gridSpan w:val="2"/>
          </w:tcPr>
          <w:p w14:paraId="6E98B9E5" w14:textId="77777777" w:rsidR="007D5E58" w:rsidRPr="005C579C" w:rsidRDefault="007D5E58" w:rsidP="00974425">
            <w:pPr>
              <w:pStyle w:val="ListParagraph"/>
              <w:numPr>
                <w:ilvl w:val="0"/>
                <w:numId w:val="3"/>
              </w:numPr>
              <w:spacing w:before="120" w:after="120"/>
              <w:ind w:left="58" w:firstLine="0"/>
              <w:rPr>
                <w:sz w:val="20"/>
                <w:szCs w:val="20"/>
              </w:rPr>
            </w:pPr>
            <w:r w:rsidRPr="005C579C">
              <w:rPr>
                <w:sz w:val="20"/>
                <w:szCs w:val="20"/>
              </w:rPr>
              <w:t>Direct the Ministry of Social Development to develop the capacity and capability to engage with, promote and fund community organisations to provide wide-ranging opportunities for volunteers and people receiving benefits to be meaningfully engaged in their communities.</w:t>
            </w:r>
          </w:p>
        </w:tc>
        <w:tc>
          <w:tcPr>
            <w:tcW w:w="1275" w:type="dxa"/>
            <w:gridSpan w:val="3"/>
          </w:tcPr>
          <w:p w14:paraId="7420881D" w14:textId="77777777" w:rsidR="007D5E58" w:rsidRPr="005C579C" w:rsidRDefault="007D5E58" w:rsidP="00974425">
            <w:pPr>
              <w:ind w:left="33" w:right="33" w:firstLine="0"/>
              <w:rPr>
                <w:sz w:val="20"/>
                <w:szCs w:val="20"/>
              </w:rPr>
            </w:pPr>
            <w:r w:rsidRPr="005C579C">
              <w:rPr>
                <w:sz w:val="20"/>
                <w:szCs w:val="20"/>
              </w:rPr>
              <w:t>Detailed Rec 123 (see Table 4)</w:t>
            </w:r>
          </w:p>
        </w:tc>
        <w:tc>
          <w:tcPr>
            <w:tcW w:w="3447" w:type="dxa"/>
            <w:gridSpan w:val="2"/>
          </w:tcPr>
          <w:p w14:paraId="1F12BF8A" w14:textId="77777777" w:rsidR="007D5E58" w:rsidRPr="005C579C" w:rsidRDefault="007D5E58" w:rsidP="00A53840">
            <w:pPr>
              <w:ind w:left="178" w:firstLine="0"/>
              <w:rPr>
                <w:sz w:val="20"/>
                <w:szCs w:val="20"/>
              </w:rPr>
            </w:pPr>
            <w:r w:rsidRPr="005C579C">
              <w:rPr>
                <w:sz w:val="20"/>
                <w:szCs w:val="20"/>
              </w:rPr>
              <w:t xml:space="preserve">In a 27 September 2021 Cabinet paper,  Appendix Three, the Government stated that “The Minister for Social Development and Employment has already commissioned the Social Wellbeing Board to explore NGO contracting and relationships across Government (The Future of Social Sector Commissioning work programme). The Minister will also be considering how MSD can better support volunteering.” </w:t>
            </w:r>
          </w:p>
          <w:p w14:paraId="2D4AE67A" w14:textId="77777777" w:rsidR="007D5E58" w:rsidRPr="005C579C" w:rsidRDefault="007D5E58" w:rsidP="00A53840">
            <w:pPr>
              <w:ind w:left="178" w:firstLine="0"/>
              <w:rPr>
                <w:sz w:val="20"/>
                <w:szCs w:val="20"/>
              </w:rPr>
            </w:pPr>
          </w:p>
          <w:p w14:paraId="2D78ABE4" w14:textId="29D9878D" w:rsidR="007D5E58" w:rsidRPr="005C579C" w:rsidRDefault="007D5E58" w:rsidP="00A53840">
            <w:pPr>
              <w:ind w:left="178" w:firstLine="0"/>
              <w:rPr>
                <w:sz w:val="20"/>
                <w:szCs w:val="20"/>
              </w:rPr>
            </w:pPr>
            <w:r w:rsidRPr="005C579C">
              <w:rPr>
                <w:sz w:val="20"/>
                <w:szCs w:val="20"/>
              </w:rPr>
              <w:t>The Cabinet paper appendix also stated that “Following the release of draft commissioning principles in 2020, work is underway across social sector agencies (jointly led by MSD and Oranga Tamariki) to progress the development of a relational approach to commissioning social services that can be applied across the 10 government agencies that commission social services</w:t>
            </w:r>
            <w:r w:rsidR="00B26CB3">
              <w:rPr>
                <w:sz w:val="20"/>
                <w:szCs w:val="20"/>
              </w:rPr>
              <w:t>” (MSD, 2021d).</w:t>
            </w:r>
          </w:p>
        </w:tc>
        <w:tc>
          <w:tcPr>
            <w:tcW w:w="3924" w:type="dxa"/>
            <w:gridSpan w:val="2"/>
            <w:shd w:val="clear" w:color="auto" w:fill="FFA5A5"/>
          </w:tcPr>
          <w:p w14:paraId="09670DF1" w14:textId="77777777" w:rsidR="007D5E58" w:rsidRPr="005C579C" w:rsidRDefault="007D5E58" w:rsidP="00A53840">
            <w:pPr>
              <w:ind w:left="178" w:firstLine="0"/>
              <w:rPr>
                <w:sz w:val="20"/>
                <w:szCs w:val="20"/>
              </w:rPr>
            </w:pPr>
            <w:r w:rsidRPr="005C579C">
              <w:rPr>
                <w:sz w:val="20"/>
                <w:szCs w:val="20"/>
              </w:rPr>
              <w:t xml:space="preserve">No evidence of implementation. </w:t>
            </w:r>
          </w:p>
          <w:p w14:paraId="518E8E4C" w14:textId="77777777" w:rsidR="007D5E58" w:rsidRPr="005C579C" w:rsidRDefault="007D5E58" w:rsidP="00A53840">
            <w:pPr>
              <w:ind w:left="178" w:firstLine="0"/>
              <w:rPr>
                <w:sz w:val="20"/>
                <w:szCs w:val="20"/>
              </w:rPr>
            </w:pPr>
          </w:p>
          <w:p w14:paraId="64F5D8D7" w14:textId="608A1E18" w:rsidR="007D5E58" w:rsidRPr="005C579C" w:rsidRDefault="007D5E58" w:rsidP="00A53840">
            <w:pPr>
              <w:ind w:left="178" w:firstLine="0"/>
              <w:rPr>
                <w:sz w:val="20"/>
                <w:szCs w:val="20"/>
              </w:rPr>
            </w:pPr>
            <w:r w:rsidRPr="005C579C">
              <w:rPr>
                <w:sz w:val="20"/>
                <w:szCs w:val="20"/>
              </w:rPr>
              <w:t>In a 2019 report, accessed under OIA, officials advise against any formal linking of volunteering opportunities with benefit receipt, but suggest that there could be value in considering how Government can further support volunteering</w:t>
            </w:r>
            <w:r w:rsidR="00B26CB3">
              <w:rPr>
                <w:sz w:val="20"/>
                <w:szCs w:val="20"/>
              </w:rPr>
              <w:t xml:space="preserve"> (MSD, 2020d).</w:t>
            </w:r>
          </w:p>
        </w:tc>
        <w:tc>
          <w:tcPr>
            <w:tcW w:w="2196" w:type="dxa"/>
            <w:gridSpan w:val="2"/>
            <w:shd w:val="clear" w:color="auto" w:fill="FFFFFF" w:themeFill="background1"/>
          </w:tcPr>
          <w:p w14:paraId="468CAB23" w14:textId="77777777" w:rsidR="007D5E58" w:rsidRPr="00CA2018" w:rsidRDefault="007D5E58" w:rsidP="00A53840">
            <w:pPr>
              <w:ind w:left="178" w:firstLine="0"/>
              <w:rPr>
                <w:sz w:val="20"/>
                <w:szCs w:val="20"/>
              </w:rPr>
            </w:pPr>
            <w:r w:rsidRPr="00CA2018">
              <w:rPr>
                <w:sz w:val="20"/>
                <w:szCs w:val="20"/>
              </w:rPr>
              <w:t>No change since November 2020.</w:t>
            </w:r>
          </w:p>
          <w:p w14:paraId="1D8E414C" w14:textId="77777777" w:rsidR="007D5E58" w:rsidRPr="00CA2018" w:rsidRDefault="007D5E58" w:rsidP="00A53840">
            <w:pPr>
              <w:ind w:left="178" w:firstLine="0"/>
              <w:rPr>
                <w:sz w:val="20"/>
                <w:szCs w:val="20"/>
              </w:rPr>
            </w:pPr>
          </w:p>
        </w:tc>
      </w:tr>
    </w:tbl>
    <w:p w14:paraId="2425FBCF" w14:textId="77777777" w:rsidR="007D5E58" w:rsidRPr="00CA2018" w:rsidRDefault="007D5E58" w:rsidP="007D5E58">
      <w:pPr>
        <w:rPr>
          <w:sz w:val="20"/>
          <w:szCs w:val="20"/>
        </w:rPr>
      </w:pPr>
      <w:r w:rsidRPr="00CA2018">
        <w:rPr>
          <w:sz w:val="20"/>
          <w:szCs w:val="20"/>
        </w:rPr>
        <w:br w:type="page"/>
      </w:r>
    </w:p>
    <w:p w14:paraId="603A0977" w14:textId="77777777" w:rsidR="007D5E58" w:rsidRPr="00CA2018" w:rsidRDefault="007D5E58" w:rsidP="00974425">
      <w:pPr>
        <w:pStyle w:val="Heading1"/>
        <w:ind w:left="-284"/>
      </w:pPr>
      <w:bookmarkStart w:id="45" w:name="_Toc89330022"/>
      <w:r w:rsidRPr="00CA2018">
        <w:t>Appendix B: Full list of WEAG’s Detailed Recommendations and the Government’s implementation progress as at November 2021</w:t>
      </w:r>
      <w:bookmarkEnd w:id="45"/>
    </w:p>
    <w:p w14:paraId="2D8A0F32" w14:textId="77777777" w:rsidR="007D5E58" w:rsidRPr="00CA2018" w:rsidRDefault="007D5E58" w:rsidP="00974425">
      <w:pPr>
        <w:ind w:left="-284"/>
        <w:rPr>
          <w:rFonts w:ascii="Calibri" w:hAnsi="Calibri" w:cs="Calibri"/>
          <w:b/>
        </w:rPr>
      </w:pPr>
      <w:r w:rsidRPr="00CA2018">
        <w:rPr>
          <w:rFonts w:ascii="Calibri" w:hAnsi="Calibri" w:cs="Calibri"/>
          <w:b/>
        </w:rPr>
        <w:t>Summary of implementation progress of detailed recommendations within each chapter of Whakamana Tāngata</w:t>
      </w:r>
    </w:p>
    <w:tbl>
      <w:tblPr>
        <w:tblStyle w:val="TableGrid"/>
        <w:tblpPr w:leftFromText="180" w:rightFromText="180" w:vertAnchor="text" w:tblpXSpec="center" w:tblpY="1"/>
        <w:tblOverlap w:val="never"/>
        <w:tblW w:w="14600" w:type="dxa"/>
        <w:tblLayout w:type="fixed"/>
        <w:tblLook w:val="04A0" w:firstRow="1" w:lastRow="0" w:firstColumn="1" w:lastColumn="0" w:noHBand="0" w:noVBand="1"/>
      </w:tblPr>
      <w:tblGrid>
        <w:gridCol w:w="3260"/>
        <w:gridCol w:w="2410"/>
        <w:gridCol w:w="2267"/>
        <w:gridCol w:w="2126"/>
        <w:gridCol w:w="2127"/>
        <w:gridCol w:w="2410"/>
      </w:tblGrid>
      <w:tr w:rsidR="007D5E58" w:rsidRPr="00142B4E" w14:paraId="37BD470C" w14:textId="77777777" w:rsidTr="00974425">
        <w:tc>
          <w:tcPr>
            <w:tcW w:w="3260" w:type="dxa"/>
            <w:shd w:val="clear" w:color="auto" w:fill="E7E6E6" w:themeFill="background2"/>
            <w:vAlign w:val="center"/>
          </w:tcPr>
          <w:p w14:paraId="2475B966" w14:textId="77777777" w:rsidR="007D5E58" w:rsidRPr="00CA2018" w:rsidRDefault="007D5E58" w:rsidP="00974425">
            <w:pPr>
              <w:spacing w:after="60"/>
              <w:ind w:left="1168" w:firstLine="0"/>
              <w:rPr>
                <w:rFonts w:ascii="Calibri" w:hAnsi="Calibri" w:cs="Calibri"/>
                <w:b/>
                <w:bCs/>
              </w:rPr>
            </w:pPr>
            <w:r w:rsidRPr="00CA2018">
              <w:rPr>
                <w:rFonts w:ascii="Calibri" w:hAnsi="Calibri" w:cs="Calibri"/>
                <w:b/>
                <w:bCs/>
              </w:rPr>
              <w:t>Topic</w:t>
            </w:r>
          </w:p>
        </w:tc>
        <w:tc>
          <w:tcPr>
            <w:tcW w:w="2410" w:type="dxa"/>
            <w:shd w:val="clear" w:color="auto" w:fill="FFB7B7"/>
            <w:vAlign w:val="center"/>
          </w:tcPr>
          <w:p w14:paraId="5356356D" w14:textId="77777777" w:rsidR="007D5E58" w:rsidRPr="00CA2018" w:rsidRDefault="007D5E58" w:rsidP="00A53840">
            <w:pPr>
              <w:spacing w:after="60"/>
              <w:ind w:firstLine="0"/>
              <w:rPr>
                <w:rFonts w:ascii="Calibri" w:hAnsi="Calibri" w:cs="Calibri"/>
                <w:b/>
                <w:bCs/>
              </w:rPr>
            </w:pPr>
            <w:r w:rsidRPr="00CA2018">
              <w:rPr>
                <w:rFonts w:ascii="Calibri" w:hAnsi="Calibri" w:cs="Calibri"/>
                <w:b/>
                <w:bCs/>
              </w:rPr>
              <w:t>No</w:t>
            </w:r>
            <w:r>
              <w:rPr>
                <w:rFonts w:ascii="Calibri" w:hAnsi="Calibri" w:cs="Calibri"/>
                <w:b/>
                <w:bCs/>
              </w:rPr>
              <w:t xml:space="preserve"> degree of</w:t>
            </w:r>
            <w:r w:rsidRPr="00CA2018">
              <w:rPr>
                <w:rFonts w:ascii="Calibri" w:hAnsi="Calibri" w:cs="Calibri"/>
                <w:b/>
                <w:bCs/>
              </w:rPr>
              <w:t xml:space="preserve"> implement</w:t>
            </w:r>
            <w:r>
              <w:rPr>
                <w:rFonts w:ascii="Calibri" w:hAnsi="Calibri" w:cs="Calibri"/>
                <w:b/>
                <w:bCs/>
              </w:rPr>
              <w:t>ation</w:t>
            </w:r>
          </w:p>
        </w:tc>
        <w:tc>
          <w:tcPr>
            <w:tcW w:w="2267" w:type="dxa"/>
            <w:shd w:val="clear" w:color="auto" w:fill="FBE4D5" w:themeFill="accent2" w:themeFillTint="33"/>
            <w:vAlign w:val="center"/>
          </w:tcPr>
          <w:p w14:paraId="2D4C795B" w14:textId="77777777" w:rsidR="007D5E58" w:rsidRPr="00CA2018" w:rsidRDefault="007D5E58" w:rsidP="00A53840">
            <w:pPr>
              <w:spacing w:after="60"/>
              <w:ind w:firstLine="0"/>
              <w:rPr>
                <w:rFonts w:ascii="Calibri" w:hAnsi="Calibri" w:cs="Calibri"/>
                <w:b/>
                <w:bCs/>
              </w:rPr>
            </w:pPr>
            <w:r w:rsidRPr="00CA2018">
              <w:rPr>
                <w:rFonts w:ascii="Calibri" w:hAnsi="Calibri" w:cs="Calibri"/>
                <w:b/>
                <w:bCs/>
              </w:rPr>
              <w:t>Minimally implemented</w:t>
            </w:r>
          </w:p>
        </w:tc>
        <w:tc>
          <w:tcPr>
            <w:tcW w:w="2126" w:type="dxa"/>
            <w:shd w:val="clear" w:color="auto" w:fill="FFF2CC" w:themeFill="accent4" w:themeFillTint="33"/>
            <w:vAlign w:val="center"/>
          </w:tcPr>
          <w:p w14:paraId="69D85AF8" w14:textId="77777777" w:rsidR="007D5E58" w:rsidRPr="00CA2018" w:rsidRDefault="007D5E58" w:rsidP="00A53840">
            <w:pPr>
              <w:spacing w:after="60"/>
              <w:ind w:firstLine="0"/>
              <w:rPr>
                <w:rFonts w:ascii="Calibri" w:hAnsi="Calibri" w:cs="Calibri"/>
                <w:b/>
                <w:bCs/>
              </w:rPr>
            </w:pPr>
            <w:r w:rsidRPr="00CA2018">
              <w:rPr>
                <w:rFonts w:ascii="Calibri" w:hAnsi="Calibri" w:cs="Calibri"/>
                <w:b/>
                <w:bCs/>
              </w:rPr>
              <w:t>Partially implemented</w:t>
            </w:r>
          </w:p>
        </w:tc>
        <w:tc>
          <w:tcPr>
            <w:tcW w:w="2127" w:type="dxa"/>
            <w:shd w:val="clear" w:color="auto" w:fill="E2EFD9" w:themeFill="accent6" w:themeFillTint="33"/>
            <w:vAlign w:val="center"/>
          </w:tcPr>
          <w:p w14:paraId="2C26BDCD" w14:textId="77777777" w:rsidR="007D5E58" w:rsidRPr="00CA2018" w:rsidRDefault="007D5E58" w:rsidP="00A53840">
            <w:pPr>
              <w:spacing w:after="60"/>
              <w:ind w:firstLine="0"/>
              <w:rPr>
                <w:rFonts w:ascii="Calibri" w:hAnsi="Calibri" w:cs="Calibri"/>
                <w:b/>
                <w:bCs/>
              </w:rPr>
            </w:pPr>
            <w:r w:rsidRPr="00CA2018">
              <w:rPr>
                <w:rFonts w:ascii="Calibri" w:hAnsi="Calibri" w:cs="Calibri"/>
                <w:b/>
                <w:bCs/>
              </w:rPr>
              <w:t>Fully implemented</w:t>
            </w:r>
          </w:p>
        </w:tc>
        <w:tc>
          <w:tcPr>
            <w:tcW w:w="2410" w:type="dxa"/>
            <w:shd w:val="clear" w:color="auto" w:fill="E2EFD9" w:themeFill="accent6" w:themeFillTint="33"/>
            <w:vAlign w:val="center"/>
          </w:tcPr>
          <w:p w14:paraId="654C35EA" w14:textId="77777777" w:rsidR="007D5E58" w:rsidRPr="004A51EB" w:rsidRDefault="007D5E58" w:rsidP="00A53840">
            <w:pPr>
              <w:spacing w:after="60"/>
              <w:ind w:left="0" w:firstLine="0"/>
              <w:rPr>
                <w:rFonts w:ascii="Calibri" w:hAnsi="Calibri" w:cs="Calibri"/>
                <w:b/>
                <w:bCs/>
                <w:szCs w:val="24"/>
              </w:rPr>
            </w:pPr>
            <w:r w:rsidRPr="004A51EB">
              <w:rPr>
                <w:rFonts w:ascii="Calibri" w:hAnsi="Calibri" w:cs="Calibri"/>
                <w:b/>
                <w:bCs/>
                <w:szCs w:val="24"/>
              </w:rPr>
              <w:t>Number of Detailed recommen</w:t>
            </w:r>
            <w:r>
              <w:rPr>
                <w:rFonts w:ascii="Calibri" w:hAnsi="Calibri" w:cs="Calibri"/>
                <w:b/>
                <w:bCs/>
                <w:szCs w:val="24"/>
              </w:rPr>
              <w:t>d</w:t>
            </w:r>
            <w:r w:rsidRPr="004A51EB">
              <w:rPr>
                <w:rFonts w:ascii="Calibri" w:hAnsi="Calibri" w:cs="Calibri"/>
                <w:b/>
                <w:bCs/>
                <w:szCs w:val="24"/>
              </w:rPr>
              <w:t>ations</w:t>
            </w:r>
            <w:r>
              <w:rPr>
                <w:rFonts w:ascii="Calibri" w:hAnsi="Calibri" w:cs="Calibri"/>
                <w:b/>
                <w:bCs/>
                <w:szCs w:val="24"/>
              </w:rPr>
              <w:t xml:space="preserve"> </w:t>
            </w:r>
            <w:r>
              <w:rPr>
                <w:b/>
                <w:bCs/>
              </w:rPr>
              <w:t>(and their numbers)</w:t>
            </w:r>
          </w:p>
        </w:tc>
      </w:tr>
      <w:tr w:rsidR="007D5E58" w:rsidRPr="00CA2018" w14:paraId="69B6F04A" w14:textId="77777777" w:rsidTr="00974425">
        <w:tc>
          <w:tcPr>
            <w:tcW w:w="3260" w:type="dxa"/>
            <w:vAlign w:val="center"/>
          </w:tcPr>
          <w:p w14:paraId="735B668E" w14:textId="77777777" w:rsidR="007D5E58" w:rsidRPr="00971D9C" w:rsidRDefault="007D5E58" w:rsidP="00974425">
            <w:pPr>
              <w:spacing w:after="60"/>
              <w:ind w:left="34" w:firstLine="0"/>
              <w:jc w:val="center"/>
              <w:rPr>
                <w:rFonts w:ascii="Calibri" w:hAnsi="Calibri" w:cs="Calibri"/>
                <w:szCs w:val="24"/>
              </w:rPr>
            </w:pPr>
            <w:r w:rsidRPr="00971D9C">
              <w:rPr>
                <w:rFonts w:ascii="Calibri" w:hAnsi="Calibri" w:cs="Calibri"/>
                <w:szCs w:val="24"/>
              </w:rPr>
              <w:t>Reforming social security</w:t>
            </w:r>
            <w:r>
              <w:rPr>
                <w:rFonts w:ascii="Calibri" w:hAnsi="Calibri" w:cs="Calibri"/>
                <w:szCs w:val="24"/>
              </w:rPr>
              <w:br/>
            </w:r>
            <w:r w:rsidRPr="00971D9C">
              <w:rPr>
                <w:rFonts w:ascii="Calibri" w:hAnsi="Calibri" w:cs="Calibri"/>
                <w:szCs w:val="24"/>
              </w:rPr>
              <w:t>Kia Piki Ake Te Mana Tangata</w:t>
            </w:r>
          </w:p>
        </w:tc>
        <w:tc>
          <w:tcPr>
            <w:tcW w:w="2410" w:type="dxa"/>
            <w:vAlign w:val="center"/>
          </w:tcPr>
          <w:p w14:paraId="147A5591"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267" w:type="dxa"/>
            <w:vAlign w:val="center"/>
          </w:tcPr>
          <w:p w14:paraId="34315872"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126" w:type="dxa"/>
            <w:vAlign w:val="center"/>
          </w:tcPr>
          <w:p w14:paraId="641ACCCD"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127" w:type="dxa"/>
            <w:vAlign w:val="center"/>
          </w:tcPr>
          <w:p w14:paraId="732FC7EF"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410" w:type="dxa"/>
            <w:vAlign w:val="center"/>
          </w:tcPr>
          <w:p w14:paraId="0B161882" w14:textId="77777777" w:rsidR="007D5E58" w:rsidRPr="00CA2018" w:rsidRDefault="007D5E58" w:rsidP="00974425">
            <w:pPr>
              <w:spacing w:after="60"/>
              <w:ind w:left="316" w:right="321" w:firstLine="31"/>
              <w:jc w:val="center"/>
              <w:rPr>
                <w:rFonts w:ascii="Calibri" w:hAnsi="Calibri" w:cs="Calibri"/>
              </w:rPr>
            </w:pPr>
            <w:r w:rsidRPr="00CA2018">
              <w:rPr>
                <w:rFonts w:ascii="Calibri" w:hAnsi="Calibri" w:cs="Calibri"/>
              </w:rPr>
              <w:t>0</w:t>
            </w:r>
          </w:p>
        </w:tc>
      </w:tr>
      <w:tr w:rsidR="007D5E58" w:rsidRPr="00CA2018" w14:paraId="2CF91C55" w14:textId="77777777" w:rsidTr="00974425">
        <w:tc>
          <w:tcPr>
            <w:tcW w:w="3260" w:type="dxa"/>
            <w:vAlign w:val="center"/>
          </w:tcPr>
          <w:p w14:paraId="2A2D4883" w14:textId="77777777" w:rsidR="007D5E58" w:rsidRPr="00971D9C" w:rsidRDefault="007D5E58" w:rsidP="00974425">
            <w:pPr>
              <w:pStyle w:val="Pa9"/>
              <w:spacing w:after="60" w:line="240" w:lineRule="auto"/>
              <w:ind w:left="34" w:firstLine="0"/>
              <w:jc w:val="center"/>
              <w:rPr>
                <w:rFonts w:ascii="Calibri" w:hAnsi="Calibri" w:cs="Calibri"/>
              </w:rPr>
            </w:pPr>
            <w:r w:rsidRPr="00971D9C">
              <w:rPr>
                <w:rFonts w:ascii="Calibri" w:hAnsi="Calibri" w:cs="Calibri"/>
              </w:rPr>
              <w:t>Delivering for Māori</w:t>
            </w:r>
          </w:p>
        </w:tc>
        <w:tc>
          <w:tcPr>
            <w:tcW w:w="2410" w:type="dxa"/>
            <w:vAlign w:val="center"/>
          </w:tcPr>
          <w:p w14:paraId="26438635"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267" w:type="dxa"/>
            <w:vAlign w:val="center"/>
          </w:tcPr>
          <w:p w14:paraId="07807713"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126" w:type="dxa"/>
            <w:vAlign w:val="center"/>
          </w:tcPr>
          <w:p w14:paraId="6664C2E1"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127" w:type="dxa"/>
            <w:vAlign w:val="center"/>
          </w:tcPr>
          <w:p w14:paraId="42952DAB"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410" w:type="dxa"/>
            <w:vAlign w:val="center"/>
          </w:tcPr>
          <w:p w14:paraId="7005E397"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0</w:t>
            </w:r>
          </w:p>
        </w:tc>
      </w:tr>
      <w:tr w:rsidR="007D5E58" w:rsidRPr="00CA2018" w14:paraId="1B0DD6DD" w14:textId="77777777" w:rsidTr="00974425">
        <w:tc>
          <w:tcPr>
            <w:tcW w:w="3260" w:type="dxa"/>
            <w:vAlign w:val="center"/>
          </w:tcPr>
          <w:p w14:paraId="6BC0A1BF" w14:textId="77777777" w:rsidR="007D5E58" w:rsidRPr="00971D9C" w:rsidRDefault="007D5E58" w:rsidP="00974425">
            <w:pPr>
              <w:pStyle w:val="Pa9"/>
              <w:spacing w:after="60" w:line="240" w:lineRule="auto"/>
              <w:ind w:left="34" w:firstLine="0"/>
              <w:jc w:val="center"/>
              <w:rPr>
                <w:rFonts w:ascii="Calibri" w:hAnsi="Calibri" w:cs="Calibri"/>
              </w:rPr>
            </w:pPr>
            <w:r w:rsidRPr="00971D9C">
              <w:rPr>
                <w:rFonts w:ascii="Calibri" w:hAnsi="Calibri" w:cs="Calibri"/>
              </w:rPr>
              <w:t>Restoring trust with people using the welfare system</w:t>
            </w:r>
          </w:p>
        </w:tc>
        <w:tc>
          <w:tcPr>
            <w:tcW w:w="2410" w:type="dxa"/>
            <w:shd w:val="clear" w:color="auto" w:fill="FFB7B7"/>
            <w:vAlign w:val="center"/>
          </w:tcPr>
          <w:p w14:paraId="580A176B" w14:textId="77777777" w:rsidR="007D5E58" w:rsidRPr="00CA2018" w:rsidRDefault="007D5E58" w:rsidP="00A53840">
            <w:pPr>
              <w:spacing w:after="60"/>
              <w:ind w:firstLine="0"/>
              <w:jc w:val="center"/>
              <w:rPr>
                <w:rFonts w:ascii="Calibri" w:hAnsi="Calibri" w:cs="Calibri"/>
              </w:rPr>
            </w:pPr>
            <w:r>
              <w:rPr>
                <w:rFonts w:ascii="Calibri" w:hAnsi="Calibri" w:cs="Calibri"/>
              </w:rPr>
              <w:t>26</w:t>
            </w:r>
          </w:p>
        </w:tc>
        <w:tc>
          <w:tcPr>
            <w:tcW w:w="2267" w:type="dxa"/>
            <w:shd w:val="clear" w:color="auto" w:fill="FBE4D5" w:themeFill="accent2" w:themeFillTint="33"/>
            <w:vAlign w:val="center"/>
          </w:tcPr>
          <w:p w14:paraId="1631479B"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6" w:type="dxa"/>
            <w:shd w:val="clear" w:color="auto" w:fill="FFF2CC" w:themeFill="accent4" w:themeFillTint="33"/>
            <w:vAlign w:val="center"/>
          </w:tcPr>
          <w:p w14:paraId="7B94AFB7"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7" w:type="dxa"/>
            <w:shd w:val="clear" w:color="auto" w:fill="E2EFD9" w:themeFill="accent6" w:themeFillTint="33"/>
            <w:vAlign w:val="center"/>
          </w:tcPr>
          <w:p w14:paraId="1225F858" w14:textId="77777777" w:rsidR="007D5E58" w:rsidRPr="00CA2018" w:rsidRDefault="007D5E58" w:rsidP="00A53840">
            <w:pPr>
              <w:spacing w:after="60"/>
              <w:ind w:firstLine="0"/>
              <w:jc w:val="center"/>
              <w:rPr>
                <w:rFonts w:ascii="Calibri" w:hAnsi="Calibri" w:cs="Calibri"/>
              </w:rPr>
            </w:pPr>
            <w:r>
              <w:rPr>
                <w:rFonts w:ascii="Calibri" w:hAnsi="Calibri" w:cs="Calibri"/>
              </w:rPr>
              <w:t>4</w:t>
            </w:r>
          </w:p>
        </w:tc>
        <w:tc>
          <w:tcPr>
            <w:tcW w:w="2410" w:type="dxa"/>
            <w:shd w:val="clear" w:color="auto" w:fill="E2EFD9" w:themeFill="accent6" w:themeFillTint="33"/>
            <w:vAlign w:val="center"/>
          </w:tcPr>
          <w:p w14:paraId="55B4FAFE"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32 (1-32)</w:t>
            </w:r>
          </w:p>
        </w:tc>
      </w:tr>
      <w:tr w:rsidR="007D5E58" w:rsidRPr="00CA2018" w14:paraId="3CBB6312" w14:textId="77777777" w:rsidTr="00974425">
        <w:tc>
          <w:tcPr>
            <w:tcW w:w="3260" w:type="dxa"/>
            <w:vAlign w:val="center"/>
          </w:tcPr>
          <w:p w14:paraId="7CF8A809" w14:textId="77777777" w:rsidR="007D5E58" w:rsidRPr="00971D9C" w:rsidRDefault="007D5E58" w:rsidP="00974425">
            <w:pPr>
              <w:pStyle w:val="Pa9"/>
              <w:spacing w:after="60" w:line="240" w:lineRule="auto"/>
              <w:ind w:left="34" w:firstLine="0"/>
              <w:jc w:val="center"/>
              <w:rPr>
                <w:rFonts w:ascii="Calibri" w:hAnsi="Calibri" w:cs="Calibri"/>
              </w:rPr>
            </w:pPr>
            <w:r w:rsidRPr="00971D9C">
              <w:rPr>
                <w:rFonts w:ascii="Calibri" w:hAnsi="Calibri" w:cs="Calibri"/>
              </w:rPr>
              <w:t>Achieving security requires adequate income</w:t>
            </w:r>
          </w:p>
        </w:tc>
        <w:tc>
          <w:tcPr>
            <w:tcW w:w="2410" w:type="dxa"/>
            <w:shd w:val="clear" w:color="auto" w:fill="FFB7B7"/>
            <w:vAlign w:val="center"/>
          </w:tcPr>
          <w:p w14:paraId="6A53539C"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30</w:t>
            </w:r>
          </w:p>
        </w:tc>
        <w:tc>
          <w:tcPr>
            <w:tcW w:w="2267" w:type="dxa"/>
            <w:shd w:val="clear" w:color="auto" w:fill="FBE4D5" w:themeFill="accent2" w:themeFillTint="33"/>
            <w:vAlign w:val="center"/>
          </w:tcPr>
          <w:p w14:paraId="19BB68B5"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6" w:type="dxa"/>
            <w:shd w:val="clear" w:color="auto" w:fill="FFF2CC" w:themeFill="accent4" w:themeFillTint="33"/>
            <w:vAlign w:val="center"/>
          </w:tcPr>
          <w:p w14:paraId="45ACA3D9"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7" w:type="dxa"/>
            <w:shd w:val="clear" w:color="auto" w:fill="E2EFD9" w:themeFill="accent6" w:themeFillTint="33"/>
            <w:vAlign w:val="center"/>
          </w:tcPr>
          <w:p w14:paraId="0B16893D"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410" w:type="dxa"/>
            <w:shd w:val="clear" w:color="auto" w:fill="E2EFD9" w:themeFill="accent6" w:themeFillTint="33"/>
            <w:vAlign w:val="center"/>
          </w:tcPr>
          <w:p w14:paraId="7A9B8E9F"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33 (33-65)</w:t>
            </w:r>
          </w:p>
        </w:tc>
      </w:tr>
      <w:tr w:rsidR="007D5E58" w:rsidRPr="00CA2018" w14:paraId="443761A2" w14:textId="77777777" w:rsidTr="00974425">
        <w:tc>
          <w:tcPr>
            <w:tcW w:w="3260" w:type="dxa"/>
            <w:vAlign w:val="center"/>
          </w:tcPr>
          <w:p w14:paraId="7BD4865F" w14:textId="77777777" w:rsidR="007D5E58" w:rsidRPr="00971D9C" w:rsidRDefault="007D5E58" w:rsidP="00974425">
            <w:pPr>
              <w:pStyle w:val="Pa9"/>
              <w:spacing w:after="60" w:line="240" w:lineRule="auto"/>
              <w:ind w:left="34" w:firstLine="0"/>
              <w:jc w:val="center"/>
              <w:rPr>
                <w:rFonts w:ascii="Calibri" w:hAnsi="Calibri" w:cs="Calibri"/>
              </w:rPr>
            </w:pPr>
            <w:r w:rsidRPr="00971D9C">
              <w:rPr>
                <w:rFonts w:ascii="Calibri" w:hAnsi="Calibri" w:cs="Calibri"/>
              </w:rPr>
              <w:t>Alleviating the housing conundrum</w:t>
            </w:r>
          </w:p>
        </w:tc>
        <w:tc>
          <w:tcPr>
            <w:tcW w:w="2410" w:type="dxa"/>
            <w:shd w:val="clear" w:color="auto" w:fill="FFB7B7"/>
            <w:vAlign w:val="center"/>
          </w:tcPr>
          <w:p w14:paraId="2333ECBD"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21</w:t>
            </w:r>
          </w:p>
        </w:tc>
        <w:tc>
          <w:tcPr>
            <w:tcW w:w="2267" w:type="dxa"/>
            <w:shd w:val="clear" w:color="auto" w:fill="FBE4D5" w:themeFill="accent2" w:themeFillTint="33"/>
            <w:vAlign w:val="center"/>
          </w:tcPr>
          <w:p w14:paraId="1A0DDCD0"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0</w:t>
            </w:r>
          </w:p>
        </w:tc>
        <w:tc>
          <w:tcPr>
            <w:tcW w:w="2126" w:type="dxa"/>
            <w:shd w:val="clear" w:color="auto" w:fill="FFF2CC" w:themeFill="accent4" w:themeFillTint="33"/>
            <w:vAlign w:val="center"/>
          </w:tcPr>
          <w:p w14:paraId="20DCDC59"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7" w:type="dxa"/>
            <w:shd w:val="clear" w:color="auto" w:fill="E2EFD9" w:themeFill="accent6" w:themeFillTint="33"/>
            <w:vAlign w:val="center"/>
          </w:tcPr>
          <w:p w14:paraId="53FE126E"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0</w:t>
            </w:r>
          </w:p>
        </w:tc>
        <w:tc>
          <w:tcPr>
            <w:tcW w:w="2410" w:type="dxa"/>
            <w:shd w:val="clear" w:color="auto" w:fill="E2EFD9" w:themeFill="accent6" w:themeFillTint="33"/>
            <w:vAlign w:val="center"/>
          </w:tcPr>
          <w:p w14:paraId="5515E678"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22 (66-87)</w:t>
            </w:r>
          </w:p>
        </w:tc>
      </w:tr>
      <w:tr w:rsidR="007D5E58" w:rsidRPr="00CA2018" w14:paraId="7F32605A" w14:textId="77777777" w:rsidTr="00974425">
        <w:tc>
          <w:tcPr>
            <w:tcW w:w="3260" w:type="dxa"/>
            <w:vAlign w:val="center"/>
          </w:tcPr>
          <w:p w14:paraId="1BA96E1A" w14:textId="77777777" w:rsidR="007D5E58" w:rsidRPr="00971D9C" w:rsidRDefault="007D5E58" w:rsidP="00974425">
            <w:pPr>
              <w:pStyle w:val="Pa9"/>
              <w:spacing w:after="60" w:line="240" w:lineRule="auto"/>
              <w:ind w:left="34" w:firstLine="0"/>
              <w:jc w:val="center"/>
              <w:rPr>
                <w:rFonts w:ascii="Calibri" w:hAnsi="Calibri" w:cs="Calibri"/>
              </w:rPr>
            </w:pPr>
            <w:r w:rsidRPr="00971D9C">
              <w:rPr>
                <w:rFonts w:ascii="Calibri" w:hAnsi="Calibri" w:cs="Calibri"/>
              </w:rPr>
              <w:t>Improving access to employment and labour market support</w:t>
            </w:r>
          </w:p>
        </w:tc>
        <w:tc>
          <w:tcPr>
            <w:tcW w:w="2410" w:type="dxa"/>
            <w:shd w:val="clear" w:color="auto" w:fill="FFB7B7"/>
            <w:vAlign w:val="center"/>
          </w:tcPr>
          <w:p w14:paraId="4DF1A4A6"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3</w:t>
            </w:r>
          </w:p>
        </w:tc>
        <w:tc>
          <w:tcPr>
            <w:tcW w:w="2267" w:type="dxa"/>
            <w:shd w:val="clear" w:color="auto" w:fill="FBE4D5" w:themeFill="accent2" w:themeFillTint="33"/>
            <w:vAlign w:val="center"/>
          </w:tcPr>
          <w:p w14:paraId="4A465FE7"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8</w:t>
            </w:r>
          </w:p>
        </w:tc>
        <w:tc>
          <w:tcPr>
            <w:tcW w:w="2126" w:type="dxa"/>
            <w:shd w:val="clear" w:color="auto" w:fill="FFF2CC" w:themeFill="accent4" w:themeFillTint="33"/>
            <w:vAlign w:val="center"/>
          </w:tcPr>
          <w:p w14:paraId="08D9F477"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4</w:t>
            </w:r>
          </w:p>
        </w:tc>
        <w:tc>
          <w:tcPr>
            <w:tcW w:w="2127" w:type="dxa"/>
            <w:shd w:val="clear" w:color="auto" w:fill="E2EFD9" w:themeFill="accent6" w:themeFillTint="33"/>
            <w:vAlign w:val="center"/>
          </w:tcPr>
          <w:p w14:paraId="2C844103"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2</w:t>
            </w:r>
          </w:p>
        </w:tc>
        <w:tc>
          <w:tcPr>
            <w:tcW w:w="2410" w:type="dxa"/>
            <w:shd w:val="clear" w:color="auto" w:fill="E2EFD9" w:themeFill="accent6" w:themeFillTint="33"/>
            <w:vAlign w:val="center"/>
          </w:tcPr>
          <w:p w14:paraId="68BEEA60"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17 (88-104)</w:t>
            </w:r>
          </w:p>
        </w:tc>
      </w:tr>
      <w:tr w:rsidR="007D5E58" w:rsidRPr="00CA2018" w14:paraId="63CE58CC" w14:textId="77777777" w:rsidTr="00974425">
        <w:tc>
          <w:tcPr>
            <w:tcW w:w="3260" w:type="dxa"/>
            <w:vAlign w:val="center"/>
          </w:tcPr>
          <w:p w14:paraId="4AA76A16" w14:textId="77777777" w:rsidR="007D5E58" w:rsidRPr="00971D9C" w:rsidRDefault="007D5E58" w:rsidP="00974425">
            <w:pPr>
              <w:spacing w:after="60"/>
              <w:ind w:left="34" w:firstLine="0"/>
              <w:jc w:val="center"/>
              <w:rPr>
                <w:rFonts w:ascii="Calibri" w:hAnsi="Calibri" w:cs="Calibri"/>
                <w:szCs w:val="24"/>
              </w:rPr>
            </w:pPr>
            <w:r w:rsidRPr="00971D9C">
              <w:rPr>
                <w:rFonts w:ascii="Calibri" w:hAnsi="Calibri" w:cs="Calibri"/>
                <w:szCs w:val="24"/>
              </w:rPr>
              <w:t>Creating a fairer deal for people with health conditions or disabilities and carers</w:t>
            </w:r>
          </w:p>
        </w:tc>
        <w:tc>
          <w:tcPr>
            <w:tcW w:w="2410" w:type="dxa"/>
            <w:shd w:val="clear" w:color="auto" w:fill="FFB7B7"/>
            <w:vAlign w:val="center"/>
          </w:tcPr>
          <w:p w14:paraId="139D9E8B"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19</w:t>
            </w:r>
          </w:p>
        </w:tc>
        <w:tc>
          <w:tcPr>
            <w:tcW w:w="2267" w:type="dxa"/>
            <w:shd w:val="clear" w:color="auto" w:fill="FBE4D5" w:themeFill="accent2" w:themeFillTint="33"/>
            <w:vAlign w:val="center"/>
          </w:tcPr>
          <w:p w14:paraId="20D7F817"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6" w:type="dxa"/>
            <w:shd w:val="clear" w:color="auto" w:fill="FFF2CC" w:themeFill="accent4" w:themeFillTint="33"/>
            <w:vAlign w:val="center"/>
          </w:tcPr>
          <w:p w14:paraId="185549AC"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127" w:type="dxa"/>
            <w:shd w:val="clear" w:color="auto" w:fill="E2EFD9" w:themeFill="accent6" w:themeFillTint="33"/>
            <w:vAlign w:val="center"/>
          </w:tcPr>
          <w:p w14:paraId="1AF8119F"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w:t>
            </w:r>
          </w:p>
        </w:tc>
        <w:tc>
          <w:tcPr>
            <w:tcW w:w="2410" w:type="dxa"/>
            <w:shd w:val="clear" w:color="auto" w:fill="E2EFD9" w:themeFill="accent6" w:themeFillTint="33"/>
            <w:vAlign w:val="center"/>
          </w:tcPr>
          <w:p w14:paraId="39C8B4D6"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22 (105-126)</w:t>
            </w:r>
          </w:p>
        </w:tc>
      </w:tr>
      <w:tr w:rsidR="007D5E58" w:rsidRPr="00CA2018" w14:paraId="6C73DC3F" w14:textId="77777777" w:rsidTr="00974425">
        <w:tc>
          <w:tcPr>
            <w:tcW w:w="3260" w:type="dxa"/>
            <w:vAlign w:val="center"/>
          </w:tcPr>
          <w:p w14:paraId="7E3168E4" w14:textId="77777777" w:rsidR="007D5E58" w:rsidRPr="00971D9C" w:rsidRDefault="007D5E58" w:rsidP="00974425">
            <w:pPr>
              <w:spacing w:after="60"/>
              <w:ind w:left="34" w:firstLine="0"/>
              <w:jc w:val="center"/>
              <w:rPr>
                <w:rFonts w:ascii="Calibri" w:hAnsi="Calibri" w:cs="Calibri"/>
                <w:szCs w:val="24"/>
              </w:rPr>
            </w:pPr>
            <w:r w:rsidRPr="00971D9C">
              <w:rPr>
                <w:rFonts w:ascii="Calibri" w:hAnsi="Calibri" w:cs="Calibri"/>
                <w:szCs w:val="24"/>
              </w:rPr>
              <w:t>Strengthening community organisations and volunteering</w:t>
            </w:r>
          </w:p>
        </w:tc>
        <w:tc>
          <w:tcPr>
            <w:tcW w:w="2410" w:type="dxa"/>
            <w:vAlign w:val="center"/>
          </w:tcPr>
          <w:p w14:paraId="4891EA6A"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267" w:type="dxa"/>
            <w:vAlign w:val="center"/>
          </w:tcPr>
          <w:p w14:paraId="20DABA74"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126" w:type="dxa"/>
            <w:vAlign w:val="center"/>
          </w:tcPr>
          <w:p w14:paraId="022FB4BC"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127" w:type="dxa"/>
            <w:vAlign w:val="center"/>
          </w:tcPr>
          <w:p w14:paraId="7B35336F"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N/A</w:t>
            </w:r>
          </w:p>
        </w:tc>
        <w:tc>
          <w:tcPr>
            <w:tcW w:w="2410" w:type="dxa"/>
            <w:vAlign w:val="center"/>
          </w:tcPr>
          <w:p w14:paraId="430330CC"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0</w:t>
            </w:r>
          </w:p>
        </w:tc>
      </w:tr>
      <w:tr w:rsidR="007D5E58" w:rsidRPr="00CA2018" w14:paraId="21DC6ED9" w14:textId="77777777" w:rsidTr="00974425">
        <w:tc>
          <w:tcPr>
            <w:tcW w:w="3260" w:type="dxa"/>
            <w:shd w:val="clear" w:color="auto" w:fill="E7E6E6" w:themeFill="background2"/>
            <w:vAlign w:val="center"/>
          </w:tcPr>
          <w:p w14:paraId="33D54A6F"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TOTAL</w:t>
            </w:r>
          </w:p>
        </w:tc>
        <w:tc>
          <w:tcPr>
            <w:tcW w:w="2410" w:type="dxa"/>
            <w:shd w:val="clear" w:color="auto" w:fill="FFB7B7"/>
            <w:vAlign w:val="center"/>
          </w:tcPr>
          <w:p w14:paraId="18954D62"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100</w:t>
            </w:r>
          </w:p>
        </w:tc>
        <w:tc>
          <w:tcPr>
            <w:tcW w:w="2267" w:type="dxa"/>
            <w:shd w:val="clear" w:color="auto" w:fill="FBE4D5" w:themeFill="accent2" w:themeFillTint="33"/>
            <w:vAlign w:val="center"/>
          </w:tcPr>
          <w:p w14:paraId="32C65FE6"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11</w:t>
            </w:r>
          </w:p>
        </w:tc>
        <w:tc>
          <w:tcPr>
            <w:tcW w:w="2126" w:type="dxa"/>
            <w:shd w:val="clear" w:color="auto" w:fill="FFF2CC" w:themeFill="accent4" w:themeFillTint="33"/>
            <w:vAlign w:val="center"/>
          </w:tcPr>
          <w:p w14:paraId="7F59D657"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8</w:t>
            </w:r>
          </w:p>
        </w:tc>
        <w:tc>
          <w:tcPr>
            <w:tcW w:w="2127" w:type="dxa"/>
            <w:shd w:val="clear" w:color="auto" w:fill="E2EFD9" w:themeFill="accent6" w:themeFillTint="33"/>
            <w:vAlign w:val="center"/>
          </w:tcPr>
          <w:p w14:paraId="3480B500" w14:textId="77777777" w:rsidR="007D5E58" w:rsidRPr="00CA2018" w:rsidRDefault="007D5E58" w:rsidP="00A53840">
            <w:pPr>
              <w:spacing w:after="60"/>
              <w:ind w:firstLine="0"/>
              <w:jc w:val="center"/>
              <w:rPr>
                <w:rFonts w:ascii="Calibri" w:hAnsi="Calibri" w:cs="Calibri"/>
              </w:rPr>
            </w:pPr>
            <w:r w:rsidRPr="00CA2018">
              <w:rPr>
                <w:rFonts w:ascii="Calibri" w:hAnsi="Calibri" w:cs="Calibri"/>
              </w:rPr>
              <w:t>7</w:t>
            </w:r>
          </w:p>
        </w:tc>
        <w:tc>
          <w:tcPr>
            <w:tcW w:w="2410" w:type="dxa"/>
            <w:shd w:val="clear" w:color="auto" w:fill="E2EFD9" w:themeFill="accent6" w:themeFillTint="33"/>
            <w:vAlign w:val="center"/>
          </w:tcPr>
          <w:p w14:paraId="48ACA255" w14:textId="77777777" w:rsidR="007D5E58" w:rsidRPr="00CA2018" w:rsidRDefault="007D5E58" w:rsidP="00A53840">
            <w:pPr>
              <w:spacing w:after="60"/>
              <w:ind w:left="0" w:firstLine="31"/>
              <w:jc w:val="center"/>
              <w:rPr>
                <w:rFonts w:ascii="Calibri" w:hAnsi="Calibri" w:cs="Calibri"/>
              </w:rPr>
            </w:pPr>
            <w:r w:rsidRPr="00CA2018">
              <w:rPr>
                <w:rFonts w:ascii="Calibri" w:hAnsi="Calibri" w:cs="Calibri"/>
              </w:rPr>
              <w:t>126</w:t>
            </w:r>
          </w:p>
        </w:tc>
      </w:tr>
    </w:tbl>
    <w:p w14:paraId="209537C0" w14:textId="77777777" w:rsidR="007D5E58" w:rsidRPr="00CA2018" w:rsidRDefault="007D5E58" w:rsidP="007D5E58">
      <w:pPr>
        <w:rPr>
          <w:rFonts w:ascii="Calibri" w:hAnsi="Calibri" w:cs="Calibri"/>
        </w:rPr>
      </w:pPr>
    </w:p>
    <w:p w14:paraId="17888E14" w14:textId="77777777" w:rsidR="007D5E58" w:rsidRDefault="007D5E58" w:rsidP="007D5E58"/>
    <w:tbl>
      <w:tblPr>
        <w:tblStyle w:val="TableGrid"/>
        <w:tblW w:w="14601" w:type="dxa"/>
        <w:tblInd w:w="-289" w:type="dxa"/>
        <w:tblLayout w:type="fixed"/>
        <w:tblLook w:val="04A0" w:firstRow="1" w:lastRow="0" w:firstColumn="1" w:lastColumn="0" w:noHBand="0" w:noVBand="1"/>
      </w:tblPr>
      <w:tblGrid>
        <w:gridCol w:w="1634"/>
        <w:gridCol w:w="3330"/>
        <w:gridCol w:w="1260"/>
        <w:gridCol w:w="3150"/>
        <w:gridCol w:w="3780"/>
        <w:gridCol w:w="1447"/>
      </w:tblGrid>
      <w:tr w:rsidR="007D5E58" w:rsidRPr="005A73F9" w14:paraId="311502F7" w14:textId="77777777" w:rsidTr="00974425">
        <w:tc>
          <w:tcPr>
            <w:tcW w:w="1634" w:type="dxa"/>
            <w:shd w:val="clear" w:color="auto" w:fill="D9D9D9" w:themeFill="background1" w:themeFillShade="D9"/>
          </w:tcPr>
          <w:p w14:paraId="6CBF5A1F" w14:textId="77777777" w:rsidR="007D5E58" w:rsidRPr="005A73F9" w:rsidRDefault="007D5E58" w:rsidP="00A53840">
            <w:pPr>
              <w:spacing w:before="60"/>
              <w:ind w:left="29" w:firstLine="0"/>
              <w:rPr>
                <w:b/>
                <w:sz w:val="20"/>
                <w:szCs w:val="20"/>
              </w:rPr>
            </w:pPr>
            <w:r w:rsidRPr="005A73F9">
              <w:rPr>
                <w:b/>
                <w:sz w:val="20"/>
                <w:szCs w:val="20"/>
              </w:rPr>
              <w:t>Theme</w:t>
            </w:r>
          </w:p>
        </w:tc>
        <w:tc>
          <w:tcPr>
            <w:tcW w:w="3330" w:type="dxa"/>
            <w:shd w:val="clear" w:color="auto" w:fill="D9D9D9" w:themeFill="background1" w:themeFillShade="D9"/>
          </w:tcPr>
          <w:p w14:paraId="03F154B2" w14:textId="77777777" w:rsidR="007D5E58" w:rsidRPr="005A73F9" w:rsidRDefault="007D5E58" w:rsidP="00A53840">
            <w:pPr>
              <w:spacing w:before="60"/>
              <w:ind w:firstLine="0"/>
              <w:rPr>
                <w:b/>
                <w:i/>
                <w:sz w:val="20"/>
                <w:szCs w:val="20"/>
              </w:rPr>
            </w:pPr>
            <w:r w:rsidRPr="005A73F9">
              <w:rPr>
                <w:b/>
                <w:sz w:val="20"/>
                <w:szCs w:val="20"/>
              </w:rPr>
              <w:t xml:space="preserve">Detailed Recommendation </w:t>
            </w:r>
            <w:r w:rsidRPr="005A73F9">
              <w:rPr>
                <w:b/>
                <w:i/>
                <w:sz w:val="20"/>
                <w:szCs w:val="20"/>
              </w:rPr>
              <w:t>(N.B. numbers are our own, but reflect the order in which they appear in WEAG report)</w:t>
            </w:r>
          </w:p>
        </w:tc>
        <w:tc>
          <w:tcPr>
            <w:tcW w:w="1260" w:type="dxa"/>
            <w:shd w:val="clear" w:color="auto" w:fill="D9D9D9" w:themeFill="background1" w:themeFillShade="D9"/>
          </w:tcPr>
          <w:p w14:paraId="5C4AE6D6" w14:textId="77777777" w:rsidR="007D5E58" w:rsidRPr="005A73F9" w:rsidRDefault="007D5E58" w:rsidP="00974425">
            <w:pPr>
              <w:spacing w:before="60"/>
              <w:ind w:left="32" w:firstLine="0"/>
              <w:rPr>
                <w:b/>
                <w:sz w:val="20"/>
                <w:szCs w:val="20"/>
              </w:rPr>
            </w:pPr>
            <w:r w:rsidRPr="005A73F9">
              <w:rPr>
                <w:b/>
                <w:sz w:val="20"/>
                <w:szCs w:val="20"/>
              </w:rPr>
              <w:t>Relevant Key Rec(s) and or Chapter(s) (if any)</w:t>
            </w:r>
          </w:p>
        </w:tc>
        <w:tc>
          <w:tcPr>
            <w:tcW w:w="3150" w:type="dxa"/>
            <w:shd w:val="clear" w:color="auto" w:fill="D9D9D9" w:themeFill="background1" w:themeFillShade="D9"/>
          </w:tcPr>
          <w:p w14:paraId="40868618" w14:textId="77777777" w:rsidR="007D5E58" w:rsidRPr="005A73F9" w:rsidRDefault="007D5E58" w:rsidP="00974425">
            <w:pPr>
              <w:spacing w:before="60"/>
              <w:ind w:left="48" w:firstLine="0"/>
              <w:rPr>
                <w:b/>
                <w:sz w:val="20"/>
                <w:szCs w:val="20"/>
              </w:rPr>
            </w:pPr>
            <w:r w:rsidRPr="005A73F9">
              <w:rPr>
                <w:b/>
                <w:sz w:val="20"/>
                <w:szCs w:val="20"/>
              </w:rPr>
              <w:t>What the Government has reported</w:t>
            </w:r>
          </w:p>
        </w:tc>
        <w:tc>
          <w:tcPr>
            <w:tcW w:w="3780" w:type="dxa"/>
            <w:shd w:val="clear" w:color="auto" w:fill="D9D9D9" w:themeFill="background1" w:themeFillShade="D9"/>
          </w:tcPr>
          <w:p w14:paraId="03D32535" w14:textId="77777777" w:rsidR="007D5E58" w:rsidRPr="005A73F9" w:rsidRDefault="007D5E58" w:rsidP="00974425">
            <w:pPr>
              <w:spacing w:before="60"/>
              <w:ind w:left="16" w:firstLine="0"/>
              <w:rPr>
                <w:b/>
                <w:sz w:val="20"/>
                <w:szCs w:val="20"/>
              </w:rPr>
            </w:pPr>
            <w:r w:rsidRPr="005A73F9">
              <w:rPr>
                <w:b/>
                <w:sz w:val="20"/>
                <w:szCs w:val="20"/>
              </w:rPr>
              <w:t>November 2021: evidence of implementation</w:t>
            </w:r>
          </w:p>
          <w:p w14:paraId="5647179A" w14:textId="77777777" w:rsidR="007D5E58" w:rsidRPr="005A73F9" w:rsidRDefault="007D5E58" w:rsidP="00974425">
            <w:pPr>
              <w:spacing w:before="60"/>
              <w:ind w:left="16" w:firstLine="0"/>
              <w:rPr>
                <w:b/>
                <w:sz w:val="20"/>
                <w:szCs w:val="20"/>
              </w:rPr>
            </w:pPr>
          </w:p>
        </w:tc>
        <w:tc>
          <w:tcPr>
            <w:tcW w:w="1447" w:type="dxa"/>
            <w:shd w:val="clear" w:color="auto" w:fill="D9D9D9" w:themeFill="background1" w:themeFillShade="D9"/>
          </w:tcPr>
          <w:p w14:paraId="00615560" w14:textId="77777777" w:rsidR="007D5E58" w:rsidRPr="005A73F9" w:rsidRDefault="007D5E58" w:rsidP="00974425">
            <w:pPr>
              <w:spacing w:before="60"/>
              <w:ind w:left="63" w:firstLine="0"/>
              <w:rPr>
                <w:b/>
                <w:sz w:val="20"/>
                <w:szCs w:val="20"/>
              </w:rPr>
            </w:pPr>
            <w:r w:rsidRPr="005A73F9">
              <w:rPr>
                <w:b/>
                <w:sz w:val="20"/>
                <w:szCs w:val="20"/>
              </w:rPr>
              <w:t xml:space="preserve">Change in evidence of </w:t>
            </w:r>
            <w:r>
              <w:rPr>
                <w:b/>
                <w:sz w:val="20"/>
                <w:szCs w:val="20"/>
              </w:rPr>
              <w:t xml:space="preserve">implementation </w:t>
            </w:r>
            <w:r w:rsidRPr="005A73F9">
              <w:rPr>
                <w:b/>
                <w:sz w:val="20"/>
                <w:szCs w:val="20"/>
              </w:rPr>
              <w:t>since November 2020</w:t>
            </w:r>
          </w:p>
        </w:tc>
      </w:tr>
      <w:tr w:rsidR="007D5E58" w:rsidRPr="005A73F9" w14:paraId="6CB05FF9" w14:textId="77777777" w:rsidTr="00974425">
        <w:tc>
          <w:tcPr>
            <w:tcW w:w="14601" w:type="dxa"/>
            <w:gridSpan w:val="6"/>
            <w:shd w:val="clear" w:color="auto" w:fill="D9D9D9" w:themeFill="background1" w:themeFillShade="D9"/>
          </w:tcPr>
          <w:p w14:paraId="0E1F9554" w14:textId="77777777" w:rsidR="007D5E58" w:rsidRPr="005A73F9" w:rsidRDefault="007D5E58" w:rsidP="00974425">
            <w:pPr>
              <w:ind w:left="32" w:firstLine="0"/>
              <w:jc w:val="center"/>
              <w:rPr>
                <w:b/>
                <w:sz w:val="22"/>
              </w:rPr>
            </w:pPr>
            <w:r w:rsidRPr="005A73F9">
              <w:rPr>
                <w:b/>
                <w:sz w:val="22"/>
              </w:rPr>
              <w:t>RESTORING TRUST WITH PEOPLE USING THE WELFARE SYSTEM</w:t>
            </w:r>
          </w:p>
        </w:tc>
      </w:tr>
      <w:tr w:rsidR="007D5E58" w:rsidRPr="005A73F9" w14:paraId="16718D3D" w14:textId="77777777" w:rsidTr="00974425">
        <w:tc>
          <w:tcPr>
            <w:tcW w:w="1634" w:type="dxa"/>
          </w:tcPr>
          <w:p w14:paraId="455ED6F5" w14:textId="77777777" w:rsidR="007D5E58" w:rsidRPr="005C579C" w:rsidRDefault="007D5E58" w:rsidP="00A53840">
            <w:pPr>
              <w:ind w:left="29" w:firstLine="0"/>
              <w:rPr>
                <w:rFonts w:cstheme="minorHAnsi"/>
                <w:sz w:val="20"/>
                <w:szCs w:val="20"/>
              </w:rPr>
            </w:pPr>
            <w:r w:rsidRPr="005C579C">
              <w:rPr>
                <w:rFonts w:cstheme="minorHAnsi"/>
                <w:sz w:val="20"/>
                <w:szCs w:val="20"/>
              </w:rPr>
              <w:t>Mutual expect-ations framework</w:t>
            </w:r>
          </w:p>
        </w:tc>
        <w:tc>
          <w:tcPr>
            <w:tcW w:w="3330" w:type="dxa"/>
          </w:tcPr>
          <w:p w14:paraId="62694673"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Reform the obligations and sanctions regime into a system of mutual expectations and responsibilities, apply these according to the circumstances of the individual and in a way that is consistent with the proposed purpose, principles and values. Strong checks to mitigate potential negative impacts on individuals and their families will be required. This new approach is strongly connected to improving wellbeing and supporting the increased skills and labour market capacity of the individual and family or whānau.</w:t>
            </w:r>
          </w:p>
        </w:tc>
        <w:tc>
          <w:tcPr>
            <w:tcW w:w="1260" w:type="dxa"/>
          </w:tcPr>
          <w:p w14:paraId="7BC0949F" w14:textId="77777777" w:rsidR="007D5E58" w:rsidRPr="005C579C" w:rsidRDefault="007D5E58" w:rsidP="00974425">
            <w:pPr>
              <w:ind w:left="32" w:firstLine="0"/>
              <w:rPr>
                <w:rFonts w:cstheme="minorHAnsi"/>
                <w:sz w:val="20"/>
                <w:szCs w:val="20"/>
              </w:rPr>
            </w:pPr>
            <w:r w:rsidRPr="005C579C">
              <w:rPr>
                <w:rFonts w:cstheme="minorHAnsi"/>
                <w:sz w:val="20"/>
                <w:szCs w:val="20"/>
              </w:rPr>
              <w:t>Key Rec 10; Ch 6</w:t>
            </w:r>
          </w:p>
        </w:tc>
        <w:tc>
          <w:tcPr>
            <w:tcW w:w="3150" w:type="dxa"/>
          </w:tcPr>
          <w:p w14:paraId="261298B7" w14:textId="589A82C1"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stated that “A range of reforms across the benefit system will contribute to rebalancing expectations between MSD and those who interact with the welfare system into a system of mutual expectations and responsibilities. MSD has started work to ensure clients are treated with dignity and respect at MSD and this will continue. This includes looking into how to shift towards a more personalised approach to case management”</w:t>
            </w:r>
            <w:r w:rsidR="00B26CB3">
              <w:rPr>
                <w:rFonts w:cstheme="minorHAnsi"/>
                <w:sz w:val="20"/>
                <w:szCs w:val="20"/>
              </w:rPr>
              <w:t xml:space="preserve"> (MSD, 2021d).</w:t>
            </w:r>
          </w:p>
        </w:tc>
        <w:tc>
          <w:tcPr>
            <w:tcW w:w="3780" w:type="dxa"/>
            <w:shd w:val="clear" w:color="auto" w:fill="FFA5A5"/>
          </w:tcPr>
          <w:p w14:paraId="32796F2F"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77AB3B95" w14:textId="77777777" w:rsidR="007D5E58" w:rsidRPr="005C579C" w:rsidRDefault="007D5E58" w:rsidP="00974425">
            <w:pPr>
              <w:ind w:left="16" w:firstLine="0"/>
              <w:rPr>
                <w:rFonts w:cstheme="minorHAnsi"/>
                <w:sz w:val="20"/>
                <w:szCs w:val="20"/>
              </w:rPr>
            </w:pPr>
          </w:p>
          <w:p w14:paraId="7F19B757" w14:textId="77777777" w:rsidR="007D5E58" w:rsidRPr="005C579C" w:rsidRDefault="007D5E58" w:rsidP="00974425">
            <w:pPr>
              <w:ind w:left="16" w:firstLine="0"/>
              <w:rPr>
                <w:rFonts w:cstheme="minorHAnsi"/>
                <w:sz w:val="20"/>
                <w:szCs w:val="20"/>
              </w:rPr>
            </w:pPr>
            <w:r w:rsidRPr="005C579C">
              <w:rPr>
                <w:rFonts w:cstheme="minorHAnsi"/>
                <w:sz w:val="20"/>
                <w:szCs w:val="20"/>
              </w:rPr>
              <w:t>A mutual expectations framework has not been developed, and the system still relies heavily on sanctions and obligations.</w:t>
            </w:r>
          </w:p>
          <w:p w14:paraId="189B7A52" w14:textId="77777777" w:rsidR="007D5E58" w:rsidRPr="005C579C" w:rsidRDefault="007D5E58" w:rsidP="00974425">
            <w:pPr>
              <w:ind w:left="16" w:firstLine="0"/>
              <w:rPr>
                <w:rFonts w:cstheme="minorHAnsi"/>
                <w:sz w:val="20"/>
                <w:szCs w:val="20"/>
              </w:rPr>
            </w:pPr>
          </w:p>
          <w:p w14:paraId="1FB05D0E" w14:textId="4099DD39" w:rsidR="007D5E58" w:rsidRPr="005C579C" w:rsidRDefault="007D5E58" w:rsidP="00974425">
            <w:pPr>
              <w:ind w:left="16" w:firstLine="0"/>
              <w:rPr>
                <w:rFonts w:cstheme="minorHAnsi"/>
                <w:sz w:val="20"/>
                <w:szCs w:val="20"/>
              </w:rPr>
            </w:pPr>
            <w:r w:rsidRPr="005C579C">
              <w:rPr>
                <w:rFonts w:cstheme="minorHAnsi"/>
                <w:sz w:val="20"/>
                <w:szCs w:val="20"/>
              </w:rPr>
              <w:t>In a July 2019 report released under OIA, Government officials explained what MSD is doing to implement a mutual expectations approach to their work. Examples given were largely prior to the publication of Whakamana Tāngata (e.g. establishment of a Client Commitment). Officials stated that they would explore options to strengthen expectations of MSD in legislation, as part of the medium to long-term work programme of reassessing the purposes and principles of the Act</w:t>
            </w:r>
            <w:r w:rsidR="00B26CB3">
              <w:rPr>
                <w:rFonts w:cstheme="minorHAnsi"/>
                <w:sz w:val="20"/>
                <w:szCs w:val="20"/>
              </w:rPr>
              <w:t xml:space="preserve"> (MSD, 2020d).</w:t>
            </w:r>
          </w:p>
        </w:tc>
        <w:tc>
          <w:tcPr>
            <w:tcW w:w="1447" w:type="dxa"/>
            <w:shd w:val="clear" w:color="auto" w:fill="FFFFFF" w:themeFill="background1"/>
          </w:tcPr>
          <w:p w14:paraId="4BEE9D94"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1C201926" w14:textId="77777777" w:rsidR="007D5E58" w:rsidRPr="005C579C" w:rsidRDefault="007D5E58" w:rsidP="00974425">
            <w:pPr>
              <w:ind w:left="63" w:firstLine="0"/>
              <w:rPr>
                <w:rFonts w:cstheme="minorHAnsi"/>
                <w:sz w:val="20"/>
                <w:szCs w:val="20"/>
              </w:rPr>
            </w:pPr>
          </w:p>
        </w:tc>
      </w:tr>
      <w:tr w:rsidR="007D5E58" w:rsidRPr="005A73F9" w14:paraId="1F586154" w14:textId="77777777" w:rsidTr="00974425">
        <w:trPr>
          <w:trHeight w:val="2400"/>
        </w:trPr>
        <w:tc>
          <w:tcPr>
            <w:tcW w:w="1634" w:type="dxa"/>
            <w:vMerge w:val="restart"/>
          </w:tcPr>
          <w:p w14:paraId="1D442D1C" w14:textId="77777777" w:rsidR="007D5E58" w:rsidRPr="005C579C" w:rsidRDefault="007D5E58" w:rsidP="00A53840">
            <w:pPr>
              <w:ind w:left="29" w:firstLine="0"/>
              <w:rPr>
                <w:rFonts w:cstheme="minorHAnsi"/>
                <w:sz w:val="20"/>
                <w:szCs w:val="20"/>
              </w:rPr>
            </w:pPr>
            <w:r w:rsidRPr="005C579C">
              <w:rPr>
                <w:rFonts w:cstheme="minorHAnsi"/>
                <w:sz w:val="20"/>
                <w:szCs w:val="20"/>
              </w:rPr>
              <w:t>Obligations and sanctions removal</w:t>
            </w:r>
          </w:p>
        </w:tc>
        <w:tc>
          <w:tcPr>
            <w:tcW w:w="3330" w:type="dxa"/>
          </w:tcPr>
          <w:p w14:paraId="5B835DB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requirement to complete specific activities before a benefit is granted (pre-benefit activities)</w:t>
            </w:r>
          </w:p>
        </w:tc>
        <w:tc>
          <w:tcPr>
            <w:tcW w:w="1260" w:type="dxa"/>
            <w:vMerge w:val="restart"/>
          </w:tcPr>
          <w:p w14:paraId="59B0224E" w14:textId="77777777" w:rsidR="007D5E58" w:rsidRPr="005C579C" w:rsidRDefault="007D5E58" w:rsidP="00974425">
            <w:pPr>
              <w:ind w:left="32" w:firstLine="0"/>
              <w:rPr>
                <w:rFonts w:cstheme="minorHAnsi"/>
                <w:sz w:val="20"/>
                <w:szCs w:val="20"/>
              </w:rPr>
            </w:pPr>
            <w:r w:rsidRPr="005C579C">
              <w:rPr>
                <w:rFonts w:cstheme="minorHAnsi"/>
                <w:sz w:val="20"/>
                <w:szCs w:val="20"/>
              </w:rPr>
              <w:t>Key Rec 11; Ch 6</w:t>
            </w:r>
          </w:p>
        </w:tc>
        <w:tc>
          <w:tcPr>
            <w:tcW w:w="3150" w:type="dxa"/>
          </w:tcPr>
          <w:p w14:paraId="5520F3D6"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No indication that this particular obligation is being reviewed. </w:t>
            </w:r>
          </w:p>
        </w:tc>
        <w:tc>
          <w:tcPr>
            <w:tcW w:w="3780" w:type="dxa"/>
            <w:shd w:val="clear" w:color="auto" w:fill="FFA5A5"/>
          </w:tcPr>
          <w:p w14:paraId="6C3728FD"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1B2C605B" w14:textId="77777777" w:rsidR="007D5E58" w:rsidRPr="005C579C" w:rsidRDefault="007D5E58" w:rsidP="00974425">
            <w:pPr>
              <w:ind w:left="16" w:firstLine="0"/>
              <w:rPr>
                <w:rFonts w:cstheme="minorHAnsi"/>
                <w:sz w:val="20"/>
                <w:szCs w:val="20"/>
              </w:rPr>
            </w:pPr>
          </w:p>
          <w:p w14:paraId="10795303" w14:textId="77777777" w:rsidR="007D5E58" w:rsidRPr="005C579C" w:rsidRDefault="007D5E58" w:rsidP="00974425">
            <w:pPr>
              <w:ind w:left="16" w:firstLine="0"/>
              <w:rPr>
                <w:rFonts w:cstheme="minorHAnsi"/>
                <w:sz w:val="20"/>
                <w:szCs w:val="20"/>
              </w:rPr>
            </w:pPr>
            <w:r w:rsidRPr="005C579C">
              <w:rPr>
                <w:rFonts w:cstheme="minorHAnsi"/>
                <w:sz w:val="20"/>
                <w:szCs w:val="20"/>
              </w:rPr>
              <w:t>This requirement remains in place.</w:t>
            </w:r>
          </w:p>
        </w:tc>
        <w:tc>
          <w:tcPr>
            <w:tcW w:w="1447" w:type="dxa"/>
            <w:shd w:val="clear" w:color="auto" w:fill="FFFFFF" w:themeFill="background1"/>
          </w:tcPr>
          <w:p w14:paraId="1972464D"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4FFFB1E4" w14:textId="77777777" w:rsidR="007D5E58" w:rsidRPr="005C579C" w:rsidRDefault="007D5E58" w:rsidP="00974425">
            <w:pPr>
              <w:ind w:left="63" w:firstLine="0"/>
              <w:rPr>
                <w:rFonts w:cstheme="minorHAnsi"/>
                <w:sz w:val="20"/>
                <w:szCs w:val="20"/>
              </w:rPr>
            </w:pPr>
          </w:p>
        </w:tc>
      </w:tr>
      <w:tr w:rsidR="007D5E58" w:rsidRPr="005A73F9" w14:paraId="1221B275" w14:textId="77777777" w:rsidTr="00974425">
        <w:trPr>
          <w:trHeight w:val="1680"/>
        </w:trPr>
        <w:tc>
          <w:tcPr>
            <w:tcW w:w="1634" w:type="dxa"/>
            <w:vMerge/>
          </w:tcPr>
          <w:p w14:paraId="1C9AA3C4" w14:textId="77777777" w:rsidR="007D5E58" w:rsidRPr="005C579C" w:rsidRDefault="007D5E58" w:rsidP="00A53840">
            <w:pPr>
              <w:ind w:left="29" w:firstLine="0"/>
              <w:rPr>
                <w:rFonts w:cstheme="minorHAnsi"/>
                <w:sz w:val="20"/>
                <w:szCs w:val="20"/>
              </w:rPr>
            </w:pPr>
          </w:p>
        </w:tc>
        <w:tc>
          <w:tcPr>
            <w:tcW w:w="3330" w:type="dxa"/>
          </w:tcPr>
          <w:p w14:paraId="73895E4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sanction where benefit payments stop if people have a warrant out for their arrest, and continue data matching with the Ministry of Justice and take a proactive supportive approach to contacting these people</w:t>
            </w:r>
          </w:p>
          <w:p w14:paraId="77F2E651" w14:textId="77777777" w:rsidR="007D5E58" w:rsidRPr="005C579C" w:rsidRDefault="007D5E58" w:rsidP="00974425">
            <w:pPr>
              <w:pStyle w:val="ListParagraph"/>
              <w:ind w:left="96" w:firstLine="0"/>
              <w:rPr>
                <w:rFonts w:cstheme="minorHAnsi"/>
                <w:sz w:val="20"/>
                <w:szCs w:val="20"/>
              </w:rPr>
            </w:pPr>
          </w:p>
        </w:tc>
        <w:tc>
          <w:tcPr>
            <w:tcW w:w="1260" w:type="dxa"/>
            <w:vMerge/>
          </w:tcPr>
          <w:p w14:paraId="3C7A9C80" w14:textId="77777777" w:rsidR="007D5E58" w:rsidRPr="005C579C" w:rsidRDefault="007D5E58" w:rsidP="00974425">
            <w:pPr>
              <w:ind w:left="32" w:firstLine="0"/>
              <w:rPr>
                <w:rFonts w:cstheme="minorHAnsi"/>
                <w:sz w:val="20"/>
                <w:szCs w:val="20"/>
              </w:rPr>
            </w:pPr>
          </w:p>
        </w:tc>
        <w:tc>
          <w:tcPr>
            <w:tcW w:w="3150" w:type="dxa"/>
          </w:tcPr>
          <w:p w14:paraId="46D2A3B4" w14:textId="34D29268" w:rsidR="007D5E58" w:rsidRPr="005C579C" w:rsidRDefault="007D5E58" w:rsidP="00974425">
            <w:pPr>
              <w:ind w:left="48" w:firstLine="0"/>
              <w:rPr>
                <w:rFonts w:cstheme="minorHAnsi"/>
                <w:sz w:val="20"/>
                <w:szCs w:val="20"/>
              </w:rPr>
            </w:pPr>
            <w:r w:rsidRPr="005C579C">
              <w:rPr>
                <w:rFonts w:cstheme="minorHAnsi"/>
                <w:sz w:val="20"/>
                <w:szCs w:val="20"/>
              </w:rPr>
              <w:t>A 27 September 2021 Cabinet paper, Appendix Three, stated that “In mid-2021, MSD provided advice regarding Phase One of the review of obligations and sanctions, which focuses on pre-employment drug-testing obligations, warrant to arrest sanctions, and social obligations. This work is ongoing”</w:t>
            </w:r>
            <w:r w:rsidR="00B26CB3">
              <w:rPr>
                <w:rFonts w:cstheme="minorHAnsi"/>
                <w:sz w:val="20"/>
                <w:szCs w:val="20"/>
              </w:rPr>
              <w:t xml:space="preserve"> (MSD, 2021d).</w:t>
            </w:r>
          </w:p>
        </w:tc>
        <w:tc>
          <w:tcPr>
            <w:tcW w:w="3780" w:type="dxa"/>
            <w:shd w:val="clear" w:color="auto" w:fill="FFA5A5"/>
          </w:tcPr>
          <w:p w14:paraId="19DF1BF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1F418C75" w14:textId="77777777" w:rsidR="007D5E58" w:rsidRPr="005C579C" w:rsidRDefault="007D5E58" w:rsidP="00974425">
            <w:pPr>
              <w:ind w:left="16" w:firstLine="0"/>
              <w:rPr>
                <w:rFonts w:cstheme="minorHAnsi"/>
                <w:sz w:val="20"/>
                <w:szCs w:val="20"/>
              </w:rPr>
            </w:pPr>
          </w:p>
          <w:p w14:paraId="30B62C49" w14:textId="77777777" w:rsidR="007D5E58" w:rsidRPr="005C579C" w:rsidRDefault="007D5E58" w:rsidP="00974425">
            <w:pPr>
              <w:ind w:left="16" w:firstLine="0"/>
              <w:rPr>
                <w:rFonts w:cstheme="minorHAnsi"/>
                <w:sz w:val="20"/>
                <w:szCs w:val="20"/>
              </w:rPr>
            </w:pPr>
            <w:r w:rsidRPr="005C579C">
              <w:rPr>
                <w:rFonts w:cstheme="minorHAnsi"/>
                <w:sz w:val="20"/>
                <w:szCs w:val="20"/>
              </w:rPr>
              <w:t>This sanction remains in place.</w:t>
            </w:r>
          </w:p>
        </w:tc>
        <w:tc>
          <w:tcPr>
            <w:tcW w:w="1447" w:type="dxa"/>
            <w:shd w:val="clear" w:color="auto" w:fill="FFFFFF" w:themeFill="background1"/>
          </w:tcPr>
          <w:p w14:paraId="57CDC6C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0C50C852" w14:textId="77777777" w:rsidR="007D5E58" w:rsidRPr="005C579C" w:rsidRDefault="007D5E58" w:rsidP="00974425">
            <w:pPr>
              <w:ind w:left="63" w:firstLine="0"/>
              <w:rPr>
                <w:rFonts w:cstheme="minorHAnsi"/>
                <w:sz w:val="20"/>
                <w:szCs w:val="20"/>
              </w:rPr>
            </w:pPr>
          </w:p>
        </w:tc>
      </w:tr>
      <w:tr w:rsidR="007D5E58" w:rsidRPr="005A73F9" w14:paraId="6BFCD0CE" w14:textId="77777777" w:rsidTr="00974425">
        <w:trPr>
          <w:trHeight w:val="471"/>
        </w:trPr>
        <w:tc>
          <w:tcPr>
            <w:tcW w:w="1634" w:type="dxa"/>
            <w:vMerge/>
          </w:tcPr>
          <w:p w14:paraId="31C7DC9D" w14:textId="77777777" w:rsidR="007D5E58" w:rsidRPr="005C579C" w:rsidRDefault="007D5E58" w:rsidP="00A53840">
            <w:pPr>
              <w:ind w:left="29" w:firstLine="0"/>
              <w:rPr>
                <w:rFonts w:cstheme="minorHAnsi"/>
                <w:sz w:val="20"/>
                <w:szCs w:val="20"/>
              </w:rPr>
            </w:pPr>
          </w:p>
        </w:tc>
        <w:tc>
          <w:tcPr>
            <w:tcW w:w="3330" w:type="dxa"/>
          </w:tcPr>
          <w:p w14:paraId="5B67500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social obligations that require people receiving a benefit to take all reasonable steps to have their children enrolled with a medical practice, be up to date with their Wellchild/Tamariki Ora checks and be attending early childhood education or school</w:t>
            </w:r>
          </w:p>
        </w:tc>
        <w:tc>
          <w:tcPr>
            <w:tcW w:w="1260" w:type="dxa"/>
            <w:vMerge/>
          </w:tcPr>
          <w:p w14:paraId="2575B99E" w14:textId="77777777" w:rsidR="007D5E58" w:rsidRPr="005C579C" w:rsidRDefault="007D5E58" w:rsidP="00974425">
            <w:pPr>
              <w:ind w:left="32" w:firstLine="0"/>
              <w:rPr>
                <w:rFonts w:cstheme="minorHAnsi"/>
                <w:sz w:val="20"/>
                <w:szCs w:val="20"/>
              </w:rPr>
            </w:pPr>
          </w:p>
        </w:tc>
        <w:tc>
          <w:tcPr>
            <w:tcW w:w="3150" w:type="dxa"/>
          </w:tcPr>
          <w:p w14:paraId="305EA828" w14:textId="0572DF35" w:rsidR="007D5E58" w:rsidRPr="005C579C" w:rsidRDefault="00B26CB3" w:rsidP="00974425">
            <w:pPr>
              <w:ind w:left="48" w:firstLine="0"/>
              <w:rPr>
                <w:rFonts w:cstheme="minorHAnsi"/>
                <w:sz w:val="20"/>
                <w:szCs w:val="20"/>
              </w:rPr>
            </w:pPr>
            <w:r w:rsidRPr="005C579C">
              <w:rPr>
                <w:rFonts w:cstheme="minorHAnsi"/>
                <w:sz w:val="20"/>
                <w:szCs w:val="20"/>
              </w:rPr>
              <w:t>A 27 September 2021 Cabinet paper, Appendix Three, stated that “In mid-2021, MSD provided advice regarding Phase One of the review of obligations and sanctions, which focuses on pre-employment drug-testing obligations, warrant to arrest sanctions, and social obligations. This work is ongoing”</w:t>
            </w:r>
            <w:r>
              <w:rPr>
                <w:rFonts w:cstheme="minorHAnsi"/>
                <w:sz w:val="20"/>
                <w:szCs w:val="20"/>
              </w:rPr>
              <w:t xml:space="preserve"> (MSD, 2021d).</w:t>
            </w:r>
          </w:p>
        </w:tc>
        <w:tc>
          <w:tcPr>
            <w:tcW w:w="3780" w:type="dxa"/>
            <w:shd w:val="clear" w:color="auto" w:fill="FFA5A5"/>
          </w:tcPr>
          <w:p w14:paraId="3A65E47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71FB8711" w14:textId="77777777" w:rsidR="007D5E58" w:rsidRPr="005C579C" w:rsidRDefault="007D5E58" w:rsidP="00974425">
            <w:pPr>
              <w:ind w:left="16" w:firstLine="0"/>
              <w:rPr>
                <w:rFonts w:cstheme="minorHAnsi"/>
                <w:sz w:val="20"/>
                <w:szCs w:val="20"/>
              </w:rPr>
            </w:pPr>
          </w:p>
          <w:p w14:paraId="59799A73"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These obligations remain in place. </w:t>
            </w:r>
          </w:p>
        </w:tc>
        <w:tc>
          <w:tcPr>
            <w:tcW w:w="1447" w:type="dxa"/>
            <w:shd w:val="clear" w:color="auto" w:fill="FFFFFF" w:themeFill="background1"/>
          </w:tcPr>
          <w:p w14:paraId="2927109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5AB4FA8D" w14:textId="77777777" w:rsidR="007D5E58" w:rsidRPr="005C579C" w:rsidRDefault="007D5E58" w:rsidP="00974425">
            <w:pPr>
              <w:ind w:left="63" w:firstLine="0"/>
              <w:rPr>
                <w:rFonts w:cstheme="minorHAnsi"/>
                <w:sz w:val="20"/>
                <w:szCs w:val="20"/>
              </w:rPr>
            </w:pPr>
          </w:p>
        </w:tc>
      </w:tr>
      <w:tr w:rsidR="007D5E58" w:rsidRPr="005A73F9" w14:paraId="5410AC5B" w14:textId="77777777" w:rsidTr="00974425">
        <w:trPr>
          <w:trHeight w:val="468"/>
        </w:trPr>
        <w:tc>
          <w:tcPr>
            <w:tcW w:w="1634" w:type="dxa"/>
            <w:vMerge/>
          </w:tcPr>
          <w:p w14:paraId="5CE36A04" w14:textId="77777777" w:rsidR="007D5E58" w:rsidRPr="005C579C" w:rsidRDefault="007D5E58" w:rsidP="00A53840">
            <w:pPr>
              <w:ind w:left="29" w:firstLine="0"/>
              <w:rPr>
                <w:rFonts w:cstheme="minorHAnsi"/>
                <w:sz w:val="20"/>
                <w:szCs w:val="20"/>
              </w:rPr>
            </w:pPr>
          </w:p>
        </w:tc>
        <w:tc>
          <w:tcPr>
            <w:tcW w:w="3330" w:type="dxa"/>
          </w:tcPr>
          <w:p w14:paraId="1B670CF9"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pre-employment drug testing and provide specialised support for people with substance use disorders</w:t>
            </w:r>
          </w:p>
        </w:tc>
        <w:tc>
          <w:tcPr>
            <w:tcW w:w="1260" w:type="dxa"/>
            <w:vMerge/>
          </w:tcPr>
          <w:p w14:paraId="5B69670D" w14:textId="77777777" w:rsidR="007D5E58" w:rsidRPr="005C579C" w:rsidRDefault="007D5E58" w:rsidP="00974425">
            <w:pPr>
              <w:ind w:left="32" w:firstLine="0"/>
              <w:rPr>
                <w:rFonts w:cstheme="minorHAnsi"/>
                <w:sz w:val="20"/>
                <w:szCs w:val="20"/>
              </w:rPr>
            </w:pPr>
          </w:p>
        </w:tc>
        <w:tc>
          <w:tcPr>
            <w:tcW w:w="3150" w:type="dxa"/>
          </w:tcPr>
          <w:p w14:paraId="75A33935" w14:textId="1A8236BD" w:rsidR="007D5E58" w:rsidRPr="005C579C" w:rsidRDefault="00B26CB3" w:rsidP="00974425">
            <w:pPr>
              <w:ind w:left="48" w:firstLine="0"/>
              <w:rPr>
                <w:rFonts w:cstheme="minorHAnsi"/>
                <w:sz w:val="20"/>
                <w:szCs w:val="20"/>
              </w:rPr>
            </w:pPr>
            <w:r w:rsidRPr="005C579C">
              <w:rPr>
                <w:rFonts w:cstheme="minorHAnsi"/>
                <w:sz w:val="20"/>
                <w:szCs w:val="20"/>
              </w:rPr>
              <w:t>A 27 September 2021 Cabinet paper, Appendix Three, stated that “In mid-2021, MSD provided advice regarding Phase One of the review of obligations and sanctions, which focuses on pre-employment drug-testing obligations, warrant to arrest sanctions, and social obligations. This work is ongoing”</w:t>
            </w:r>
            <w:r>
              <w:rPr>
                <w:rFonts w:cstheme="minorHAnsi"/>
                <w:sz w:val="20"/>
                <w:szCs w:val="20"/>
              </w:rPr>
              <w:t xml:space="preserve"> (MSD, 2021d).</w:t>
            </w:r>
          </w:p>
        </w:tc>
        <w:tc>
          <w:tcPr>
            <w:tcW w:w="3780" w:type="dxa"/>
            <w:shd w:val="clear" w:color="auto" w:fill="FFA5A5"/>
          </w:tcPr>
          <w:p w14:paraId="11D69E24"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No evidence of implementation. </w:t>
            </w:r>
          </w:p>
          <w:p w14:paraId="717D9687" w14:textId="77777777" w:rsidR="007D5E58" w:rsidRPr="005C579C" w:rsidRDefault="007D5E58" w:rsidP="00974425">
            <w:pPr>
              <w:ind w:left="16" w:firstLine="0"/>
              <w:rPr>
                <w:rFonts w:cstheme="minorHAnsi"/>
                <w:sz w:val="20"/>
                <w:szCs w:val="20"/>
              </w:rPr>
            </w:pPr>
          </w:p>
          <w:p w14:paraId="7A04B5DF" w14:textId="77777777" w:rsidR="007D5E58" w:rsidRPr="005C579C" w:rsidRDefault="007D5E58" w:rsidP="00974425">
            <w:pPr>
              <w:ind w:left="16" w:firstLine="0"/>
              <w:rPr>
                <w:rFonts w:cstheme="minorHAnsi"/>
                <w:sz w:val="20"/>
                <w:szCs w:val="20"/>
              </w:rPr>
            </w:pPr>
            <w:r w:rsidRPr="005C579C">
              <w:rPr>
                <w:rFonts w:cstheme="minorHAnsi"/>
                <w:sz w:val="20"/>
                <w:szCs w:val="20"/>
              </w:rPr>
              <w:t>This requirement remains in place.</w:t>
            </w:r>
          </w:p>
        </w:tc>
        <w:tc>
          <w:tcPr>
            <w:tcW w:w="1447" w:type="dxa"/>
            <w:shd w:val="clear" w:color="auto" w:fill="FFFFFF" w:themeFill="background1"/>
          </w:tcPr>
          <w:p w14:paraId="21C21D88"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2EF3A514" w14:textId="77777777" w:rsidR="007D5E58" w:rsidRPr="005C579C" w:rsidRDefault="007D5E58" w:rsidP="00974425">
            <w:pPr>
              <w:ind w:left="63" w:firstLine="0"/>
              <w:rPr>
                <w:rFonts w:cstheme="minorHAnsi"/>
                <w:sz w:val="20"/>
                <w:szCs w:val="20"/>
              </w:rPr>
            </w:pPr>
          </w:p>
        </w:tc>
      </w:tr>
      <w:tr w:rsidR="007D5E58" w:rsidRPr="005A73F9" w14:paraId="70345B87" w14:textId="77777777" w:rsidTr="00974425">
        <w:trPr>
          <w:trHeight w:val="468"/>
        </w:trPr>
        <w:tc>
          <w:tcPr>
            <w:tcW w:w="1634" w:type="dxa"/>
            <w:vMerge/>
          </w:tcPr>
          <w:p w14:paraId="1EB112D3" w14:textId="77777777" w:rsidR="007D5E58" w:rsidRPr="005C579C" w:rsidRDefault="007D5E58" w:rsidP="00A53840">
            <w:pPr>
              <w:ind w:left="29" w:firstLine="0"/>
              <w:rPr>
                <w:rFonts w:cstheme="minorHAnsi"/>
                <w:sz w:val="20"/>
                <w:szCs w:val="20"/>
              </w:rPr>
            </w:pPr>
          </w:p>
        </w:tc>
        <w:tc>
          <w:tcPr>
            <w:tcW w:w="3330" w:type="dxa"/>
          </w:tcPr>
          <w:p w14:paraId="0A2BF47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mandatory work ability assessment for people with health conditions or a disability and link workability assessments to return to work plans</w:t>
            </w:r>
          </w:p>
        </w:tc>
        <w:tc>
          <w:tcPr>
            <w:tcW w:w="1260" w:type="dxa"/>
            <w:vMerge/>
          </w:tcPr>
          <w:p w14:paraId="534EE5A1" w14:textId="77777777" w:rsidR="007D5E58" w:rsidRPr="005C579C" w:rsidRDefault="007D5E58" w:rsidP="00974425">
            <w:pPr>
              <w:ind w:left="32" w:firstLine="0"/>
              <w:rPr>
                <w:rFonts w:cstheme="minorHAnsi"/>
                <w:sz w:val="20"/>
                <w:szCs w:val="20"/>
              </w:rPr>
            </w:pPr>
          </w:p>
        </w:tc>
        <w:tc>
          <w:tcPr>
            <w:tcW w:w="3150" w:type="dxa"/>
          </w:tcPr>
          <w:p w14:paraId="14CC2E41" w14:textId="68694A9E" w:rsidR="007D5E58" w:rsidRPr="005C579C" w:rsidRDefault="007D5E58" w:rsidP="00974425">
            <w:pPr>
              <w:ind w:left="48" w:firstLine="0"/>
              <w:rPr>
                <w:rFonts w:cstheme="minorHAnsi"/>
                <w:sz w:val="20"/>
                <w:szCs w:val="20"/>
              </w:rPr>
            </w:pPr>
            <w:r w:rsidRPr="005C579C">
              <w:rPr>
                <w:rFonts w:cstheme="minorHAnsi"/>
                <w:sz w:val="20"/>
                <w:szCs w:val="20"/>
              </w:rPr>
              <w:t>A Budget 2021 bid has been approved to amend the subsequent work capacity certificates process for those on Jobseeker Support – Health Condition and Disability</w:t>
            </w:r>
            <w:r w:rsidR="00B26CB3">
              <w:rPr>
                <w:rFonts w:cstheme="minorHAnsi"/>
                <w:sz w:val="20"/>
                <w:szCs w:val="20"/>
              </w:rPr>
              <w:t xml:space="preserve"> (MSD, 2020d).</w:t>
            </w:r>
          </w:p>
          <w:p w14:paraId="78172224" w14:textId="77777777" w:rsidR="007D5E58" w:rsidRPr="005C579C" w:rsidRDefault="007D5E58" w:rsidP="00974425">
            <w:pPr>
              <w:ind w:left="48" w:firstLine="0"/>
              <w:rPr>
                <w:rFonts w:cstheme="minorHAnsi"/>
                <w:sz w:val="20"/>
                <w:szCs w:val="20"/>
              </w:rPr>
            </w:pPr>
          </w:p>
          <w:p w14:paraId="2A85B790" w14:textId="0230F310" w:rsidR="007D5E58" w:rsidRPr="005C579C" w:rsidRDefault="007D5E58" w:rsidP="00974425">
            <w:pPr>
              <w:ind w:left="48" w:firstLine="0"/>
              <w:rPr>
                <w:rFonts w:cstheme="minorHAnsi"/>
                <w:sz w:val="20"/>
                <w:szCs w:val="20"/>
              </w:rPr>
            </w:pPr>
          </w:p>
        </w:tc>
        <w:tc>
          <w:tcPr>
            <w:tcW w:w="3780" w:type="dxa"/>
            <w:shd w:val="clear" w:color="auto" w:fill="FFE599" w:themeFill="accent4" w:themeFillTint="66"/>
          </w:tcPr>
          <w:p w14:paraId="66DFEC26"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377349AB" w14:textId="77777777" w:rsidR="007D5E58" w:rsidRPr="005C579C" w:rsidRDefault="007D5E58" w:rsidP="00974425">
            <w:pPr>
              <w:ind w:left="16" w:firstLine="0"/>
              <w:rPr>
                <w:rFonts w:cstheme="minorHAnsi"/>
                <w:sz w:val="20"/>
                <w:szCs w:val="20"/>
              </w:rPr>
            </w:pPr>
          </w:p>
          <w:p w14:paraId="5CDDF31F" w14:textId="24A1236F" w:rsidR="007D5E58" w:rsidRPr="005C579C" w:rsidRDefault="007D5E58" w:rsidP="00974425">
            <w:pPr>
              <w:ind w:left="16" w:firstLine="0"/>
              <w:rPr>
                <w:rFonts w:cstheme="minorHAnsi"/>
                <w:sz w:val="20"/>
                <w:szCs w:val="20"/>
              </w:rPr>
            </w:pPr>
            <w:r w:rsidRPr="005C579C">
              <w:rPr>
                <w:rFonts w:cstheme="minorHAnsi"/>
                <w:sz w:val="20"/>
                <w:szCs w:val="20"/>
              </w:rPr>
              <w:t>As part of Budget 2021, it was announced that the mandatory work ability assessment for people with health conditions or will change as of 31 January 2022. Rather than requiring people on Jobseeker Support – Health Condition and Disability to provide medical certificates every four weeks for two months, and then every 13 weeks subsequently, under the new process, the client’s health provider will have flexibility to recommend time in between medical reviews</w:t>
            </w:r>
            <w:r w:rsidR="006B59C1">
              <w:rPr>
                <w:rFonts w:cstheme="minorHAnsi"/>
                <w:sz w:val="20"/>
                <w:szCs w:val="20"/>
              </w:rPr>
              <w:t xml:space="preserve"> (MSD, 2021k).</w:t>
            </w:r>
          </w:p>
          <w:p w14:paraId="49C4C979" w14:textId="77777777" w:rsidR="007D5E58" w:rsidRPr="005C579C" w:rsidRDefault="007D5E58" w:rsidP="00974425">
            <w:pPr>
              <w:ind w:left="16" w:firstLine="0"/>
              <w:rPr>
                <w:rFonts w:cstheme="minorHAnsi"/>
                <w:sz w:val="20"/>
                <w:szCs w:val="20"/>
              </w:rPr>
            </w:pPr>
          </w:p>
          <w:p w14:paraId="1D71FF4D" w14:textId="77777777" w:rsidR="007D5E58" w:rsidRPr="005C579C" w:rsidRDefault="007D5E58" w:rsidP="00974425">
            <w:pPr>
              <w:ind w:left="16" w:firstLine="0"/>
              <w:rPr>
                <w:rFonts w:cstheme="minorHAnsi"/>
                <w:sz w:val="20"/>
                <w:szCs w:val="20"/>
              </w:rPr>
            </w:pPr>
            <w:r w:rsidRPr="005C579C">
              <w:rPr>
                <w:rFonts w:cstheme="minorHAnsi"/>
                <w:sz w:val="20"/>
                <w:szCs w:val="20"/>
              </w:rPr>
              <w:t>There is no evidence of linking these workability assessments with a return to work plan.</w:t>
            </w:r>
          </w:p>
          <w:p w14:paraId="395BE65E" w14:textId="77777777" w:rsidR="007D5E58" w:rsidRPr="005C579C" w:rsidRDefault="007D5E58" w:rsidP="00974425">
            <w:pPr>
              <w:ind w:left="16" w:firstLine="0"/>
              <w:rPr>
                <w:rFonts w:cstheme="minorHAnsi"/>
                <w:sz w:val="20"/>
                <w:szCs w:val="20"/>
              </w:rPr>
            </w:pPr>
          </w:p>
        </w:tc>
        <w:tc>
          <w:tcPr>
            <w:tcW w:w="1447" w:type="dxa"/>
            <w:shd w:val="clear" w:color="auto" w:fill="FFFFFF" w:themeFill="background1"/>
          </w:tcPr>
          <w:p w14:paraId="15A1833C" w14:textId="77777777" w:rsidR="007D5E58" w:rsidRPr="005C579C" w:rsidRDefault="007D5E58" w:rsidP="00974425">
            <w:pPr>
              <w:ind w:left="63" w:firstLine="0"/>
              <w:rPr>
                <w:rFonts w:cstheme="minorHAnsi"/>
                <w:sz w:val="20"/>
                <w:szCs w:val="20"/>
              </w:rPr>
            </w:pPr>
            <w:r w:rsidRPr="005C579C">
              <w:rPr>
                <w:rFonts w:cstheme="minorHAnsi"/>
                <w:sz w:val="20"/>
                <w:szCs w:val="20"/>
              </w:rPr>
              <w:t>Progressed from no implementation to partial implementation.</w:t>
            </w:r>
          </w:p>
        </w:tc>
      </w:tr>
      <w:tr w:rsidR="007D5E58" w:rsidRPr="005A73F9" w14:paraId="6928A1EC" w14:textId="77777777" w:rsidTr="00974425">
        <w:trPr>
          <w:trHeight w:val="360"/>
        </w:trPr>
        <w:tc>
          <w:tcPr>
            <w:tcW w:w="1634" w:type="dxa"/>
            <w:vMerge/>
          </w:tcPr>
          <w:p w14:paraId="23A835DE" w14:textId="77777777" w:rsidR="007D5E58" w:rsidRPr="005C579C" w:rsidRDefault="007D5E58" w:rsidP="00A53840">
            <w:pPr>
              <w:ind w:left="29" w:firstLine="0"/>
              <w:rPr>
                <w:rFonts w:cstheme="minorHAnsi"/>
                <w:sz w:val="20"/>
                <w:szCs w:val="20"/>
              </w:rPr>
            </w:pPr>
          </w:p>
        </w:tc>
        <w:tc>
          <w:tcPr>
            <w:tcW w:w="3330" w:type="dxa"/>
          </w:tcPr>
          <w:p w14:paraId="072747D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requirement to reapply for a benefit every 52 weeks – MSD is expected to provide full and correct entitlements through regular reviews (at least annually)</w:t>
            </w:r>
          </w:p>
        </w:tc>
        <w:tc>
          <w:tcPr>
            <w:tcW w:w="1260" w:type="dxa"/>
            <w:vMerge/>
          </w:tcPr>
          <w:p w14:paraId="08FAB8F4" w14:textId="77777777" w:rsidR="007D5E58" w:rsidRPr="005C579C" w:rsidRDefault="007D5E58" w:rsidP="00974425">
            <w:pPr>
              <w:ind w:left="32" w:firstLine="0"/>
              <w:rPr>
                <w:rFonts w:cstheme="minorHAnsi"/>
                <w:sz w:val="20"/>
                <w:szCs w:val="20"/>
              </w:rPr>
            </w:pPr>
          </w:p>
        </w:tc>
        <w:tc>
          <w:tcPr>
            <w:tcW w:w="3150" w:type="dxa"/>
          </w:tcPr>
          <w:p w14:paraId="15961992" w14:textId="457CCFFC" w:rsidR="007D5E58" w:rsidRPr="005C579C" w:rsidRDefault="007D5E58" w:rsidP="00974425">
            <w:pPr>
              <w:ind w:left="48" w:firstLine="0"/>
              <w:rPr>
                <w:rFonts w:cstheme="minorHAnsi"/>
                <w:sz w:val="20"/>
                <w:szCs w:val="20"/>
              </w:rPr>
            </w:pPr>
            <w:r w:rsidRPr="005C579C">
              <w:rPr>
                <w:rFonts w:cstheme="minorHAnsi"/>
                <w:sz w:val="20"/>
                <w:szCs w:val="20"/>
              </w:rPr>
              <w:t>In November 2019, the Government stated that “further advice” would be sought on the 52-week reapplication requirement</w:t>
            </w:r>
            <w:r w:rsidR="006B59C1">
              <w:rPr>
                <w:rFonts w:cstheme="minorHAnsi"/>
                <w:sz w:val="20"/>
                <w:szCs w:val="20"/>
              </w:rPr>
              <w:t xml:space="preserve"> (</w:t>
            </w:r>
            <w:r w:rsidR="00F35D44">
              <w:rPr>
                <w:rFonts w:cstheme="minorHAnsi"/>
                <w:sz w:val="20"/>
                <w:szCs w:val="20"/>
              </w:rPr>
              <w:t>MSD, 2019A</w:t>
            </w:r>
            <w:r w:rsidR="006B59C1">
              <w:rPr>
                <w:rFonts w:cstheme="minorHAnsi"/>
                <w:sz w:val="20"/>
                <w:szCs w:val="20"/>
              </w:rPr>
              <w:t>).</w:t>
            </w:r>
            <w:r w:rsidRPr="005C579C">
              <w:rPr>
                <w:rFonts w:cstheme="minorHAnsi"/>
                <w:sz w:val="20"/>
                <w:szCs w:val="20"/>
              </w:rPr>
              <w:t xml:space="preserve"> No further indication of reform has been given.</w:t>
            </w:r>
          </w:p>
        </w:tc>
        <w:tc>
          <w:tcPr>
            <w:tcW w:w="3780" w:type="dxa"/>
            <w:shd w:val="clear" w:color="auto" w:fill="FFA5A5"/>
          </w:tcPr>
          <w:p w14:paraId="3A5FC0F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067AB626" w14:textId="77777777" w:rsidR="007D5E58" w:rsidRPr="005C579C" w:rsidRDefault="007D5E58" w:rsidP="00974425">
            <w:pPr>
              <w:ind w:left="16" w:firstLine="0"/>
              <w:rPr>
                <w:rFonts w:cstheme="minorHAnsi"/>
                <w:sz w:val="20"/>
                <w:szCs w:val="20"/>
              </w:rPr>
            </w:pPr>
          </w:p>
          <w:p w14:paraId="2CAA914B" w14:textId="77777777" w:rsidR="007D5E58" w:rsidRPr="005C579C" w:rsidRDefault="007D5E58" w:rsidP="00974425">
            <w:pPr>
              <w:ind w:left="16" w:firstLine="0"/>
              <w:rPr>
                <w:rFonts w:cstheme="minorHAnsi"/>
                <w:sz w:val="20"/>
                <w:szCs w:val="20"/>
              </w:rPr>
            </w:pPr>
            <w:r w:rsidRPr="005C579C">
              <w:rPr>
                <w:rFonts w:cstheme="minorHAnsi"/>
                <w:sz w:val="20"/>
                <w:szCs w:val="20"/>
              </w:rPr>
              <w:t>This obligation remains in place.</w:t>
            </w:r>
          </w:p>
        </w:tc>
        <w:tc>
          <w:tcPr>
            <w:tcW w:w="1447" w:type="dxa"/>
            <w:shd w:val="clear" w:color="auto" w:fill="FFFFFF" w:themeFill="background1"/>
          </w:tcPr>
          <w:p w14:paraId="2694BAA5"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32C921F6" w14:textId="77777777" w:rsidR="007D5E58" w:rsidRPr="005C579C" w:rsidRDefault="007D5E58" w:rsidP="00974425">
            <w:pPr>
              <w:ind w:left="63" w:firstLine="0"/>
              <w:rPr>
                <w:rFonts w:cstheme="minorHAnsi"/>
                <w:sz w:val="20"/>
                <w:szCs w:val="20"/>
              </w:rPr>
            </w:pPr>
          </w:p>
        </w:tc>
      </w:tr>
      <w:tr w:rsidR="007D5E58" w:rsidRPr="005A73F9" w14:paraId="3785E68E" w14:textId="77777777" w:rsidTr="00974425">
        <w:trPr>
          <w:trHeight w:val="360"/>
        </w:trPr>
        <w:tc>
          <w:tcPr>
            <w:tcW w:w="1634" w:type="dxa"/>
            <w:vMerge/>
          </w:tcPr>
          <w:p w14:paraId="56D8C67B" w14:textId="77777777" w:rsidR="007D5E58" w:rsidRPr="005C579C" w:rsidRDefault="007D5E58" w:rsidP="00A53840">
            <w:pPr>
              <w:ind w:left="29" w:firstLine="0"/>
              <w:rPr>
                <w:rFonts w:cstheme="minorHAnsi"/>
                <w:sz w:val="20"/>
                <w:szCs w:val="20"/>
              </w:rPr>
            </w:pPr>
          </w:p>
        </w:tc>
        <w:tc>
          <w:tcPr>
            <w:tcW w:w="3330" w:type="dxa"/>
          </w:tcPr>
          <w:p w14:paraId="55433E2A"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work obligations when an additional child is included in a benefit (the subsequent child rule)</w:t>
            </w:r>
          </w:p>
        </w:tc>
        <w:tc>
          <w:tcPr>
            <w:tcW w:w="1260" w:type="dxa"/>
            <w:vMerge/>
          </w:tcPr>
          <w:p w14:paraId="0FB4B72A" w14:textId="77777777" w:rsidR="007D5E58" w:rsidRPr="005C579C" w:rsidRDefault="007D5E58" w:rsidP="00974425">
            <w:pPr>
              <w:ind w:left="32" w:firstLine="0"/>
              <w:rPr>
                <w:rFonts w:cstheme="minorHAnsi"/>
                <w:sz w:val="20"/>
                <w:szCs w:val="20"/>
              </w:rPr>
            </w:pPr>
          </w:p>
        </w:tc>
        <w:tc>
          <w:tcPr>
            <w:tcW w:w="3150" w:type="dxa"/>
          </w:tcPr>
          <w:p w14:paraId="22E37AEF" w14:textId="0D804E7B" w:rsidR="007D5E58" w:rsidRPr="005C579C" w:rsidRDefault="007D5E58" w:rsidP="00974425">
            <w:pPr>
              <w:ind w:left="48" w:firstLine="0"/>
              <w:rPr>
                <w:rFonts w:cstheme="minorHAnsi"/>
                <w:sz w:val="20"/>
                <w:szCs w:val="20"/>
              </w:rPr>
            </w:pPr>
            <w:r w:rsidRPr="005C579C">
              <w:rPr>
                <w:rFonts w:cstheme="minorHAnsi"/>
                <w:sz w:val="20"/>
                <w:szCs w:val="20"/>
              </w:rPr>
              <w:t>In July 2020, the Government announced that the subsequent child policy would be removed. This came into effect on 8 November 2021</w:t>
            </w:r>
            <w:r w:rsidR="006B59C1">
              <w:rPr>
                <w:rFonts w:cstheme="minorHAnsi"/>
                <w:sz w:val="20"/>
                <w:szCs w:val="20"/>
              </w:rPr>
              <w:t xml:space="preserve"> (MSD, 2020a).</w:t>
            </w:r>
          </w:p>
        </w:tc>
        <w:tc>
          <w:tcPr>
            <w:tcW w:w="3780" w:type="dxa"/>
            <w:shd w:val="clear" w:color="auto" w:fill="C5E0B3" w:themeFill="accent6" w:themeFillTint="66"/>
          </w:tcPr>
          <w:p w14:paraId="0BEFF0E7"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Fully implemented. </w:t>
            </w:r>
          </w:p>
          <w:p w14:paraId="0EF98BBD" w14:textId="77777777" w:rsidR="007D5E58" w:rsidRPr="005C579C" w:rsidRDefault="007D5E58" w:rsidP="00974425">
            <w:pPr>
              <w:ind w:left="16" w:firstLine="0"/>
              <w:rPr>
                <w:rFonts w:cstheme="minorHAnsi"/>
                <w:sz w:val="20"/>
                <w:szCs w:val="20"/>
              </w:rPr>
            </w:pPr>
          </w:p>
          <w:p w14:paraId="16727F85"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The removal of this policy has been scheduled for November 2021. However, the delay of 16 months from announcement means more children were unnecessarily disadvantaged by this punitive sanction. </w:t>
            </w:r>
          </w:p>
        </w:tc>
        <w:tc>
          <w:tcPr>
            <w:tcW w:w="1447" w:type="dxa"/>
            <w:shd w:val="clear" w:color="auto" w:fill="FFFFFF" w:themeFill="background1"/>
          </w:tcPr>
          <w:p w14:paraId="4192CB16" w14:textId="77777777" w:rsidR="007D5E58" w:rsidRPr="005C579C" w:rsidRDefault="007D5E58" w:rsidP="00974425">
            <w:pPr>
              <w:ind w:left="63" w:firstLine="0"/>
              <w:rPr>
                <w:rFonts w:cstheme="minorHAnsi"/>
                <w:sz w:val="20"/>
                <w:szCs w:val="20"/>
              </w:rPr>
            </w:pPr>
            <w:r w:rsidRPr="005C579C">
              <w:rPr>
                <w:rFonts w:cstheme="minorHAnsi"/>
                <w:sz w:val="20"/>
                <w:szCs w:val="20"/>
              </w:rPr>
              <w:t>Progressed from no implementation to full implementation.</w:t>
            </w:r>
          </w:p>
        </w:tc>
      </w:tr>
      <w:tr w:rsidR="007D5E58" w:rsidRPr="005A73F9" w14:paraId="61DF1415" w14:textId="77777777" w:rsidTr="00974425">
        <w:trPr>
          <w:trHeight w:val="360"/>
        </w:trPr>
        <w:tc>
          <w:tcPr>
            <w:tcW w:w="1634" w:type="dxa"/>
            <w:vMerge/>
          </w:tcPr>
          <w:p w14:paraId="26EAAE14" w14:textId="77777777" w:rsidR="007D5E58" w:rsidRPr="005C579C" w:rsidRDefault="007D5E58" w:rsidP="00A53840">
            <w:pPr>
              <w:ind w:left="29" w:firstLine="0"/>
              <w:rPr>
                <w:rFonts w:cstheme="minorHAnsi"/>
                <w:sz w:val="20"/>
                <w:szCs w:val="20"/>
              </w:rPr>
            </w:pPr>
          </w:p>
        </w:tc>
        <w:tc>
          <w:tcPr>
            <w:tcW w:w="3330" w:type="dxa"/>
          </w:tcPr>
          <w:p w14:paraId="1424FC9A"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sanction on not naming another parent (was section 70A in the Social Security Act 1964 and is now section 192 of the Social Security Act 2018).</w:t>
            </w:r>
          </w:p>
        </w:tc>
        <w:tc>
          <w:tcPr>
            <w:tcW w:w="1260" w:type="dxa"/>
            <w:vMerge/>
          </w:tcPr>
          <w:p w14:paraId="69FB506C" w14:textId="77777777" w:rsidR="007D5E58" w:rsidRPr="005C579C" w:rsidRDefault="007D5E58" w:rsidP="00974425">
            <w:pPr>
              <w:ind w:left="32" w:firstLine="0"/>
              <w:rPr>
                <w:rFonts w:cstheme="minorHAnsi"/>
                <w:sz w:val="20"/>
                <w:szCs w:val="20"/>
              </w:rPr>
            </w:pPr>
          </w:p>
        </w:tc>
        <w:tc>
          <w:tcPr>
            <w:tcW w:w="3150" w:type="dxa"/>
          </w:tcPr>
          <w:p w14:paraId="69492D14" w14:textId="2250F227" w:rsidR="007D5E58" w:rsidRPr="005C579C" w:rsidRDefault="007D5E58" w:rsidP="00974425">
            <w:pPr>
              <w:ind w:left="48" w:firstLine="0"/>
              <w:rPr>
                <w:rFonts w:cstheme="minorHAnsi"/>
                <w:sz w:val="20"/>
                <w:szCs w:val="20"/>
              </w:rPr>
            </w:pPr>
            <w:r w:rsidRPr="005C579C">
              <w:rPr>
                <w:rFonts w:cstheme="minorHAnsi"/>
                <w:sz w:val="20"/>
                <w:szCs w:val="20"/>
              </w:rPr>
              <w:t>In May 2019, the Government announced that they would be abolishing the sanction for solo mothers who refuse to name the father of their child. This policy came into effect on 1 April 2020</w:t>
            </w:r>
            <w:r w:rsidR="006B59C1">
              <w:rPr>
                <w:rFonts w:cstheme="minorHAnsi"/>
                <w:sz w:val="20"/>
                <w:szCs w:val="20"/>
              </w:rPr>
              <w:t xml:space="preserve"> (</w:t>
            </w:r>
            <w:r w:rsidR="00F35D44">
              <w:rPr>
                <w:rFonts w:cstheme="minorHAnsi"/>
                <w:sz w:val="20"/>
                <w:szCs w:val="20"/>
              </w:rPr>
              <w:t>MSD, 2019Ab).</w:t>
            </w:r>
          </w:p>
        </w:tc>
        <w:tc>
          <w:tcPr>
            <w:tcW w:w="3780" w:type="dxa"/>
            <w:shd w:val="clear" w:color="auto" w:fill="A8D08D" w:themeFill="accent6" w:themeFillTint="99"/>
          </w:tcPr>
          <w:p w14:paraId="37533D0C" w14:textId="77777777" w:rsidR="007D5E58" w:rsidRPr="005C579C" w:rsidRDefault="007D5E58" w:rsidP="00974425">
            <w:pPr>
              <w:ind w:left="16" w:firstLine="0"/>
              <w:rPr>
                <w:rFonts w:cstheme="minorHAnsi"/>
                <w:sz w:val="20"/>
                <w:szCs w:val="20"/>
              </w:rPr>
            </w:pPr>
            <w:r w:rsidRPr="005C579C">
              <w:rPr>
                <w:rFonts w:cstheme="minorHAnsi"/>
                <w:sz w:val="20"/>
                <w:szCs w:val="20"/>
              </w:rPr>
              <w:t>Fully implemented.</w:t>
            </w:r>
          </w:p>
          <w:p w14:paraId="0F59B49A" w14:textId="77777777" w:rsidR="007D5E58" w:rsidRPr="005C579C" w:rsidRDefault="007D5E58" w:rsidP="00974425">
            <w:pPr>
              <w:ind w:left="16" w:firstLine="0"/>
              <w:rPr>
                <w:rFonts w:cstheme="minorHAnsi"/>
                <w:sz w:val="20"/>
                <w:szCs w:val="20"/>
              </w:rPr>
            </w:pPr>
          </w:p>
          <w:p w14:paraId="7F72371B" w14:textId="77777777" w:rsidR="007D5E58" w:rsidRPr="005C579C" w:rsidRDefault="007D5E58" w:rsidP="00974425">
            <w:pPr>
              <w:pStyle w:val="Default"/>
              <w:ind w:left="16" w:firstLine="0"/>
              <w:rPr>
                <w:rFonts w:asciiTheme="minorHAnsi" w:hAnsiTheme="minorHAnsi" w:cstheme="minorHAnsi"/>
                <w:sz w:val="20"/>
                <w:szCs w:val="20"/>
              </w:rPr>
            </w:pPr>
            <w:r w:rsidRPr="005C579C">
              <w:rPr>
                <w:rFonts w:asciiTheme="minorHAnsi" w:hAnsiTheme="minorHAnsi" w:cstheme="minorHAnsi"/>
                <w:sz w:val="20"/>
                <w:szCs w:val="20"/>
              </w:rPr>
              <w:t xml:space="preserve">This sanction has been removed, but we note that the requirement to apply for Child Support has not been removed. </w:t>
            </w:r>
          </w:p>
          <w:p w14:paraId="5BB90BBB" w14:textId="77777777" w:rsidR="007D5E58" w:rsidRPr="005C579C" w:rsidRDefault="007D5E58" w:rsidP="00974425">
            <w:pPr>
              <w:ind w:left="16" w:firstLine="0"/>
              <w:rPr>
                <w:rFonts w:cstheme="minorHAnsi"/>
                <w:sz w:val="20"/>
                <w:szCs w:val="20"/>
              </w:rPr>
            </w:pPr>
          </w:p>
        </w:tc>
        <w:tc>
          <w:tcPr>
            <w:tcW w:w="1447" w:type="dxa"/>
            <w:shd w:val="clear" w:color="auto" w:fill="FFFFFF" w:themeFill="background1"/>
          </w:tcPr>
          <w:p w14:paraId="6503E7C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8D80E48" w14:textId="77777777" w:rsidTr="00974425">
        <w:trPr>
          <w:trHeight w:val="381"/>
        </w:trPr>
        <w:tc>
          <w:tcPr>
            <w:tcW w:w="1634" w:type="dxa"/>
            <w:vMerge w:val="restart"/>
          </w:tcPr>
          <w:p w14:paraId="46124737" w14:textId="77777777" w:rsidR="007D5E58" w:rsidRPr="005C579C" w:rsidRDefault="007D5E58" w:rsidP="00A53840">
            <w:pPr>
              <w:ind w:left="29" w:firstLine="0"/>
              <w:rPr>
                <w:rFonts w:cstheme="minorHAnsi"/>
                <w:sz w:val="20"/>
                <w:szCs w:val="20"/>
              </w:rPr>
            </w:pPr>
            <w:r w:rsidRPr="005C579C">
              <w:rPr>
                <w:rFonts w:cstheme="minorHAnsi"/>
                <w:sz w:val="20"/>
                <w:szCs w:val="20"/>
              </w:rPr>
              <w:t>Resourcing and other</w:t>
            </w:r>
          </w:p>
          <w:p w14:paraId="4642DDCD" w14:textId="77777777" w:rsidR="007D5E58" w:rsidRPr="005C579C" w:rsidRDefault="007D5E58" w:rsidP="00A53840">
            <w:pPr>
              <w:ind w:left="29" w:firstLine="0"/>
              <w:rPr>
                <w:rFonts w:cstheme="minorHAnsi"/>
                <w:sz w:val="20"/>
                <w:szCs w:val="20"/>
              </w:rPr>
            </w:pPr>
            <w:r w:rsidRPr="005C579C">
              <w:rPr>
                <w:rFonts w:cstheme="minorHAnsi"/>
                <w:sz w:val="20"/>
                <w:szCs w:val="20"/>
              </w:rPr>
              <w:t>processes of the</w:t>
            </w:r>
          </w:p>
          <w:p w14:paraId="0E43CCA1" w14:textId="77777777" w:rsidR="007D5E58" w:rsidRPr="005C579C" w:rsidRDefault="007D5E58" w:rsidP="00A53840">
            <w:pPr>
              <w:ind w:left="29" w:firstLine="0"/>
              <w:rPr>
                <w:rFonts w:cstheme="minorHAnsi"/>
                <w:sz w:val="20"/>
                <w:szCs w:val="20"/>
              </w:rPr>
            </w:pPr>
            <w:r w:rsidRPr="005C579C">
              <w:rPr>
                <w:rFonts w:cstheme="minorHAnsi"/>
                <w:sz w:val="20"/>
                <w:szCs w:val="20"/>
              </w:rPr>
              <w:t>public-facing, frontline</w:t>
            </w:r>
          </w:p>
          <w:p w14:paraId="5A0DF715" w14:textId="77777777" w:rsidR="007D5E58" w:rsidRPr="005C579C" w:rsidRDefault="007D5E58" w:rsidP="00A53840">
            <w:pPr>
              <w:ind w:left="29" w:firstLine="0"/>
              <w:rPr>
                <w:rFonts w:cstheme="minorHAnsi"/>
                <w:sz w:val="20"/>
                <w:szCs w:val="20"/>
              </w:rPr>
            </w:pPr>
            <w:r w:rsidRPr="005C579C">
              <w:rPr>
                <w:rFonts w:cstheme="minorHAnsi"/>
                <w:sz w:val="20"/>
                <w:szCs w:val="20"/>
              </w:rPr>
              <w:t>service are consistent</w:t>
            </w:r>
          </w:p>
          <w:p w14:paraId="64CCBC1D" w14:textId="77777777" w:rsidR="007D5E58" w:rsidRPr="005C579C" w:rsidRDefault="007D5E58" w:rsidP="00A53840">
            <w:pPr>
              <w:ind w:left="29" w:firstLine="0"/>
              <w:rPr>
                <w:rFonts w:cstheme="minorHAnsi"/>
                <w:sz w:val="20"/>
                <w:szCs w:val="20"/>
              </w:rPr>
            </w:pPr>
            <w:r w:rsidRPr="005C579C">
              <w:rPr>
                <w:rFonts w:cstheme="minorHAnsi"/>
                <w:sz w:val="20"/>
                <w:szCs w:val="20"/>
              </w:rPr>
              <w:t>with the new purpose</w:t>
            </w:r>
          </w:p>
          <w:p w14:paraId="1D599C6C" w14:textId="77777777" w:rsidR="007D5E58" w:rsidRPr="005C579C" w:rsidRDefault="007D5E58" w:rsidP="00A53840">
            <w:pPr>
              <w:ind w:left="29" w:firstLine="0"/>
              <w:rPr>
                <w:rFonts w:cstheme="minorHAnsi"/>
                <w:sz w:val="20"/>
                <w:szCs w:val="20"/>
              </w:rPr>
            </w:pPr>
            <w:r w:rsidRPr="005C579C">
              <w:rPr>
                <w:rFonts w:cstheme="minorHAnsi"/>
                <w:sz w:val="20"/>
                <w:szCs w:val="20"/>
              </w:rPr>
              <w:t>and principles</w:t>
            </w:r>
          </w:p>
        </w:tc>
        <w:tc>
          <w:tcPr>
            <w:tcW w:w="3330" w:type="dxa"/>
          </w:tcPr>
          <w:p w14:paraId="11D2A6B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Resource frontline services to the level required to achieve outcomes as a priority.</w:t>
            </w:r>
          </w:p>
        </w:tc>
        <w:tc>
          <w:tcPr>
            <w:tcW w:w="1260" w:type="dxa"/>
            <w:vMerge w:val="restart"/>
          </w:tcPr>
          <w:p w14:paraId="59518467" w14:textId="77777777" w:rsidR="007D5E58" w:rsidRPr="005C579C" w:rsidRDefault="007D5E58" w:rsidP="00974425">
            <w:pPr>
              <w:ind w:left="32" w:firstLine="0"/>
              <w:rPr>
                <w:rFonts w:cstheme="minorHAnsi"/>
                <w:sz w:val="20"/>
                <w:szCs w:val="20"/>
              </w:rPr>
            </w:pPr>
            <w:r w:rsidRPr="005C579C">
              <w:rPr>
                <w:rFonts w:cstheme="minorHAnsi"/>
                <w:sz w:val="20"/>
                <w:szCs w:val="20"/>
              </w:rPr>
              <w:t>Key Rec 12; Ch 6</w:t>
            </w:r>
          </w:p>
        </w:tc>
        <w:tc>
          <w:tcPr>
            <w:tcW w:w="3150" w:type="dxa"/>
            <w:vMerge w:val="restart"/>
          </w:tcPr>
          <w:p w14:paraId="275154C9" w14:textId="1ACEBE9E"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stated that it is “already making changes to improve frontline services in line with recommendation 12 and will continue to do so.” It stated that “Additional funding for further frontline staff and employment services to support an increase in demand was received as part of Budget 2020” and “MSD has also made improvements to its service centres by making changes to front of house areas such as having watercoolers, new 'kids area' furniture and signages to help services centres be a more welcoming and accessible environment</w:t>
            </w:r>
            <w:r w:rsidR="00F35D44">
              <w:rPr>
                <w:rFonts w:cstheme="minorHAnsi"/>
                <w:sz w:val="20"/>
                <w:szCs w:val="20"/>
              </w:rPr>
              <w:t>” (MSD, 2021d).</w:t>
            </w:r>
          </w:p>
          <w:p w14:paraId="762E7609" w14:textId="77777777" w:rsidR="007D5E58" w:rsidRPr="005C579C" w:rsidRDefault="007D5E58" w:rsidP="00974425">
            <w:pPr>
              <w:ind w:left="48" w:firstLine="0"/>
              <w:rPr>
                <w:rFonts w:cstheme="minorHAnsi"/>
                <w:sz w:val="20"/>
                <w:szCs w:val="20"/>
              </w:rPr>
            </w:pPr>
          </w:p>
        </w:tc>
        <w:tc>
          <w:tcPr>
            <w:tcW w:w="3780" w:type="dxa"/>
            <w:shd w:val="clear" w:color="auto" w:fill="FCC292"/>
          </w:tcPr>
          <w:p w14:paraId="6F73415C" w14:textId="77777777" w:rsidR="007D5E58" w:rsidRPr="005C579C" w:rsidRDefault="007D5E58" w:rsidP="00974425">
            <w:pPr>
              <w:ind w:left="16" w:firstLine="0"/>
              <w:rPr>
                <w:rFonts w:cstheme="minorHAnsi"/>
                <w:sz w:val="20"/>
                <w:szCs w:val="20"/>
              </w:rPr>
            </w:pPr>
            <w:r w:rsidRPr="005C579C">
              <w:rPr>
                <w:rFonts w:cstheme="minorHAnsi"/>
                <w:sz w:val="20"/>
                <w:szCs w:val="20"/>
              </w:rPr>
              <w:t>Minimally implemented.</w:t>
            </w:r>
          </w:p>
          <w:p w14:paraId="339F5DA2" w14:textId="3798893C" w:rsidR="007D5E58" w:rsidRPr="005C579C" w:rsidRDefault="007D5E58" w:rsidP="00974425">
            <w:pPr>
              <w:spacing w:before="120" w:after="120"/>
              <w:ind w:left="16" w:firstLine="0"/>
              <w:rPr>
                <w:rFonts w:cstheme="minorHAnsi"/>
                <w:sz w:val="20"/>
                <w:szCs w:val="20"/>
              </w:rPr>
            </w:pPr>
            <w:r w:rsidRPr="005C579C">
              <w:rPr>
                <w:rFonts w:cstheme="minorHAnsi"/>
                <w:sz w:val="20"/>
                <w:szCs w:val="20"/>
              </w:rPr>
              <w:t>In early 2020 it was reported that these new ‘employment-focused’ frontline staff announced in Budget 2019 were being diverted to working on emergency hardship grants because of increased hardship demand. As a result, the level of engagement with case managers per beneficiary was down, not up, following this announcement</w:t>
            </w:r>
            <w:r w:rsidR="00F35D44">
              <w:rPr>
                <w:rFonts w:cstheme="minorHAnsi"/>
                <w:sz w:val="20"/>
                <w:szCs w:val="20"/>
              </w:rPr>
              <w:t xml:space="preserve"> (Coughlan, 2020).</w:t>
            </w:r>
          </w:p>
          <w:p w14:paraId="03D7E965" w14:textId="0E7928B9" w:rsidR="007D5E58" w:rsidRPr="005C579C" w:rsidRDefault="007D5E58" w:rsidP="00974425">
            <w:pPr>
              <w:ind w:left="16" w:firstLine="0"/>
              <w:rPr>
                <w:rFonts w:cstheme="minorHAnsi"/>
                <w:sz w:val="20"/>
                <w:szCs w:val="20"/>
              </w:rPr>
            </w:pPr>
            <w:r w:rsidRPr="005C579C">
              <w:rPr>
                <w:rFonts w:cstheme="minorHAnsi"/>
                <w:sz w:val="20"/>
                <w:szCs w:val="20"/>
              </w:rPr>
              <w:t>Given that WEAG reported based on consultation with staff and welfare recipients that MSD has a “severely under-resourced workforce”, significant work remains to ensure frontline services have sufficient time with clients and have access to skills and systems training. Further, increases in resourcing have been centred only on those frontline staff who are focussed on getting people into work, rather than all frontline services.</w:t>
            </w:r>
          </w:p>
        </w:tc>
        <w:tc>
          <w:tcPr>
            <w:tcW w:w="1447" w:type="dxa"/>
            <w:shd w:val="clear" w:color="auto" w:fill="FFFFFF" w:themeFill="background1"/>
          </w:tcPr>
          <w:p w14:paraId="0D217D7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0D94492" w14:textId="77777777" w:rsidTr="00974425">
        <w:trPr>
          <w:trHeight w:val="376"/>
        </w:trPr>
        <w:tc>
          <w:tcPr>
            <w:tcW w:w="1634" w:type="dxa"/>
            <w:vMerge/>
          </w:tcPr>
          <w:p w14:paraId="73A8D33E" w14:textId="77777777" w:rsidR="007D5E58" w:rsidRPr="005C579C" w:rsidRDefault="007D5E58" w:rsidP="00A53840">
            <w:pPr>
              <w:ind w:left="29" w:firstLine="0"/>
              <w:rPr>
                <w:rFonts w:cstheme="minorHAnsi"/>
                <w:sz w:val="20"/>
                <w:szCs w:val="20"/>
              </w:rPr>
            </w:pPr>
          </w:p>
        </w:tc>
        <w:tc>
          <w:tcPr>
            <w:tcW w:w="3330" w:type="dxa"/>
          </w:tcPr>
          <w:p w14:paraId="2EBCF1BA"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Implement an ongoing, comprehensive, active and agile staff training strategy.</w:t>
            </w:r>
          </w:p>
        </w:tc>
        <w:tc>
          <w:tcPr>
            <w:tcW w:w="1260" w:type="dxa"/>
            <w:vMerge/>
          </w:tcPr>
          <w:p w14:paraId="21923E52" w14:textId="77777777" w:rsidR="007D5E58" w:rsidRPr="005C579C" w:rsidRDefault="007D5E58" w:rsidP="00974425">
            <w:pPr>
              <w:ind w:left="32" w:firstLine="0"/>
              <w:rPr>
                <w:rFonts w:cstheme="minorHAnsi"/>
                <w:sz w:val="20"/>
                <w:szCs w:val="20"/>
              </w:rPr>
            </w:pPr>
          </w:p>
        </w:tc>
        <w:tc>
          <w:tcPr>
            <w:tcW w:w="3150" w:type="dxa"/>
            <w:vMerge/>
          </w:tcPr>
          <w:p w14:paraId="026D89CA" w14:textId="77777777" w:rsidR="007D5E58" w:rsidRPr="005C579C" w:rsidRDefault="007D5E58" w:rsidP="00974425">
            <w:pPr>
              <w:ind w:left="48" w:firstLine="0"/>
              <w:rPr>
                <w:rFonts w:cstheme="minorHAnsi"/>
                <w:sz w:val="20"/>
                <w:szCs w:val="20"/>
              </w:rPr>
            </w:pPr>
          </w:p>
        </w:tc>
        <w:tc>
          <w:tcPr>
            <w:tcW w:w="3780" w:type="dxa"/>
            <w:shd w:val="clear" w:color="auto" w:fill="FFA5A5"/>
          </w:tcPr>
          <w:p w14:paraId="3F4BAE20"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563CDC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1838678" w14:textId="77777777" w:rsidTr="00974425">
        <w:trPr>
          <w:trHeight w:val="376"/>
        </w:trPr>
        <w:tc>
          <w:tcPr>
            <w:tcW w:w="1634" w:type="dxa"/>
            <w:vMerge/>
          </w:tcPr>
          <w:p w14:paraId="5A287E9D" w14:textId="77777777" w:rsidR="007D5E58" w:rsidRPr="005C579C" w:rsidRDefault="007D5E58" w:rsidP="00A53840">
            <w:pPr>
              <w:ind w:left="29" w:firstLine="0"/>
              <w:rPr>
                <w:rFonts w:cstheme="minorHAnsi"/>
                <w:sz w:val="20"/>
                <w:szCs w:val="20"/>
              </w:rPr>
            </w:pPr>
          </w:p>
        </w:tc>
        <w:tc>
          <w:tcPr>
            <w:tcW w:w="3330" w:type="dxa"/>
          </w:tcPr>
          <w:p w14:paraId="5E8E2453"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 xml:space="preserve">Adopt an improved and accessible complaints process that is measured by a satisfactory restoration of the relationship between the parties. </w:t>
            </w:r>
          </w:p>
        </w:tc>
        <w:tc>
          <w:tcPr>
            <w:tcW w:w="1260" w:type="dxa"/>
            <w:vMerge/>
          </w:tcPr>
          <w:p w14:paraId="0E147573" w14:textId="77777777" w:rsidR="007D5E58" w:rsidRPr="005C579C" w:rsidRDefault="007D5E58" w:rsidP="00974425">
            <w:pPr>
              <w:ind w:left="32" w:firstLine="0"/>
              <w:rPr>
                <w:rFonts w:cstheme="minorHAnsi"/>
                <w:sz w:val="20"/>
                <w:szCs w:val="20"/>
              </w:rPr>
            </w:pPr>
          </w:p>
        </w:tc>
        <w:tc>
          <w:tcPr>
            <w:tcW w:w="3150" w:type="dxa"/>
            <w:vMerge/>
          </w:tcPr>
          <w:p w14:paraId="41EA6277" w14:textId="77777777" w:rsidR="007D5E58" w:rsidRPr="005C579C" w:rsidRDefault="007D5E58" w:rsidP="00974425">
            <w:pPr>
              <w:ind w:left="48" w:firstLine="0"/>
              <w:rPr>
                <w:rFonts w:cstheme="minorHAnsi"/>
                <w:sz w:val="20"/>
                <w:szCs w:val="20"/>
              </w:rPr>
            </w:pPr>
          </w:p>
        </w:tc>
        <w:tc>
          <w:tcPr>
            <w:tcW w:w="3780" w:type="dxa"/>
            <w:shd w:val="clear" w:color="auto" w:fill="FFA5A5"/>
          </w:tcPr>
          <w:p w14:paraId="57D0571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6EA99106" w14:textId="77777777" w:rsidR="007D5E58" w:rsidRPr="005C579C" w:rsidRDefault="007D5E58" w:rsidP="00974425">
            <w:pPr>
              <w:ind w:left="16" w:firstLine="0"/>
              <w:rPr>
                <w:rFonts w:cstheme="minorHAnsi"/>
                <w:sz w:val="20"/>
                <w:szCs w:val="20"/>
              </w:rPr>
            </w:pPr>
          </w:p>
          <w:p w14:paraId="7A2D8F8F" w14:textId="1721F3A8" w:rsidR="007D5E58" w:rsidRPr="005C579C" w:rsidRDefault="007D5E58" w:rsidP="00974425">
            <w:pPr>
              <w:ind w:left="16" w:firstLine="0"/>
              <w:rPr>
                <w:rFonts w:cstheme="minorHAnsi"/>
                <w:sz w:val="20"/>
                <w:szCs w:val="20"/>
              </w:rPr>
            </w:pPr>
            <w:r w:rsidRPr="005C579C">
              <w:rPr>
                <w:rFonts w:cstheme="minorHAnsi"/>
                <w:sz w:val="20"/>
                <w:szCs w:val="20"/>
              </w:rPr>
              <w:t>Multiple frontline organisations unsuccessfully requested a social services select committee inquiry into Work and Income’s “inhumane” practices in Sept 2021</w:t>
            </w:r>
            <w:r w:rsidR="00F35D44">
              <w:rPr>
                <w:rFonts w:cstheme="minorHAnsi"/>
                <w:sz w:val="20"/>
                <w:szCs w:val="20"/>
              </w:rPr>
              <w:t xml:space="preserve"> (Save the Children, 2021).</w:t>
            </w:r>
          </w:p>
        </w:tc>
        <w:tc>
          <w:tcPr>
            <w:tcW w:w="1447" w:type="dxa"/>
            <w:shd w:val="clear" w:color="auto" w:fill="auto"/>
          </w:tcPr>
          <w:p w14:paraId="40E94ED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CDD6C34" w14:textId="77777777" w:rsidTr="00974425">
        <w:trPr>
          <w:trHeight w:val="376"/>
        </w:trPr>
        <w:tc>
          <w:tcPr>
            <w:tcW w:w="1634" w:type="dxa"/>
            <w:vMerge/>
          </w:tcPr>
          <w:p w14:paraId="3DCA920B" w14:textId="77777777" w:rsidR="007D5E58" w:rsidRPr="005C579C" w:rsidRDefault="007D5E58" w:rsidP="00A53840">
            <w:pPr>
              <w:ind w:left="29" w:firstLine="0"/>
              <w:rPr>
                <w:rFonts w:cstheme="minorHAnsi"/>
                <w:sz w:val="20"/>
                <w:szCs w:val="20"/>
              </w:rPr>
            </w:pPr>
          </w:p>
        </w:tc>
        <w:tc>
          <w:tcPr>
            <w:tcW w:w="3330" w:type="dxa"/>
          </w:tcPr>
          <w:p w14:paraId="1F5191C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Make the review process simpler, speedier and more accessible, and ensure the principle of natural justice is observed.</w:t>
            </w:r>
          </w:p>
        </w:tc>
        <w:tc>
          <w:tcPr>
            <w:tcW w:w="1260" w:type="dxa"/>
            <w:vMerge/>
          </w:tcPr>
          <w:p w14:paraId="17525AB5" w14:textId="77777777" w:rsidR="007D5E58" w:rsidRPr="005C579C" w:rsidRDefault="007D5E58" w:rsidP="00974425">
            <w:pPr>
              <w:ind w:left="32" w:firstLine="0"/>
              <w:rPr>
                <w:rFonts w:cstheme="minorHAnsi"/>
                <w:sz w:val="20"/>
                <w:szCs w:val="20"/>
              </w:rPr>
            </w:pPr>
          </w:p>
        </w:tc>
        <w:tc>
          <w:tcPr>
            <w:tcW w:w="3150" w:type="dxa"/>
            <w:vMerge/>
          </w:tcPr>
          <w:p w14:paraId="4D6E9C4F" w14:textId="77777777" w:rsidR="007D5E58" w:rsidRPr="005C579C" w:rsidRDefault="007D5E58" w:rsidP="00974425">
            <w:pPr>
              <w:ind w:left="48" w:firstLine="0"/>
              <w:rPr>
                <w:rFonts w:cstheme="minorHAnsi"/>
                <w:sz w:val="20"/>
                <w:szCs w:val="20"/>
              </w:rPr>
            </w:pPr>
          </w:p>
        </w:tc>
        <w:tc>
          <w:tcPr>
            <w:tcW w:w="3780" w:type="dxa"/>
            <w:shd w:val="clear" w:color="auto" w:fill="FFA5A5"/>
          </w:tcPr>
          <w:p w14:paraId="276F5246"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4B41D85"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93E06ED" w14:textId="77777777" w:rsidTr="00974425">
        <w:trPr>
          <w:trHeight w:val="376"/>
        </w:trPr>
        <w:tc>
          <w:tcPr>
            <w:tcW w:w="1634" w:type="dxa"/>
            <w:vMerge/>
          </w:tcPr>
          <w:p w14:paraId="158CEE85" w14:textId="77777777" w:rsidR="007D5E58" w:rsidRPr="005C579C" w:rsidRDefault="007D5E58" w:rsidP="00A53840">
            <w:pPr>
              <w:ind w:left="29" w:firstLine="0"/>
              <w:rPr>
                <w:rFonts w:cstheme="minorHAnsi"/>
                <w:sz w:val="20"/>
                <w:szCs w:val="20"/>
              </w:rPr>
            </w:pPr>
          </w:p>
        </w:tc>
        <w:tc>
          <w:tcPr>
            <w:tcW w:w="3330" w:type="dxa"/>
          </w:tcPr>
          <w:p w14:paraId="5AA71FC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Make a further hearing at the Social Security Appeal Authority available to those who take an unsuccessful claim to the Medical Appeals Board.</w:t>
            </w:r>
          </w:p>
        </w:tc>
        <w:tc>
          <w:tcPr>
            <w:tcW w:w="1260" w:type="dxa"/>
            <w:vMerge/>
          </w:tcPr>
          <w:p w14:paraId="587C2A94" w14:textId="77777777" w:rsidR="007D5E58" w:rsidRPr="005C579C" w:rsidRDefault="007D5E58" w:rsidP="00974425">
            <w:pPr>
              <w:ind w:left="32" w:firstLine="0"/>
              <w:rPr>
                <w:rFonts w:cstheme="minorHAnsi"/>
                <w:sz w:val="20"/>
                <w:szCs w:val="20"/>
              </w:rPr>
            </w:pPr>
          </w:p>
        </w:tc>
        <w:tc>
          <w:tcPr>
            <w:tcW w:w="3150" w:type="dxa"/>
            <w:vMerge/>
          </w:tcPr>
          <w:p w14:paraId="2E7A5C90" w14:textId="77777777" w:rsidR="007D5E58" w:rsidRPr="005C579C" w:rsidRDefault="007D5E58" w:rsidP="00974425">
            <w:pPr>
              <w:ind w:left="48" w:firstLine="0"/>
              <w:rPr>
                <w:rFonts w:cstheme="minorHAnsi"/>
                <w:sz w:val="20"/>
                <w:szCs w:val="20"/>
              </w:rPr>
            </w:pPr>
          </w:p>
        </w:tc>
        <w:tc>
          <w:tcPr>
            <w:tcW w:w="3780" w:type="dxa"/>
            <w:shd w:val="clear" w:color="auto" w:fill="FFA5A5"/>
          </w:tcPr>
          <w:p w14:paraId="273DD04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96B6CEA"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DB6FCDB" w14:textId="77777777" w:rsidTr="00974425">
        <w:trPr>
          <w:trHeight w:val="376"/>
        </w:trPr>
        <w:tc>
          <w:tcPr>
            <w:tcW w:w="1634" w:type="dxa"/>
            <w:vMerge/>
          </w:tcPr>
          <w:p w14:paraId="5B9C9B98" w14:textId="77777777" w:rsidR="007D5E58" w:rsidRPr="005C579C" w:rsidRDefault="007D5E58" w:rsidP="00A53840">
            <w:pPr>
              <w:ind w:left="29" w:firstLine="0"/>
              <w:rPr>
                <w:rFonts w:cstheme="minorHAnsi"/>
                <w:sz w:val="20"/>
                <w:szCs w:val="20"/>
              </w:rPr>
            </w:pPr>
          </w:p>
        </w:tc>
        <w:tc>
          <w:tcPr>
            <w:tcW w:w="3330" w:type="dxa"/>
          </w:tcPr>
          <w:p w14:paraId="220A0CD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Assign people likely to be in long-term receipt of a benefit or with complex needs a dedicated case manager, and give such case managers small caseloads so they can adequately address the wellbeing of the person in need and their family or whānau.</w:t>
            </w:r>
          </w:p>
        </w:tc>
        <w:tc>
          <w:tcPr>
            <w:tcW w:w="1260" w:type="dxa"/>
            <w:vMerge/>
          </w:tcPr>
          <w:p w14:paraId="769B0F75" w14:textId="77777777" w:rsidR="007D5E58" w:rsidRPr="005C579C" w:rsidRDefault="007D5E58" w:rsidP="00974425">
            <w:pPr>
              <w:ind w:left="32" w:firstLine="0"/>
              <w:rPr>
                <w:rFonts w:cstheme="minorHAnsi"/>
                <w:sz w:val="20"/>
                <w:szCs w:val="20"/>
              </w:rPr>
            </w:pPr>
          </w:p>
        </w:tc>
        <w:tc>
          <w:tcPr>
            <w:tcW w:w="3150" w:type="dxa"/>
            <w:vMerge/>
          </w:tcPr>
          <w:p w14:paraId="35ACF1AB" w14:textId="77777777" w:rsidR="007D5E58" w:rsidRPr="005C579C" w:rsidRDefault="007D5E58" w:rsidP="00974425">
            <w:pPr>
              <w:ind w:left="48" w:firstLine="0"/>
              <w:rPr>
                <w:rFonts w:cstheme="minorHAnsi"/>
                <w:sz w:val="20"/>
                <w:szCs w:val="20"/>
              </w:rPr>
            </w:pPr>
          </w:p>
        </w:tc>
        <w:tc>
          <w:tcPr>
            <w:tcW w:w="3780" w:type="dxa"/>
            <w:shd w:val="clear" w:color="auto" w:fill="FFA5A5"/>
          </w:tcPr>
          <w:p w14:paraId="46BFF1D5"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CAD4182"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08F68CBB" w14:textId="77777777" w:rsidTr="00974425">
        <w:trPr>
          <w:trHeight w:val="376"/>
        </w:trPr>
        <w:tc>
          <w:tcPr>
            <w:tcW w:w="1634" w:type="dxa"/>
            <w:vMerge/>
          </w:tcPr>
          <w:p w14:paraId="600F3539" w14:textId="77777777" w:rsidR="007D5E58" w:rsidRPr="005C579C" w:rsidRDefault="007D5E58" w:rsidP="00A53840">
            <w:pPr>
              <w:ind w:left="29" w:firstLine="0"/>
              <w:rPr>
                <w:rFonts w:cstheme="minorHAnsi"/>
                <w:sz w:val="20"/>
                <w:szCs w:val="20"/>
              </w:rPr>
            </w:pPr>
          </w:p>
        </w:tc>
        <w:tc>
          <w:tcPr>
            <w:tcW w:w="3330" w:type="dxa"/>
          </w:tcPr>
          <w:p w14:paraId="4279B97A"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Resource the workforce adequately, and streamline systems in consultation with the frontline workforce to improve work flow and recipient service experience.</w:t>
            </w:r>
          </w:p>
        </w:tc>
        <w:tc>
          <w:tcPr>
            <w:tcW w:w="1260" w:type="dxa"/>
            <w:vMerge/>
          </w:tcPr>
          <w:p w14:paraId="52CD5B21" w14:textId="77777777" w:rsidR="007D5E58" w:rsidRPr="005C579C" w:rsidRDefault="007D5E58" w:rsidP="00974425">
            <w:pPr>
              <w:ind w:left="32" w:firstLine="0"/>
              <w:rPr>
                <w:rFonts w:cstheme="minorHAnsi"/>
                <w:sz w:val="20"/>
                <w:szCs w:val="20"/>
              </w:rPr>
            </w:pPr>
          </w:p>
        </w:tc>
        <w:tc>
          <w:tcPr>
            <w:tcW w:w="3150" w:type="dxa"/>
            <w:vMerge/>
          </w:tcPr>
          <w:p w14:paraId="2B2DEAB7" w14:textId="77777777" w:rsidR="007D5E58" w:rsidRPr="005C579C" w:rsidRDefault="007D5E58" w:rsidP="00974425">
            <w:pPr>
              <w:ind w:left="48" w:firstLine="0"/>
              <w:rPr>
                <w:rFonts w:cstheme="minorHAnsi"/>
                <w:sz w:val="20"/>
                <w:szCs w:val="20"/>
              </w:rPr>
            </w:pPr>
          </w:p>
        </w:tc>
        <w:tc>
          <w:tcPr>
            <w:tcW w:w="3780" w:type="dxa"/>
            <w:shd w:val="clear" w:color="auto" w:fill="FFA5A5"/>
          </w:tcPr>
          <w:p w14:paraId="1B922D46"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1DF9226"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6D0ABD5" w14:textId="77777777" w:rsidTr="00974425">
        <w:trPr>
          <w:trHeight w:val="376"/>
        </w:trPr>
        <w:tc>
          <w:tcPr>
            <w:tcW w:w="1634" w:type="dxa"/>
            <w:vMerge/>
          </w:tcPr>
          <w:p w14:paraId="75819C00" w14:textId="77777777" w:rsidR="007D5E58" w:rsidRPr="005C579C" w:rsidRDefault="007D5E58" w:rsidP="00A53840">
            <w:pPr>
              <w:ind w:left="29" w:firstLine="0"/>
              <w:rPr>
                <w:rFonts w:cstheme="minorHAnsi"/>
                <w:sz w:val="20"/>
                <w:szCs w:val="20"/>
              </w:rPr>
            </w:pPr>
          </w:p>
        </w:tc>
        <w:tc>
          <w:tcPr>
            <w:tcW w:w="3330" w:type="dxa"/>
          </w:tcPr>
          <w:p w14:paraId="084AA37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Put people at the centre of decision making, seek feedback from staff about how system changes affect their roles, and empower staff to work proactively to enhance the mana of benefit recipients</w:t>
            </w:r>
          </w:p>
        </w:tc>
        <w:tc>
          <w:tcPr>
            <w:tcW w:w="1260" w:type="dxa"/>
            <w:vMerge/>
          </w:tcPr>
          <w:p w14:paraId="326CC7D8" w14:textId="77777777" w:rsidR="007D5E58" w:rsidRPr="005C579C" w:rsidRDefault="007D5E58" w:rsidP="00974425">
            <w:pPr>
              <w:ind w:left="32" w:firstLine="0"/>
              <w:rPr>
                <w:rFonts w:cstheme="minorHAnsi"/>
                <w:sz w:val="20"/>
                <w:szCs w:val="20"/>
              </w:rPr>
            </w:pPr>
          </w:p>
        </w:tc>
        <w:tc>
          <w:tcPr>
            <w:tcW w:w="3150" w:type="dxa"/>
            <w:vMerge/>
          </w:tcPr>
          <w:p w14:paraId="123B803D" w14:textId="77777777" w:rsidR="007D5E58" w:rsidRPr="005C579C" w:rsidRDefault="007D5E58" w:rsidP="00974425">
            <w:pPr>
              <w:ind w:left="48" w:firstLine="0"/>
              <w:rPr>
                <w:rFonts w:cstheme="minorHAnsi"/>
                <w:sz w:val="20"/>
                <w:szCs w:val="20"/>
              </w:rPr>
            </w:pPr>
          </w:p>
        </w:tc>
        <w:tc>
          <w:tcPr>
            <w:tcW w:w="3780" w:type="dxa"/>
            <w:shd w:val="clear" w:color="auto" w:fill="FFA5A5"/>
          </w:tcPr>
          <w:p w14:paraId="0FB364AD"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02A0362"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873B937" w14:textId="77777777" w:rsidTr="00974425">
        <w:trPr>
          <w:trHeight w:val="376"/>
        </w:trPr>
        <w:tc>
          <w:tcPr>
            <w:tcW w:w="1634" w:type="dxa"/>
            <w:vMerge/>
          </w:tcPr>
          <w:p w14:paraId="5E5CCD23" w14:textId="77777777" w:rsidR="007D5E58" w:rsidRPr="005C579C" w:rsidRDefault="007D5E58" w:rsidP="00A53840">
            <w:pPr>
              <w:ind w:left="29" w:firstLine="0"/>
              <w:rPr>
                <w:rFonts w:cstheme="minorHAnsi"/>
                <w:sz w:val="20"/>
                <w:szCs w:val="20"/>
              </w:rPr>
            </w:pPr>
          </w:p>
        </w:tc>
        <w:tc>
          <w:tcPr>
            <w:tcW w:w="3330" w:type="dxa"/>
          </w:tcPr>
          <w:p w14:paraId="2936B1DA"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Provide multiple channels for service so applicants can access assistance through whichever channel they are most comfortable using.</w:t>
            </w:r>
          </w:p>
        </w:tc>
        <w:tc>
          <w:tcPr>
            <w:tcW w:w="1260" w:type="dxa"/>
            <w:vMerge/>
          </w:tcPr>
          <w:p w14:paraId="3251AE85" w14:textId="77777777" w:rsidR="007D5E58" w:rsidRPr="005C579C" w:rsidRDefault="007D5E58" w:rsidP="00974425">
            <w:pPr>
              <w:ind w:left="32" w:firstLine="0"/>
              <w:rPr>
                <w:rFonts w:cstheme="minorHAnsi"/>
                <w:sz w:val="20"/>
                <w:szCs w:val="20"/>
              </w:rPr>
            </w:pPr>
          </w:p>
        </w:tc>
        <w:tc>
          <w:tcPr>
            <w:tcW w:w="3150" w:type="dxa"/>
            <w:vMerge/>
          </w:tcPr>
          <w:p w14:paraId="02A0F23F" w14:textId="77777777" w:rsidR="007D5E58" w:rsidRPr="005C579C" w:rsidRDefault="007D5E58" w:rsidP="00974425">
            <w:pPr>
              <w:ind w:left="48" w:firstLine="0"/>
              <w:rPr>
                <w:rFonts w:cstheme="minorHAnsi"/>
                <w:sz w:val="20"/>
                <w:szCs w:val="20"/>
              </w:rPr>
            </w:pPr>
          </w:p>
        </w:tc>
        <w:tc>
          <w:tcPr>
            <w:tcW w:w="3780" w:type="dxa"/>
            <w:shd w:val="clear" w:color="auto" w:fill="FFA5A5"/>
          </w:tcPr>
          <w:p w14:paraId="737A0AC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BFBDDAB"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7A34595" w14:textId="77777777" w:rsidTr="00974425">
        <w:trPr>
          <w:trHeight w:val="376"/>
        </w:trPr>
        <w:tc>
          <w:tcPr>
            <w:tcW w:w="1634" w:type="dxa"/>
            <w:vMerge/>
          </w:tcPr>
          <w:p w14:paraId="0A9579DB" w14:textId="77777777" w:rsidR="007D5E58" w:rsidRPr="005C579C" w:rsidRDefault="007D5E58" w:rsidP="00A53840">
            <w:pPr>
              <w:ind w:left="29" w:firstLine="0"/>
              <w:rPr>
                <w:rFonts w:cstheme="minorHAnsi"/>
                <w:sz w:val="20"/>
                <w:szCs w:val="20"/>
              </w:rPr>
            </w:pPr>
          </w:p>
        </w:tc>
        <w:tc>
          <w:tcPr>
            <w:tcW w:w="3330" w:type="dxa"/>
          </w:tcPr>
          <w:p w14:paraId="2370783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Take a Whānau Ora-type approach where the complexity of a person’s situation means multiple agencies are involved and skilled navigators support the person’s interactions with the agencies and community organisations.</w:t>
            </w:r>
          </w:p>
        </w:tc>
        <w:tc>
          <w:tcPr>
            <w:tcW w:w="1260" w:type="dxa"/>
            <w:vMerge/>
          </w:tcPr>
          <w:p w14:paraId="2CC1800C" w14:textId="77777777" w:rsidR="007D5E58" w:rsidRPr="005C579C" w:rsidRDefault="007D5E58" w:rsidP="00974425">
            <w:pPr>
              <w:ind w:left="32" w:firstLine="0"/>
              <w:rPr>
                <w:rFonts w:cstheme="minorHAnsi"/>
                <w:sz w:val="20"/>
                <w:szCs w:val="20"/>
              </w:rPr>
            </w:pPr>
          </w:p>
        </w:tc>
        <w:tc>
          <w:tcPr>
            <w:tcW w:w="3150" w:type="dxa"/>
            <w:vMerge/>
          </w:tcPr>
          <w:p w14:paraId="165A1591" w14:textId="77777777" w:rsidR="007D5E58" w:rsidRPr="005C579C" w:rsidRDefault="007D5E58" w:rsidP="00974425">
            <w:pPr>
              <w:ind w:left="48" w:firstLine="0"/>
              <w:rPr>
                <w:rFonts w:cstheme="minorHAnsi"/>
                <w:sz w:val="20"/>
                <w:szCs w:val="20"/>
              </w:rPr>
            </w:pPr>
          </w:p>
        </w:tc>
        <w:tc>
          <w:tcPr>
            <w:tcW w:w="3780" w:type="dxa"/>
            <w:shd w:val="clear" w:color="auto" w:fill="FFA5A5"/>
          </w:tcPr>
          <w:p w14:paraId="18FA20EA"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ECD5E3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06FC5AB" w14:textId="77777777" w:rsidTr="00974425">
        <w:trPr>
          <w:trHeight w:val="375"/>
        </w:trPr>
        <w:tc>
          <w:tcPr>
            <w:tcW w:w="1634" w:type="dxa"/>
            <w:vMerge w:val="restart"/>
          </w:tcPr>
          <w:p w14:paraId="0DB13F6C" w14:textId="77777777" w:rsidR="007D5E58" w:rsidRPr="005C579C" w:rsidRDefault="007D5E58" w:rsidP="00A53840">
            <w:pPr>
              <w:ind w:left="29" w:firstLine="0"/>
              <w:rPr>
                <w:rFonts w:cstheme="minorHAnsi"/>
                <w:sz w:val="20"/>
                <w:szCs w:val="20"/>
              </w:rPr>
            </w:pPr>
            <w:r w:rsidRPr="005C579C">
              <w:rPr>
                <w:rFonts w:cstheme="minorHAnsi"/>
                <w:sz w:val="20"/>
                <w:szCs w:val="20"/>
              </w:rPr>
              <w:t>Ways to minimise the creation of overpayments and reduce overall indebtedness</w:t>
            </w:r>
          </w:p>
        </w:tc>
        <w:tc>
          <w:tcPr>
            <w:tcW w:w="3330" w:type="dxa"/>
          </w:tcPr>
          <w:p w14:paraId="63DAC0F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all hardship payments and ensure eligibility is in line with the new purpose and principles of the Social Security Act.</w:t>
            </w:r>
          </w:p>
        </w:tc>
        <w:tc>
          <w:tcPr>
            <w:tcW w:w="1260" w:type="dxa"/>
            <w:vMerge w:val="restart"/>
          </w:tcPr>
          <w:p w14:paraId="5A2A90EF" w14:textId="77777777" w:rsidR="007D5E58" w:rsidRPr="005C579C" w:rsidRDefault="007D5E58" w:rsidP="00974425">
            <w:pPr>
              <w:ind w:left="32" w:firstLine="0"/>
              <w:rPr>
                <w:rFonts w:cstheme="minorHAnsi"/>
                <w:sz w:val="20"/>
                <w:szCs w:val="20"/>
              </w:rPr>
            </w:pPr>
            <w:r w:rsidRPr="005C579C">
              <w:rPr>
                <w:rFonts w:cstheme="minorHAnsi"/>
                <w:sz w:val="20"/>
                <w:szCs w:val="20"/>
              </w:rPr>
              <w:t>Key Recs 14, 15 and 16; Ch 6</w:t>
            </w:r>
          </w:p>
        </w:tc>
        <w:tc>
          <w:tcPr>
            <w:tcW w:w="3150" w:type="dxa"/>
            <w:vMerge w:val="restart"/>
          </w:tcPr>
          <w:p w14:paraId="2E0717A9" w14:textId="13B90587"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reported that “The review of Hardship Assistance is underway, and a detailed initial update was provided to the Minister for Social Development and Employment in early August 2021”</w:t>
            </w:r>
            <w:r w:rsidR="00F35D44">
              <w:rPr>
                <w:rFonts w:cstheme="minorHAnsi"/>
                <w:sz w:val="20"/>
                <w:szCs w:val="20"/>
              </w:rPr>
              <w:t xml:space="preserve"> (MSD, 2021d).</w:t>
            </w:r>
          </w:p>
          <w:p w14:paraId="61238B61" w14:textId="77777777" w:rsidR="007D5E58" w:rsidRPr="005C579C" w:rsidRDefault="007D5E58" w:rsidP="00974425">
            <w:pPr>
              <w:ind w:left="48" w:firstLine="0"/>
              <w:rPr>
                <w:rFonts w:cstheme="minorHAnsi"/>
                <w:sz w:val="20"/>
                <w:szCs w:val="20"/>
              </w:rPr>
            </w:pPr>
          </w:p>
          <w:p w14:paraId="2BA6F20A" w14:textId="17E0A93A" w:rsidR="007D5E58" w:rsidRPr="005C579C" w:rsidRDefault="007D5E58" w:rsidP="00974425">
            <w:pPr>
              <w:ind w:left="48" w:firstLine="0"/>
              <w:rPr>
                <w:rFonts w:cstheme="minorHAnsi"/>
                <w:sz w:val="20"/>
                <w:szCs w:val="20"/>
              </w:rPr>
            </w:pPr>
            <w:r w:rsidRPr="005C579C">
              <w:rPr>
                <w:rFonts w:cstheme="minorHAnsi"/>
                <w:sz w:val="20"/>
                <w:szCs w:val="20"/>
              </w:rPr>
              <w:t>The Cabinet paper appendix also stated that “the DPMC-led cross-agency debt to government working group advised joint Ministers that progressing alignment would have undesirable affects, such as the introduction of interest and penalties which MSD does not currently apply”</w:t>
            </w:r>
            <w:r w:rsidR="00F35D44">
              <w:rPr>
                <w:rFonts w:cstheme="minorHAnsi"/>
                <w:sz w:val="20"/>
                <w:szCs w:val="20"/>
              </w:rPr>
              <w:t xml:space="preserve"> (MSD, 2021d).</w:t>
            </w:r>
          </w:p>
          <w:p w14:paraId="3EA02F64" w14:textId="77777777" w:rsidR="007D5E58" w:rsidRPr="005C579C" w:rsidRDefault="007D5E58" w:rsidP="00974425">
            <w:pPr>
              <w:ind w:left="48" w:firstLine="0"/>
              <w:rPr>
                <w:rFonts w:cstheme="minorHAnsi"/>
                <w:sz w:val="20"/>
                <w:szCs w:val="20"/>
              </w:rPr>
            </w:pPr>
          </w:p>
          <w:p w14:paraId="2246ED4A" w14:textId="55B64F6C" w:rsidR="007D5E58" w:rsidRPr="005C579C" w:rsidRDefault="007D5E58" w:rsidP="00974425">
            <w:pPr>
              <w:ind w:left="48" w:firstLine="0"/>
              <w:rPr>
                <w:rFonts w:cstheme="minorHAnsi"/>
                <w:sz w:val="20"/>
                <w:szCs w:val="20"/>
              </w:rPr>
            </w:pPr>
            <w:r w:rsidRPr="005C579C">
              <w:rPr>
                <w:rFonts w:cstheme="minorHAnsi"/>
                <w:sz w:val="20"/>
                <w:szCs w:val="20"/>
              </w:rPr>
              <w:t>In November 2019, the Government stated that over the ‘longer-term’, officials will consider seeking alignment of approaches to interest and penalty rates, as well as approaches to write-off, across agencies</w:t>
            </w:r>
            <w:r w:rsidR="0079329B">
              <w:rPr>
                <w:rFonts w:cstheme="minorHAnsi"/>
                <w:sz w:val="20"/>
                <w:szCs w:val="20"/>
              </w:rPr>
              <w:t xml:space="preserve"> (MSD, 2019a).</w:t>
            </w:r>
          </w:p>
          <w:p w14:paraId="160A012F" w14:textId="77777777" w:rsidR="007D5E58" w:rsidRPr="005C579C" w:rsidRDefault="007D5E58" w:rsidP="00974425">
            <w:pPr>
              <w:ind w:left="48" w:firstLine="0"/>
              <w:rPr>
                <w:rFonts w:cstheme="minorHAnsi"/>
                <w:sz w:val="20"/>
                <w:szCs w:val="20"/>
              </w:rPr>
            </w:pPr>
          </w:p>
          <w:p w14:paraId="18DC1EA0" w14:textId="77777777" w:rsidR="007D5E58" w:rsidRPr="005C579C" w:rsidRDefault="007D5E58" w:rsidP="00974425">
            <w:pPr>
              <w:ind w:left="48" w:firstLine="0"/>
              <w:rPr>
                <w:rFonts w:cstheme="minorHAnsi"/>
                <w:sz w:val="20"/>
                <w:szCs w:val="20"/>
              </w:rPr>
            </w:pPr>
          </w:p>
        </w:tc>
        <w:tc>
          <w:tcPr>
            <w:tcW w:w="3780" w:type="dxa"/>
            <w:shd w:val="clear" w:color="auto" w:fill="FFA5A5"/>
          </w:tcPr>
          <w:p w14:paraId="4F8F9C97"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3773D1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1A38749" w14:textId="77777777" w:rsidTr="00974425">
        <w:trPr>
          <w:trHeight w:val="375"/>
        </w:trPr>
        <w:tc>
          <w:tcPr>
            <w:tcW w:w="1634" w:type="dxa"/>
            <w:vMerge/>
          </w:tcPr>
          <w:p w14:paraId="7AFF05F0" w14:textId="77777777" w:rsidR="007D5E58" w:rsidRPr="005C579C" w:rsidRDefault="007D5E58" w:rsidP="00A53840">
            <w:pPr>
              <w:ind w:left="29" w:firstLine="0"/>
              <w:rPr>
                <w:rFonts w:cstheme="minorHAnsi"/>
                <w:sz w:val="20"/>
                <w:szCs w:val="20"/>
              </w:rPr>
            </w:pPr>
          </w:p>
        </w:tc>
        <w:tc>
          <w:tcPr>
            <w:tcW w:w="3330" w:type="dxa"/>
          </w:tcPr>
          <w:p w14:paraId="2493B9B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Give MSD the mandate to improve, simplify and redesign practice around income declarations.</w:t>
            </w:r>
          </w:p>
        </w:tc>
        <w:tc>
          <w:tcPr>
            <w:tcW w:w="1260" w:type="dxa"/>
            <w:vMerge/>
          </w:tcPr>
          <w:p w14:paraId="52480F6C" w14:textId="77777777" w:rsidR="007D5E58" w:rsidRPr="005C579C" w:rsidRDefault="007D5E58" w:rsidP="00974425">
            <w:pPr>
              <w:ind w:left="32" w:firstLine="0"/>
              <w:rPr>
                <w:rFonts w:cstheme="minorHAnsi"/>
                <w:sz w:val="20"/>
                <w:szCs w:val="20"/>
              </w:rPr>
            </w:pPr>
          </w:p>
        </w:tc>
        <w:tc>
          <w:tcPr>
            <w:tcW w:w="3150" w:type="dxa"/>
            <w:vMerge/>
          </w:tcPr>
          <w:p w14:paraId="318484B1" w14:textId="77777777" w:rsidR="007D5E58" w:rsidRPr="005C579C" w:rsidRDefault="007D5E58" w:rsidP="00974425">
            <w:pPr>
              <w:ind w:left="48" w:firstLine="0"/>
              <w:rPr>
                <w:rFonts w:cstheme="minorHAnsi"/>
                <w:sz w:val="20"/>
                <w:szCs w:val="20"/>
              </w:rPr>
            </w:pPr>
          </w:p>
        </w:tc>
        <w:tc>
          <w:tcPr>
            <w:tcW w:w="3780" w:type="dxa"/>
            <w:shd w:val="clear" w:color="auto" w:fill="FFA5A5"/>
          </w:tcPr>
          <w:p w14:paraId="43E347B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142903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F05796A" w14:textId="77777777" w:rsidTr="00974425">
        <w:trPr>
          <w:trHeight w:val="375"/>
        </w:trPr>
        <w:tc>
          <w:tcPr>
            <w:tcW w:w="1634" w:type="dxa"/>
            <w:vMerge/>
          </w:tcPr>
          <w:p w14:paraId="2989FEA6" w14:textId="77777777" w:rsidR="007D5E58" w:rsidRPr="005C579C" w:rsidRDefault="007D5E58" w:rsidP="00A53840">
            <w:pPr>
              <w:ind w:left="29" w:firstLine="0"/>
              <w:rPr>
                <w:rFonts w:cstheme="minorHAnsi"/>
                <w:sz w:val="20"/>
                <w:szCs w:val="20"/>
              </w:rPr>
            </w:pPr>
          </w:p>
        </w:tc>
        <w:tc>
          <w:tcPr>
            <w:tcW w:w="3330" w:type="dxa"/>
          </w:tcPr>
          <w:p w14:paraId="2DFAE06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funding for community initiatives that promote financial literacy and for debt reduction, such as no interest, no fee and debt consolidation loans.</w:t>
            </w:r>
          </w:p>
        </w:tc>
        <w:tc>
          <w:tcPr>
            <w:tcW w:w="1260" w:type="dxa"/>
            <w:vMerge/>
          </w:tcPr>
          <w:p w14:paraId="0C7E93F3" w14:textId="77777777" w:rsidR="007D5E58" w:rsidRPr="005C579C" w:rsidRDefault="007D5E58" w:rsidP="00974425">
            <w:pPr>
              <w:ind w:left="32" w:firstLine="0"/>
              <w:rPr>
                <w:rFonts w:cstheme="minorHAnsi"/>
                <w:sz w:val="20"/>
                <w:szCs w:val="20"/>
              </w:rPr>
            </w:pPr>
          </w:p>
        </w:tc>
        <w:tc>
          <w:tcPr>
            <w:tcW w:w="3150" w:type="dxa"/>
            <w:vMerge/>
          </w:tcPr>
          <w:p w14:paraId="6EFE9948" w14:textId="77777777" w:rsidR="007D5E58" w:rsidRPr="005C579C" w:rsidRDefault="007D5E58" w:rsidP="00974425">
            <w:pPr>
              <w:ind w:left="48" w:firstLine="0"/>
              <w:rPr>
                <w:rFonts w:cstheme="minorHAnsi"/>
                <w:sz w:val="20"/>
                <w:szCs w:val="20"/>
              </w:rPr>
            </w:pPr>
          </w:p>
        </w:tc>
        <w:tc>
          <w:tcPr>
            <w:tcW w:w="3780" w:type="dxa"/>
            <w:shd w:val="clear" w:color="auto" w:fill="A8D08D" w:themeFill="accent6" w:themeFillTint="99"/>
          </w:tcPr>
          <w:p w14:paraId="384B4E5A"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Fully implemented </w:t>
            </w:r>
          </w:p>
          <w:p w14:paraId="3C099B74" w14:textId="77777777" w:rsidR="007D5E58" w:rsidRPr="005C579C" w:rsidRDefault="007D5E58" w:rsidP="00974425">
            <w:pPr>
              <w:ind w:left="16" w:firstLine="0"/>
              <w:rPr>
                <w:rFonts w:cstheme="minorHAnsi"/>
                <w:sz w:val="20"/>
                <w:szCs w:val="20"/>
              </w:rPr>
            </w:pPr>
            <w:r w:rsidRPr="005C579C">
              <w:rPr>
                <w:rFonts w:cstheme="minorHAnsi"/>
                <w:sz w:val="20"/>
                <w:szCs w:val="20"/>
              </w:rPr>
              <w:t>[Erratum: our November 2020 stocktake stated no evidence of implementation, which was not correct]</w:t>
            </w:r>
          </w:p>
          <w:p w14:paraId="579D72ED" w14:textId="77777777" w:rsidR="007D5E58" w:rsidRPr="005C579C" w:rsidRDefault="007D5E58" w:rsidP="00974425">
            <w:pPr>
              <w:ind w:left="16" w:firstLine="0"/>
              <w:rPr>
                <w:rFonts w:cstheme="minorHAnsi"/>
                <w:sz w:val="20"/>
                <w:szCs w:val="20"/>
              </w:rPr>
            </w:pPr>
          </w:p>
          <w:p w14:paraId="4E4EDA5E" w14:textId="30954CCF" w:rsidR="007D5E58" w:rsidRPr="005C579C" w:rsidRDefault="007D5E58" w:rsidP="00974425">
            <w:pPr>
              <w:ind w:left="16" w:firstLine="0"/>
              <w:rPr>
                <w:rFonts w:cstheme="minorHAnsi"/>
                <w:sz w:val="20"/>
                <w:szCs w:val="20"/>
              </w:rPr>
            </w:pPr>
            <w:r w:rsidRPr="005C579C">
              <w:rPr>
                <w:rFonts w:cstheme="minorHAnsi"/>
                <w:sz w:val="20"/>
                <w:szCs w:val="20"/>
              </w:rPr>
              <w:t>Budget 2020 included an investment of $39.2 million over four years in Building Financial Capability services</w:t>
            </w:r>
            <w:r w:rsidR="00F35D44">
              <w:rPr>
                <w:rFonts w:cstheme="minorHAnsi"/>
                <w:sz w:val="20"/>
                <w:szCs w:val="20"/>
              </w:rPr>
              <w:t xml:space="preserve"> (MSD, 2020e)</w:t>
            </w:r>
            <w:r w:rsidRPr="005C579C">
              <w:rPr>
                <w:rFonts w:cstheme="minorHAnsi"/>
                <w:sz w:val="20"/>
                <w:szCs w:val="20"/>
              </w:rPr>
              <w:t xml:space="preserve">. This includes supporting increased demand for financial mentoring services and expanding specialist debt services. </w:t>
            </w:r>
          </w:p>
        </w:tc>
        <w:tc>
          <w:tcPr>
            <w:tcW w:w="1447" w:type="dxa"/>
            <w:shd w:val="clear" w:color="auto" w:fill="auto"/>
          </w:tcPr>
          <w:p w14:paraId="421C340C" w14:textId="77777777" w:rsidR="007D5E58" w:rsidRPr="005C579C" w:rsidRDefault="007D5E58" w:rsidP="00974425">
            <w:pPr>
              <w:ind w:left="63" w:firstLine="0"/>
              <w:rPr>
                <w:rFonts w:cstheme="minorHAnsi"/>
                <w:sz w:val="20"/>
                <w:szCs w:val="20"/>
              </w:rPr>
            </w:pPr>
            <w:r w:rsidRPr="005C579C">
              <w:rPr>
                <w:rFonts w:cstheme="minorHAnsi"/>
                <w:sz w:val="20"/>
                <w:szCs w:val="20"/>
              </w:rPr>
              <w:t>Fully implemented. No change since November 2020.</w:t>
            </w:r>
          </w:p>
        </w:tc>
      </w:tr>
      <w:tr w:rsidR="007D5E58" w:rsidRPr="005A73F9" w14:paraId="1EFF2D17" w14:textId="77777777" w:rsidTr="00974425">
        <w:trPr>
          <w:trHeight w:val="375"/>
        </w:trPr>
        <w:tc>
          <w:tcPr>
            <w:tcW w:w="1634" w:type="dxa"/>
            <w:vMerge/>
          </w:tcPr>
          <w:p w14:paraId="200FB52C" w14:textId="77777777" w:rsidR="007D5E58" w:rsidRPr="005C579C" w:rsidRDefault="007D5E58" w:rsidP="00A53840">
            <w:pPr>
              <w:ind w:left="29" w:firstLine="0"/>
              <w:rPr>
                <w:rFonts w:cstheme="minorHAnsi"/>
                <w:sz w:val="20"/>
                <w:szCs w:val="20"/>
              </w:rPr>
            </w:pPr>
          </w:p>
        </w:tc>
        <w:tc>
          <w:tcPr>
            <w:tcW w:w="3330" w:type="dxa"/>
          </w:tcPr>
          <w:p w14:paraId="15A60E69"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Introduce a scheme of incentivising benefit debt repayment, such as a Matched Debt Reduction Scheme, to reduce outstanding benefit debt.</w:t>
            </w:r>
          </w:p>
        </w:tc>
        <w:tc>
          <w:tcPr>
            <w:tcW w:w="1260" w:type="dxa"/>
            <w:vMerge/>
          </w:tcPr>
          <w:p w14:paraId="1E83992E" w14:textId="77777777" w:rsidR="007D5E58" w:rsidRPr="005C579C" w:rsidRDefault="007D5E58" w:rsidP="00974425">
            <w:pPr>
              <w:ind w:left="32" w:firstLine="0"/>
              <w:rPr>
                <w:rFonts w:cstheme="minorHAnsi"/>
                <w:sz w:val="20"/>
                <w:szCs w:val="20"/>
              </w:rPr>
            </w:pPr>
          </w:p>
        </w:tc>
        <w:tc>
          <w:tcPr>
            <w:tcW w:w="3150" w:type="dxa"/>
            <w:vMerge/>
          </w:tcPr>
          <w:p w14:paraId="399834AE" w14:textId="77777777" w:rsidR="007D5E58" w:rsidRPr="005C579C" w:rsidRDefault="007D5E58" w:rsidP="00974425">
            <w:pPr>
              <w:ind w:left="48" w:firstLine="0"/>
              <w:rPr>
                <w:rFonts w:cstheme="minorHAnsi"/>
                <w:sz w:val="20"/>
                <w:szCs w:val="20"/>
              </w:rPr>
            </w:pPr>
          </w:p>
        </w:tc>
        <w:tc>
          <w:tcPr>
            <w:tcW w:w="3780" w:type="dxa"/>
            <w:shd w:val="clear" w:color="auto" w:fill="FFA5A5"/>
          </w:tcPr>
          <w:p w14:paraId="1F29CF2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21FDD4A1" w14:textId="77777777" w:rsidR="007D5E58" w:rsidRPr="005C579C" w:rsidRDefault="007D5E58" w:rsidP="00974425">
            <w:pPr>
              <w:ind w:left="16" w:firstLine="0"/>
              <w:rPr>
                <w:rFonts w:cstheme="minorHAnsi"/>
                <w:sz w:val="20"/>
                <w:szCs w:val="20"/>
              </w:rPr>
            </w:pPr>
          </w:p>
          <w:p w14:paraId="21D2F1D1" w14:textId="34AE8668" w:rsidR="007D5E58" w:rsidRPr="005C579C" w:rsidRDefault="007D5E58" w:rsidP="00974425">
            <w:pPr>
              <w:ind w:left="16" w:firstLine="0"/>
              <w:rPr>
                <w:rFonts w:cstheme="minorHAnsi"/>
                <w:sz w:val="20"/>
                <w:szCs w:val="20"/>
              </w:rPr>
            </w:pPr>
            <w:r w:rsidRPr="005C579C">
              <w:rPr>
                <w:rFonts w:cstheme="minorHAnsi"/>
                <w:sz w:val="20"/>
                <w:szCs w:val="20"/>
              </w:rPr>
              <w:t>According to data accessed under OIA request, outstanding benefit debt continues to rise; as at June 2021, the median debt of benefit recipients was up 24% since June 2019, and the number of clients with debts rose 19% between June 2019 and 2021</w:t>
            </w:r>
            <w:r w:rsidR="0079329B">
              <w:rPr>
                <w:rFonts w:cstheme="minorHAnsi"/>
                <w:sz w:val="20"/>
                <w:szCs w:val="20"/>
              </w:rPr>
              <w:t xml:space="preserve"> (MSD, 2021</w:t>
            </w:r>
            <w:r w:rsidR="00E13DBF">
              <w:rPr>
                <w:rFonts w:cstheme="minorHAnsi"/>
                <w:sz w:val="20"/>
                <w:szCs w:val="20"/>
              </w:rPr>
              <w:t>f</w:t>
            </w:r>
            <w:r w:rsidR="0079329B">
              <w:rPr>
                <w:rFonts w:cstheme="minorHAnsi"/>
                <w:sz w:val="20"/>
                <w:szCs w:val="20"/>
              </w:rPr>
              <w:t>).</w:t>
            </w:r>
          </w:p>
        </w:tc>
        <w:tc>
          <w:tcPr>
            <w:tcW w:w="1447" w:type="dxa"/>
            <w:shd w:val="clear" w:color="auto" w:fill="auto"/>
          </w:tcPr>
          <w:p w14:paraId="3493A3C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560004C" w14:textId="77777777" w:rsidTr="00974425">
        <w:trPr>
          <w:trHeight w:val="375"/>
        </w:trPr>
        <w:tc>
          <w:tcPr>
            <w:tcW w:w="1634" w:type="dxa"/>
            <w:vMerge/>
          </w:tcPr>
          <w:p w14:paraId="3E718161" w14:textId="77777777" w:rsidR="007D5E58" w:rsidRPr="005C579C" w:rsidRDefault="007D5E58" w:rsidP="00A53840">
            <w:pPr>
              <w:ind w:left="29" w:firstLine="0"/>
              <w:rPr>
                <w:rFonts w:cstheme="minorHAnsi"/>
                <w:sz w:val="20"/>
                <w:szCs w:val="20"/>
              </w:rPr>
            </w:pPr>
          </w:p>
        </w:tc>
        <w:tc>
          <w:tcPr>
            <w:tcW w:w="3330" w:type="dxa"/>
          </w:tcPr>
          <w:p w14:paraId="237D3EA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internal performance measures relating to debt, to bring them in line with the new purpose and principles.</w:t>
            </w:r>
          </w:p>
        </w:tc>
        <w:tc>
          <w:tcPr>
            <w:tcW w:w="1260" w:type="dxa"/>
            <w:vMerge/>
          </w:tcPr>
          <w:p w14:paraId="16D97366" w14:textId="77777777" w:rsidR="007D5E58" w:rsidRPr="005C579C" w:rsidRDefault="007D5E58" w:rsidP="00974425">
            <w:pPr>
              <w:ind w:left="32" w:firstLine="0"/>
              <w:rPr>
                <w:rFonts w:cstheme="minorHAnsi"/>
                <w:sz w:val="20"/>
                <w:szCs w:val="20"/>
              </w:rPr>
            </w:pPr>
          </w:p>
        </w:tc>
        <w:tc>
          <w:tcPr>
            <w:tcW w:w="3150" w:type="dxa"/>
            <w:vMerge/>
          </w:tcPr>
          <w:p w14:paraId="2F2CC4A8" w14:textId="77777777" w:rsidR="007D5E58" w:rsidRPr="005C579C" w:rsidRDefault="007D5E58" w:rsidP="00974425">
            <w:pPr>
              <w:ind w:left="48" w:firstLine="0"/>
              <w:rPr>
                <w:rFonts w:cstheme="minorHAnsi"/>
                <w:sz w:val="20"/>
                <w:szCs w:val="20"/>
              </w:rPr>
            </w:pPr>
          </w:p>
        </w:tc>
        <w:tc>
          <w:tcPr>
            <w:tcW w:w="3780" w:type="dxa"/>
            <w:shd w:val="clear" w:color="auto" w:fill="FFA5A5"/>
          </w:tcPr>
          <w:p w14:paraId="6381282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6CEDAF0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F54AC57" w14:textId="77777777" w:rsidTr="00974425">
        <w:trPr>
          <w:trHeight w:val="360"/>
        </w:trPr>
        <w:tc>
          <w:tcPr>
            <w:tcW w:w="1634" w:type="dxa"/>
            <w:vMerge w:val="restart"/>
          </w:tcPr>
          <w:p w14:paraId="7EF84756" w14:textId="77777777" w:rsidR="007D5E58" w:rsidRPr="005C579C" w:rsidRDefault="007D5E58" w:rsidP="00A53840">
            <w:pPr>
              <w:ind w:left="29" w:firstLine="0"/>
              <w:rPr>
                <w:rFonts w:cstheme="minorHAnsi"/>
                <w:sz w:val="20"/>
                <w:szCs w:val="20"/>
              </w:rPr>
            </w:pPr>
            <w:r w:rsidRPr="005C579C">
              <w:rPr>
                <w:rFonts w:cstheme="minorHAnsi"/>
                <w:sz w:val="20"/>
                <w:szCs w:val="20"/>
              </w:rPr>
              <w:t>Minimising the small amount of fraud</w:t>
            </w:r>
          </w:p>
        </w:tc>
        <w:tc>
          <w:tcPr>
            <w:tcW w:w="3330" w:type="dxa"/>
          </w:tcPr>
          <w:p w14:paraId="15D5A57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Endorse MSD's three-tiered approach towards alleged fraud.</w:t>
            </w:r>
          </w:p>
        </w:tc>
        <w:tc>
          <w:tcPr>
            <w:tcW w:w="1260" w:type="dxa"/>
            <w:vMerge w:val="restart"/>
          </w:tcPr>
          <w:p w14:paraId="40392CAE" w14:textId="77777777" w:rsidR="007D5E58" w:rsidRPr="005C579C" w:rsidRDefault="007D5E58" w:rsidP="00974425">
            <w:pPr>
              <w:ind w:left="32" w:firstLine="0"/>
              <w:rPr>
                <w:rFonts w:cstheme="minorHAnsi"/>
                <w:sz w:val="20"/>
                <w:szCs w:val="20"/>
              </w:rPr>
            </w:pPr>
            <w:r w:rsidRPr="005C579C">
              <w:rPr>
                <w:rFonts w:cstheme="minorHAnsi"/>
                <w:sz w:val="20"/>
                <w:szCs w:val="20"/>
              </w:rPr>
              <w:t>Key Rec 17; Ch 6</w:t>
            </w:r>
          </w:p>
        </w:tc>
        <w:tc>
          <w:tcPr>
            <w:tcW w:w="3150" w:type="dxa"/>
            <w:vMerge w:val="restart"/>
          </w:tcPr>
          <w:p w14:paraId="6C73EB5F"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A 27 September 2021 Cabinet paper stated that “The Minister of Social Development and Employment endorsed MSD’s approach to fraud, as suggested in recommendation 17, and will continue to ensure fraud is handled appropriately.” </w:t>
            </w:r>
          </w:p>
        </w:tc>
        <w:tc>
          <w:tcPr>
            <w:tcW w:w="3780" w:type="dxa"/>
            <w:shd w:val="clear" w:color="auto" w:fill="BCE292"/>
          </w:tcPr>
          <w:p w14:paraId="36198563" w14:textId="77777777" w:rsidR="007D5E58" w:rsidRPr="005C579C" w:rsidRDefault="007D5E58" w:rsidP="00974425">
            <w:pPr>
              <w:ind w:left="16" w:firstLine="0"/>
              <w:rPr>
                <w:rFonts w:cstheme="minorHAnsi"/>
                <w:sz w:val="20"/>
                <w:szCs w:val="20"/>
              </w:rPr>
            </w:pPr>
            <w:r w:rsidRPr="005C579C">
              <w:rPr>
                <w:rFonts w:cstheme="minorHAnsi"/>
                <w:sz w:val="20"/>
                <w:szCs w:val="20"/>
              </w:rPr>
              <w:t>Fully implemented.</w:t>
            </w:r>
          </w:p>
          <w:p w14:paraId="0C1EF3C5" w14:textId="77777777" w:rsidR="007D5E58" w:rsidRPr="005C579C" w:rsidRDefault="007D5E58" w:rsidP="00974425">
            <w:pPr>
              <w:ind w:left="16" w:firstLine="0"/>
              <w:rPr>
                <w:rFonts w:cstheme="minorHAnsi"/>
                <w:sz w:val="20"/>
                <w:szCs w:val="20"/>
              </w:rPr>
            </w:pPr>
          </w:p>
          <w:p w14:paraId="1A7A8703" w14:textId="37DB009A" w:rsidR="007D5E58" w:rsidRPr="005C579C" w:rsidRDefault="007D5E58" w:rsidP="00974425">
            <w:pPr>
              <w:ind w:left="16" w:firstLine="0"/>
              <w:rPr>
                <w:rFonts w:cstheme="minorHAnsi"/>
                <w:sz w:val="20"/>
                <w:szCs w:val="20"/>
              </w:rPr>
            </w:pPr>
            <w:r w:rsidRPr="005C579C">
              <w:rPr>
                <w:rFonts w:cstheme="minorHAnsi"/>
                <w:sz w:val="20"/>
                <w:szCs w:val="20"/>
              </w:rPr>
              <w:t>The three-tiered approach to managing fraud activity was implemented between November 2018 and February 2019 and remains in place, and the Government has stated that it endorses MSD’s approach</w:t>
            </w:r>
            <w:r w:rsidR="0079329B">
              <w:rPr>
                <w:rFonts w:cstheme="minorHAnsi"/>
                <w:sz w:val="20"/>
                <w:szCs w:val="20"/>
              </w:rPr>
              <w:t xml:space="preserve"> (MSD, 2019a).</w:t>
            </w:r>
          </w:p>
        </w:tc>
        <w:tc>
          <w:tcPr>
            <w:tcW w:w="1447" w:type="dxa"/>
            <w:shd w:val="clear" w:color="auto" w:fill="auto"/>
          </w:tcPr>
          <w:p w14:paraId="699A4BA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C1A645A" w14:textId="77777777" w:rsidTr="00974425">
        <w:trPr>
          <w:trHeight w:val="360"/>
        </w:trPr>
        <w:tc>
          <w:tcPr>
            <w:tcW w:w="1634" w:type="dxa"/>
            <w:vMerge/>
          </w:tcPr>
          <w:p w14:paraId="4E6476AC" w14:textId="77777777" w:rsidR="007D5E58" w:rsidRPr="005C579C" w:rsidRDefault="007D5E58" w:rsidP="00A53840">
            <w:pPr>
              <w:ind w:left="29" w:firstLine="0"/>
              <w:rPr>
                <w:rFonts w:cstheme="minorHAnsi"/>
                <w:sz w:val="20"/>
                <w:szCs w:val="20"/>
              </w:rPr>
            </w:pPr>
          </w:p>
        </w:tc>
        <w:tc>
          <w:tcPr>
            <w:tcW w:w="3330" w:type="dxa"/>
          </w:tcPr>
          <w:p w14:paraId="7F2981F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Introduce independent review proceedings prior to a Benefit Review Committee for prosecution investigations.</w:t>
            </w:r>
          </w:p>
        </w:tc>
        <w:tc>
          <w:tcPr>
            <w:tcW w:w="1260" w:type="dxa"/>
            <w:vMerge/>
          </w:tcPr>
          <w:p w14:paraId="766CE17C" w14:textId="77777777" w:rsidR="007D5E58" w:rsidRPr="005C579C" w:rsidRDefault="007D5E58" w:rsidP="00974425">
            <w:pPr>
              <w:ind w:left="32" w:firstLine="0"/>
              <w:rPr>
                <w:rFonts w:cstheme="minorHAnsi"/>
                <w:sz w:val="20"/>
                <w:szCs w:val="20"/>
              </w:rPr>
            </w:pPr>
          </w:p>
        </w:tc>
        <w:tc>
          <w:tcPr>
            <w:tcW w:w="3150" w:type="dxa"/>
            <w:vMerge/>
          </w:tcPr>
          <w:p w14:paraId="4A1347C2" w14:textId="77777777" w:rsidR="007D5E58" w:rsidRPr="005C579C" w:rsidRDefault="007D5E58" w:rsidP="00974425">
            <w:pPr>
              <w:ind w:left="48" w:firstLine="0"/>
              <w:rPr>
                <w:rFonts w:cstheme="minorHAnsi"/>
                <w:sz w:val="20"/>
                <w:szCs w:val="20"/>
              </w:rPr>
            </w:pPr>
          </w:p>
        </w:tc>
        <w:tc>
          <w:tcPr>
            <w:tcW w:w="3780" w:type="dxa"/>
            <w:shd w:val="clear" w:color="auto" w:fill="FFA5A5"/>
          </w:tcPr>
          <w:p w14:paraId="60B4C51A"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1FA584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F69E6B3" w14:textId="77777777" w:rsidTr="00974425">
        <w:trPr>
          <w:trHeight w:val="360"/>
        </w:trPr>
        <w:tc>
          <w:tcPr>
            <w:tcW w:w="1634" w:type="dxa"/>
            <w:vMerge/>
          </w:tcPr>
          <w:p w14:paraId="2B88BD7E" w14:textId="77777777" w:rsidR="007D5E58" w:rsidRPr="005C579C" w:rsidRDefault="007D5E58" w:rsidP="00A53840">
            <w:pPr>
              <w:ind w:left="29" w:firstLine="0"/>
              <w:rPr>
                <w:rFonts w:cstheme="minorHAnsi"/>
                <w:sz w:val="20"/>
                <w:szCs w:val="20"/>
              </w:rPr>
            </w:pPr>
          </w:p>
        </w:tc>
        <w:tc>
          <w:tcPr>
            <w:tcW w:w="3330" w:type="dxa"/>
          </w:tcPr>
          <w:p w14:paraId="37DA5AB9"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Explore and align prosecution practice with Inland Revenue’s approach to prosecution.</w:t>
            </w:r>
          </w:p>
        </w:tc>
        <w:tc>
          <w:tcPr>
            <w:tcW w:w="1260" w:type="dxa"/>
            <w:vMerge/>
          </w:tcPr>
          <w:p w14:paraId="4ED73DC7" w14:textId="77777777" w:rsidR="007D5E58" w:rsidRPr="005C579C" w:rsidRDefault="007D5E58" w:rsidP="00974425">
            <w:pPr>
              <w:ind w:left="32" w:firstLine="0"/>
              <w:rPr>
                <w:rFonts w:cstheme="minorHAnsi"/>
                <w:sz w:val="20"/>
                <w:szCs w:val="20"/>
              </w:rPr>
            </w:pPr>
          </w:p>
        </w:tc>
        <w:tc>
          <w:tcPr>
            <w:tcW w:w="3150" w:type="dxa"/>
            <w:vMerge/>
          </w:tcPr>
          <w:p w14:paraId="3269DB94" w14:textId="77777777" w:rsidR="007D5E58" w:rsidRPr="005C579C" w:rsidRDefault="007D5E58" w:rsidP="00974425">
            <w:pPr>
              <w:ind w:left="48" w:firstLine="0"/>
              <w:rPr>
                <w:rFonts w:cstheme="minorHAnsi"/>
                <w:sz w:val="20"/>
                <w:szCs w:val="20"/>
              </w:rPr>
            </w:pPr>
          </w:p>
        </w:tc>
        <w:tc>
          <w:tcPr>
            <w:tcW w:w="3780" w:type="dxa"/>
            <w:shd w:val="clear" w:color="auto" w:fill="FFA5A5"/>
          </w:tcPr>
          <w:p w14:paraId="22197FE7"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74C912B"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978699F" w14:textId="77777777" w:rsidTr="00974425">
        <w:trPr>
          <w:trHeight w:val="321"/>
        </w:trPr>
        <w:tc>
          <w:tcPr>
            <w:tcW w:w="1634" w:type="dxa"/>
            <w:vMerge w:val="restart"/>
          </w:tcPr>
          <w:p w14:paraId="7CC45730" w14:textId="77777777" w:rsidR="007D5E58" w:rsidRPr="005C579C" w:rsidRDefault="007D5E58" w:rsidP="00A53840">
            <w:pPr>
              <w:ind w:left="29" w:firstLine="0"/>
              <w:rPr>
                <w:rFonts w:cstheme="minorHAnsi"/>
                <w:sz w:val="20"/>
                <w:szCs w:val="20"/>
              </w:rPr>
            </w:pPr>
            <w:r w:rsidRPr="005C579C">
              <w:rPr>
                <w:rFonts w:cstheme="minorHAnsi"/>
                <w:sz w:val="20"/>
                <w:szCs w:val="20"/>
              </w:rPr>
              <w:t>Improving the service provided to people released from prison</w:t>
            </w:r>
          </w:p>
        </w:tc>
        <w:tc>
          <w:tcPr>
            <w:tcW w:w="3330" w:type="dxa"/>
          </w:tcPr>
          <w:p w14:paraId="1351B77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Scale up the Supporting Offenders into Employment intervention and MSD’s reintegration efforts, in conjunction with the Department of Corrections.</w:t>
            </w:r>
          </w:p>
        </w:tc>
        <w:tc>
          <w:tcPr>
            <w:tcW w:w="1260" w:type="dxa"/>
            <w:vMerge w:val="restart"/>
          </w:tcPr>
          <w:p w14:paraId="40F705D9" w14:textId="77777777" w:rsidR="007D5E58" w:rsidRPr="005C579C" w:rsidRDefault="007D5E58" w:rsidP="00974425">
            <w:pPr>
              <w:ind w:left="32" w:firstLine="0"/>
              <w:rPr>
                <w:rFonts w:cstheme="minorHAnsi"/>
                <w:sz w:val="20"/>
                <w:szCs w:val="20"/>
              </w:rPr>
            </w:pPr>
            <w:r w:rsidRPr="005C579C">
              <w:rPr>
                <w:rFonts w:cstheme="minorHAnsi"/>
                <w:sz w:val="20"/>
                <w:szCs w:val="20"/>
              </w:rPr>
              <w:t>Key Rec 18; Ch 6</w:t>
            </w:r>
          </w:p>
        </w:tc>
        <w:tc>
          <w:tcPr>
            <w:tcW w:w="3150" w:type="dxa"/>
            <w:vMerge w:val="restart"/>
          </w:tcPr>
          <w:p w14:paraId="5FA83E95" w14:textId="3ABCEDC8"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stated that “This is primarily being handled by the Department of Corrections”. The paper also stated that “As part of the Supporting Offenders into Employment service, MSD continues to provide tailored wrap-around support to eligible people before and after they are released from prison, to achieve their goals, secure and sustain employment and reduce recidivism”</w:t>
            </w:r>
            <w:r w:rsidR="00A024F1">
              <w:rPr>
                <w:rFonts w:cstheme="minorHAnsi"/>
                <w:sz w:val="20"/>
                <w:szCs w:val="20"/>
              </w:rPr>
              <w:t xml:space="preserve"> (MSD, 2021d).</w:t>
            </w:r>
          </w:p>
        </w:tc>
        <w:tc>
          <w:tcPr>
            <w:tcW w:w="3780" w:type="dxa"/>
            <w:shd w:val="clear" w:color="auto" w:fill="FFA5A5"/>
          </w:tcPr>
          <w:p w14:paraId="5475B16B"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No evidence of implementation. </w:t>
            </w:r>
          </w:p>
          <w:p w14:paraId="4224472A" w14:textId="77777777" w:rsidR="007D5E58" w:rsidRPr="005C579C" w:rsidRDefault="007D5E58" w:rsidP="00974425">
            <w:pPr>
              <w:ind w:left="16" w:firstLine="0"/>
              <w:rPr>
                <w:rFonts w:cstheme="minorHAnsi"/>
                <w:sz w:val="20"/>
                <w:szCs w:val="20"/>
              </w:rPr>
            </w:pPr>
          </w:p>
          <w:p w14:paraId="04CAE250" w14:textId="51FFC964" w:rsidR="007D5E58" w:rsidRPr="005C579C" w:rsidRDefault="007D5E58" w:rsidP="00974425">
            <w:pPr>
              <w:ind w:left="16" w:firstLine="0"/>
              <w:rPr>
                <w:rFonts w:cstheme="minorHAnsi"/>
                <w:sz w:val="20"/>
                <w:szCs w:val="20"/>
              </w:rPr>
            </w:pPr>
            <w:r w:rsidRPr="005C579C">
              <w:rPr>
                <w:rFonts w:cstheme="minorHAnsi"/>
                <w:sz w:val="20"/>
                <w:szCs w:val="20"/>
              </w:rPr>
              <w:t>The Government’s announcements on this in May 2019 emphasised pre-existing work on the Supporting Offenders into Employment scheme</w:t>
            </w:r>
            <w:r w:rsidR="00A936FB">
              <w:rPr>
                <w:rFonts w:cstheme="minorHAnsi"/>
                <w:sz w:val="20"/>
                <w:szCs w:val="20"/>
              </w:rPr>
              <w:t xml:space="preserve"> (MSD, 2019c).</w:t>
            </w:r>
          </w:p>
        </w:tc>
        <w:tc>
          <w:tcPr>
            <w:tcW w:w="1447" w:type="dxa"/>
            <w:shd w:val="clear" w:color="auto" w:fill="auto"/>
          </w:tcPr>
          <w:p w14:paraId="7658D88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DB13190" w14:textId="77777777" w:rsidTr="00974425">
        <w:trPr>
          <w:trHeight w:val="321"/>
        </w:trPr>
        <w:tc>
          <w:tcPr>
            <w:tcW w:w="1634" w:type="dxa"/>
            <w:vMerge/>
          </w:tcPr>
          <w:p w14:paraId="2B78CEDB" w14:textId="77777777" w:rsidR="007D5E58" w:rsidRPr="005C579C" w:rsidRDefault="007D5E58" w:rsidP="00A53840">
            <w:pPr>
              <w:ind w:left="29" w:firstLine="0"/>
              <w:rPr>
                <w:rFonts w:cstheme="minorHAnsi"/>
                <w:sz w:val="20"/>
                <w:szCs w:val="20"/>
              </w:rPr>
            </w:pPr>
          </w:p>
        </w:tc>
        <w:tc>
          <w:tcPr>
            <w:tcW w:w="3330" w:type="dxa"/>
          </w:tcPr>
          <w:p w14:paraId="54A4761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Pastoral care for people released from prison should be increased.</w:t>
            </w:r>
          </w:p>
        </w:tc>
        <w:tc>
          <w:tcPr>
            <w:tcW w:w="1260" w:type="dxa"/>
            <w:vMerge/>
          </w:tcPr>
          <w:p w14:paraId="4452EB41" w14:textId="77777777" w:rsidR="007D5E58" w:rsidRPr="005C579C" w:rsidRDefault="007D5E58" w:rsidP="00974425">
            <w:pPr>
              <w:ind w:left="32" w:firstLine="0"/>
              <w:rPr>
                <w:rFonts w:cstheme="minorHAnsi"/>
                <w:sz w:val="20"/>
                <w:szCs w:val="20"/>
              </w:rPr>
            </w:pPr>
          </w:p>
        </w:tc>
        <w:tc>
          <w:tcPr>
            <w:tcW w:w="3150" w:type="dxa"/>
            <w:vMerge/>
          </w:tcPr>
          <w:p w14:paraId="3C17FE78" w14:textId="77777777" w:rsidR="007D5E58" w:rsidRPr="005C579C" w:rsidRDefault="007D5E58" w:rsidP="00974425">
            <w:pPr>
              <w:ind w:left="48" w:firstLine="0"/>
              <w:rPr>
                <w:rFonts w:cstheme="minorHAnsi"/>
                <w:sz w:val="20"/>
                <w:szCs w:val="20"/>
              </w:rPr>
            </w:pPr>
          </w:p>
        </w:tc>
        <w:tc>
          <w:tcPr>
            <w:tcW w:w="3780" w:type="dxa"/>
            <w:shd w:val="clear" w:color="auto" w:fill="FFA5A5"/>
          </w:tcPr>
          <w:p w14:paraId="7F8A23F9"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192F44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4569E7A" w14:textId="77777777" w:rsidTr="00974425">
        <w:trPr>
          <w:trHeight w:val="321"/>
        </w:trPr>
        <w:tc>
          <w:tcPr>
            <w:tcW w:w="1634" w:type="dxa"/>
            <w:vMerge/>
          </w:tcPr>
          <w:p w14:paraId="01C733F6" w14:textId="77777777" w:rsidR="007D5E58" w:rsidRPr="005C579C" w:rsidRDefault="007D5E58" w:rsidP="00A53840">
            <w:pPr>
              <w:ind w:left="29" w:firstLine="0"/>
              <w:rPr>
                <w:rFonts w:cstheme="minorHAnsi"/>
                <w:sz w:val="20"/>
                <w:szCs w:val="20"/>
              </w:rPr>
            </w:pPr>
          </w:p>
        </w:tc>
        <w:tc>
          <w:tcPr>
            <w:tcW w:w="3330" w:type="dxa"/>
          </w:tcPr>
          <w:p w14:paraId="5221254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and increase the current value of the Steps to Freedom grant, to ensure it is adequate for basic living costs, including housing.</w:t>
            </w:r>
          </w:p>
        </w:tc>
        <w:tc>
          <w:tcPr>
            <w:tcW w:w="1260" w:type="dxa"/>
            <w:vMerge/>
          </w:tcPr>
          <w:p w14:paraId="5C9F13FE" w14:textId="77777777" w:rsidR="007D5E58" w:rsidRPr="005C579C" w:rsidRDefault="007D5E58" w:rsidP="00974425">
            <w:pPr>
              <w:ind w:left="32" w:firstLine="0"/>
              <w:rPr>
                <w:rFonts w:cstheme="minorHAnsi"/>
                <w:sz w:val="20"/>
                <w:szCs w:val="20"/>
              </w:rPr>
            </w:pPr>
          </w:p>
        </w:tc>
        <w:tc>
          <w:tcPr>
            <w:tcW w:w="3150" w:type="dxa"/>
            <w:vMerge/>
          </w:tcPr>
          <w:p w14:paraId="5DCEDEE6" w14:textId="77777777" w:rsidR="007D5E58" w:rsidRPr="005C579C" w:rsidRDefault="007D5E58" w:rsidP="00974425">
            <w:pPr>
              <w:ind w:left="48" w:firstLine="0"/>
              <w:rPr>
                <w:rFonts w:cstheme="minorHAnsi"/>
                <w:sz w:val="20"/>
                <w:szCs w:val="20"/>
              </w:rPr>
            </w:pPr>
          </w:p>
        </w:tc>
        <w:tc>
          <w:tcPr>
            <w:tcW w:w="3780" w:type="dxa"/>
            <w:shd w:val="clear" w:color="auto" w:fill="FFA5A5"/>
          </w:tcPr>
          <w:p w14:paraId="6449FF69"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5D84187"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8158FDD" w14:textId="77777777" w:rsidTr="00974425">
        <w:trPr>
          <w:trHeight w:val="321"/>
        </w:trPr>
        <w:tc>
          <w:tcPr>
            <w:tcW w:w="1634" w:type="dxa"/>
            <w:vMerge/>
          </w:tcPr>
          <w:p w14:paraId="1A0A7E45" w14:textId="77777777" w:rsidR="007D5E58" w:rsidRPr="005C579C" w:rsidRDefault="007D5E58" w:rsidP="00A53840">
            <w:pPr>
              <w:ind w:left="29" w:firstLine="0"/>
              <w:rPr>
                <w:rFonts w:cstheme="minorHAnsi"/>
                <w:sz w:val="20"/>
                <w:szCs w:val="20"/>
              </w:rPr>
            </w:pPr>
          </w:p>
        </w:tc>
        <w:tc>
          <w:tcPr>
            <w:tcW w:w="3330" w:type="dxa"/>
          </w:tcPr>
          <w:p w14:paraId="1F9AEFA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Monitor and ensure prisoners have the appropriate documentation to obtain income support or work on release (for example, an official form of identification, a driver’s licence, bank account, contact details).</w:t>
            </w:r>
          </w:p>
        </w:tc>
        <w:tc>
          <w:tcPr>
            <w:tcW w:w="1260" w:type="dxa"/>
            <w:vMerge/>
          </w:tcPr>
          <w:p w14:paraId="15E82080" w14:textId="77777777" w:rsidR="007D5E58" w:rsidRPr="005C579C" w:rsidRDefault="007D5E58" w:rsidP="00974425">
            <w:pPr>
              <w:ind w:left="32" w:firstLine="0"/>
              <w:rPr>
                <w:rFonts w:cstheme="minorHAnsi"/>
                <w:sz w:val="20"/>
                <w:szCs w:val="20"/>
              </w:rPr>
            </w:pPr>
          </w:p>
        </w:tc>
        <w:tc>
          <w:tcPr>
            <w:tcW w:w="3150" w:type="dxa"/>
            <w:vMerge/>
          </w:tcPr>
          <w:p w14:paraId="053391A4" w14:textId="77777777" w:rsidR="007D5E58" w:rsidRPr="005C579C" w:rsidRDefault="007D5E58" w:rsidP="00974425">
            <w:pPr>
              <w:ind w:left="48" w:firstLine="0"/>
              <w:rPr>
                <w:rFonts w:cstheme="minorHAnsi"/>
                <w:sz w:val="20"/>
                <w:szCs w:val="20"/>
              </w:rPr>
            </w:pPr>
          </w:p>
        </w:tc>
        <w:tc>
          <w:tcPr>
            <w:tcW w:w="3780" w:type="dxa"/>
            <w:shd w:val="clear" w:color="auto" w:fill="FFA5A5"/>
          </w:tcPr>
          <w:p w14:paraId="2666EA77"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53D9F4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D1DF2CF" w14:textId="77777777" w:rsidTr="00974425">
        <w:trPr>
          <w:trHeight w:val="321"/>
        </w:trPr>
        <w:tc>
          <w:tcPr>
            <w:tcW w:w="1634" w:type="dxa"/>
            <w:vMerge/>
          </w:tcPr>
          <w:p w14:paraId="2E3CD5EC" w14:textId="77777777" w:rsidR="007D5E58" w:rsidRPr="005C579C" w:rsidRDefault="007D5E58" w:rsidP="00A53840">
            <w:pPr>
              <w:ind w:left="29" w:firstLine="0"/>
              <w:rPr>
                <w:rFonts w:cstheme="minorHAnsi"/>
                <w:sz w:val="20"/>
                <w:szCs w:val="20"/>
              </w:rPr>
            </w:pPr>
          </w:p>
        </w:tc>
        <w:tc>
          <w:tcPr>
            <w:tcW w:w="3330" w:type="dxa"/>
          </w:tcPr>
          <w:p w14:paraId="6EE780E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continuing housing cost assistance for people entering prison for a short period, on remand or in custody.</w:t>
            </w:r>
          </w:p>
        </w:tc>
        <w:tc>
          <w:tcPr>
            <w:tcW w:w="1260" w:type="dxa"/>
            <w:vMerge/>
          </w:tcPr>
          <w:p w14:paraId="4248B9F1" w14:textId="77777777" w:rsidR="007D5E58" w:rsidRPr="005C579C" w:rsidRDefault="007D5E58" w:rsidP="00974425">
            <w:pPr>
              <w:ind w:left="32" w:firstLine="0"/>
              <w:rPr>
                <w:rFonts w:cstheme="minorHAnsi"/>
                <w:sz w:val="20"/>
                <w:szCs w:val="20"/>
              </w:rPr>
            </w:pPr>
          </w:p>
        </w:tc>
        <w:tc>
          <w:tcPr>
            <w:tcW w:w="3150" w:type="dxa"/>
            <w:vMerge/>
          </w:tcPr>
          <w:p w14:paraId="7B1229FD" w14:textId="77777777" w:rsidR="007D5E58" w:rsidRPr="005C579C" w:rsidRDefault="007D5E58" w:rsidP="00974425">
            <w:pPr>
              <w:ind w:left="48" w:firstLine="0"/>
              <w:rPr>
                <w:rFonts w:cstheme="minorHAnsi"/>
                <w:sz w:val="20"/>
                <w:szCs w:val="20"/>
              </w:rPr>
            </w:pPr>
          </w:p>
        </w:tc>
        <w:tc>
          <w:tcPr>
            <w:tcW w:w="3780" w:type="dxa"/>
            <w:shd w:val="clear" w:color="auto" w:fill="FFA5A5"/>
          </w:tcPr>
          <w:p w14:paraId="02E1CE2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BADFF0A"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3033948" w14:textId="77777777" w:rsidTr="00974425">
        <w:trPr>
          <w:trHeight w:val="321"/>
        </w:trPr>
        <w:tc>
          <w:tcPr>
            <w:tcW w:w="14601" w:type="dxa"/>
            <w:gridSpan w:val="6"/>
            <w:shd w:val="clear" w:color="auto" w:fill="E7E6E6" w:themeFill="background2"/>
          </w:tcPr>
          <w:p w14:paraId="10F8C751" w14:textId="77777777" w:rsidR="007D5E58" w:rsidRPr="005A73F9" w:rsidRDefault="007D5E58" w:rsidP="00974425">
            <w:pPr>
              <w:ind w:left="32" w:firstLine="0"/>
              <w:jc w:val="center"/>
              <w:rPr>
                <w:sz w:val="22"/>
              </w:rPr>
            </w:pPr>
            <w:r w:rsidRPr="005A73F9">
              <w:rPr>
                <w:b/>
                <w:sz w:val="22"/>
              </w:rPr>
              <w:t>ACHIEVING SECURITY REQUIRES ADEQUATE IMCOME</w:t>
            </w:r>
          </w:p>
        </w:tc>
      </w:tr>
      <w:tr w:rsidR="007D5E58" w:rsidRPr="005A73F9" w14:paraId="100CE39C" w14:textId="77777777" w:rsidTr="00974425">
        <w:trPr>
          <w:trHeight w:val="42"/>
        </w:trPr>
        <w:tc>
          <w:tcPr>
            <w:tcW w:w="1634" w:type="dxa"/>
            <w:vMerge w:val="restart"/>
          </w:tcPr>
          <w:p w14:paraId="1DB9443E" w14:textId="77777777" w:rsidR="007D5E58" w:rsidRPr="005C579C" w:rsidRDefault="007D5E58" w:rsidP="00A53840">
            <w:pPr>
              <w:ind w:left="29" w:firstLine="0"/>
              <w:rPr>
                <w:rFonts w:cstheme="minorHAnsi"/>
                <w:sz w:val="20"/>
                <w:szCs w:val="20"/>
              </w:rPr>
            </w:pPr>
            <w:r w:rsidRPr="005C579C">
              <w:rPr>
                <w:rFonts w:cstheme="minorHAnsi"/>
                <w:sz w:val="20"/>
                <w:szCs w:val="20"/>
              </w:rPr>
              <w:t>Main benefits</w:t>
            </w:r>
          </w:p>
        </w:tc>
        <w:tc>
          <w:tcPr>
            <w:tcW w:w="3330" w:type="dxa"/>
          </w:tcPr>
          <w:p w14:paraId="677BC42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youth rates of main benefits. Increase Jobseeker Support for under 24 years living away from home (and the rate of Youth Payment) to match the rate for people 25 and older, and increase Supported Living Payment for 16–17 year-olds to the rate for people aged 18 and over.</w:t>
            </w:r>
          </w:p>
        </w:tc>
        <w:tc>
          <w:tcPr>
            <w:tcW w:w="1260" w:type="dxa"/>
            <w:vMerge w:val="restart"/>
          </w:tcPr>
          <w:p w14:paraId="12201C61" w14:textId="77777777" w:rsidR="007D5E58" w:rsidRPr="005C579C" w:rsidRDefault="007D5E58" w:rsidP="00974425">
            <w:pPr>
              <w:ind w:left="32" w:firstLine="0"/>
              <w:rPr>
                <w:rFonts w:cstheme="minorHAnsi"/>
                <w:sz w:val="20"/>
                <w:szCs w:val="20"/>
              </w:rPr>
            </w:pPr>
            <w:r w:rsidRPr="005C579C">
              <w:rPr>
                <w:rFonts w:cstheme="minorHAnsi"/>
                <w:sz w:val="20"/>
                <w:szCs w:val="20"/>
              </w:rPr>
              <w:t>Key Rec 19; Ch 7</w:t>
            </w:r>
          </w:p>
        </w:tc>
        <w:tc>
          <w:tcPr>
            <w:tcW w:w="3150" w:type="dxa"/>
            <w:vMerge w:val="restart"/>
          </w:tcPr>
          <w:p w14:paraId="74ED6869" w14:textId="061BB7D4"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stated that “The income support system has experienced several changes since the release of WEAG report to align with the 10 principles outlined in recommendation 19”</w:t>
            </w:r>
            <w:r w:rsidR="00A024F1">
              <w:rPr>
                <w:rFonts w:cstheme="minorHAnsi"/>
                <w:sz w:val="20"/>
                <w:szCs w:val="20"/>
              </w:rPr>
              <w:t xml:space="preserve"> (MSD, 2021d).</w:t>
            </w:r>
            <w:r w:rsidRPr="005C579C">
              <w:rPr>
                <w:rFonts w:cstheme="minorHAnsi"/>
                <w:sz w:val="20"/>
                <w:szCs w:val="20"/>
              </w:rPr>
              <w:t xml:space="preserve"> The Cabinet paper states that these principles have underpinned changes such as increases in benefits and benefit abatement thresholds, as well as amending the medical certificate process for work capacity assessment. </w:t>
            </w:r>
          </w:p>
          <w:p w14:paraId="52CB86AB" w14:textId="77777777" w:rsidR="007D5E58" w:rsidRPr="005C579C" w:rsidRDefault="007D5E58" w:rsidP="00974425">
            <w:pPr>
              <w:ind w:left="48" w:firstLine="0"/>
              <w:rPr>
                <w:rFonts w:cstheme="minorHAnsi"/>
                <w:sz w:val="20"/>
                <w:szCs w:val="20"/>
              </w:rPr>
            </w:pPr>
          </w:p>
          <w:p w14:paraId="64FA3825" w14:textId="77777777" w:rsidR="007D5E58" w:rsidRPr="005C579C" w:rsidRDefault="007D5E58" w:rsidP="00974425">
            <w:pPr>
              <w:ind w:left="48" w:firstLine="0"/>
              <w:rPr>
                <w:rFonts w:cstheme="minorHAnsi"/>
                <w:sz w:val="20"/>
                <w:szCs w:val="20"/>
              </w:rPr>
            </w:pPr>
            <w:r w:rsidRPr="005C579C">
              <w:rPr>
                <w:rFonts w:cstheme="minorHAnsi"/>
                <w:sz w:val="20"/>
                <w:szCs w:val="20"/>
              </w:rPr>
              <w:t>The Cabinet paper appendix also stated “These principles continue to inform ongoing work including initial steps to review the operational policy, training and guidance on how staff determine relationships. MSD is also considering as part of its longer-term work programme a range of issues related to the unit of entitlement and how relationships interact with the welfare system.”</w:t>
            </w:r>
          </w:p>
          <w:p w14:paraId="6E48BE1A" w14:textId="77777777" w:rsidR="007D5E58" w:rsidRPr="005C579C" w:rsidRDefault="007D5E58" w:rsidP="00974425">
            <w:pPr>
              <w:ind w:left="48" w:firstLine="0"/>
              <w:rPr>
                <w:rFonts w:cstheme="minorHAnsi"/>
                <w:sz w:val="20"/>
                <w:szCs w:val="20"/>
              </w:rPr>
            </w:pPr>
          </w:p>
          <w:p w14:paraId="77B1E367" w14:textId="45B0161A" w:rsidR="007D5E58" w:rsidRPr="005C579C" w:rsidRDefault="007D5E58" w:rsidP="00974425">
            <w:pPr>
              <w:ind w:left="48" w:firstLine="0"/>
              <w:rPr>
                <w:rFonts w:cstheme="minorHAnsi"/>
                <w:sz w:val="20"/>
                <w:szCs w:val="20"/>
              </w:rPr>
            </w:pPr>
            <w:r w:rsidRPr="005C579C">
              <w:rPr>
                <w:rFonts w:cstheme="minorHAnsi"/>
                <w:sz w:val="20"/>
                <w:szCs w:val="20"/>
              </w:rPr>
              <w:t>In the Cabinet paper appendix, the Government has stated “There are significant implications for studying and training incentives by raising these rates, that require careful consideration”</w:t>
            </w:r>
            <w:r w:rsidR="00A024F1">
              <w:rPr>
                <w:rFonts w:cstheme="minorHAnsi"/>
                <w:sz w:val="20"/>
                <w:szCs w:val="20"/>
              </w:rPr>
              <w:t xml:space="preserve"> (MSD, 2021d).</w:t>
            </w:r>
          </w:p>
          <w:p w14:paraId="7E6DDF46" w14:textId="77777777" w:rsidR="007D5E58" w:rsidRPr="005C579C" w:rsidRDefault="007D5E58" w:rsidP="00974425">
            <w:pPr>
              <w:ind w:left="48" w:firstLine="0"/>
              <w:rPr>
                <w:rFonts w:cstheme="minorHAnsi"/>
                <w:sz w:val="20"/>
                <w:szCs w:val="20"/>
              </w:rPr>
            </w:pPr>
          </w:p>
        </w:tc>
        <w:tc>
          <w:tcPr>
            <w:tcW w:w="3780" w:type="dxa"/>
            <w:shd w:val="clear" w:color="auto" w:fill="FFA5A5"/>
          </w:tcPr>
          <w:p w14:paraId="581B802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32115960" w14:textId="77777777" w:rsidR="007D5E58" w:rsidRPr="005C579C" w:rsidRDefault="007D5E58" w:rsidP="00974425">
            <w:pPr>
              <w:ind w:left="16" w:firstLine="0"/>
              <w:rPr>
                <w:rFonts w:cstheme="minorHAnsi"/>
                <w:sz w:val="20"/>
                <w:szCs w:val="20"/>
              </w:rPr>
            </w:pPr>
          </w:p>
          <w:p w14:paraId="5E9E8A98"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Despite Budget 2021 benefit increases, </w:t>
            </w:r>
            <w:r>
              <w:rPr>
                <w:rFonts w:cstheme="minorHAnsi"/>
                <w:sz w:val="20"/>
                <w:szCs w:val="20"/>
              </w:rPr>
              <w:t xml:space="preserve">single </w:t>
            </w:r>
            <w:r w:rsidRPr="005C579C">
              <w:rPr>
                <w:rFonts w:cstheme="minorHAnsi"/>
                <w:sz w:val="20"/>
                <w:szCs w:val="20"/>
              </w:rPr>
              <w:t xml:space="preserve">youth rates (18-24 years) remain lower than adult rates. </w:t>
            </w:r>
          </w:p>
          <w:p w14:paraId="0337D771" w14:textId="77777777" w:rsidR="007D5E58" w:rsidRPr="005C579C" w:rsidRDefault="007D5E58" w:rsidP="00974425">
            <w:pPr>
              <w:ind w:left="16" w:firstLine="0"/>
              <w:rPr>
                <w:rFonts w:cstheme="minorHAnsi"/>
                <w:sz w:val="20"/>
                <w:szCs w:val="20"/>
              </w:rPr>
            </w:pPr>
          </w:p>
          <w:p w14:paraId="1050C4F3" w14:textId="77777777" w:rsidR="007D5E58" w:rsidRPr="005C579C" w:rsidRDefault="007D5E58" w:rsidP="00974425">
            <w:pPr>
              <w:ind w:left="16" w:hanging="20"/>
              <w:rPr>
                <w:rFonts w:cstheme="minorHAnsi"/>
                <w:sz w:val="20"/>
                <w:szCs w:val="20"/>
              </w:rPr>
            </w:pPr>
            <w:r w:rsidRPr="005C579C">
              <w:rPr>
                <w:rFonts w:cstheme="minorHAnsi"/>
                <w:sz w:val="20"/>
                <w:szCs w:val="20"/>
              </w:rPr>
              <w:t>Youth payment rates: Jobseeker Support benefits for both single people 18-19 years living away from home and 20-24 year olds are well below the 25 years and over rate. This is contrary to WEAG’s recommendation that these be brought in line with the adult rates. WEAG’s</w:t>
            </w:r>
            <w:r w:rsidRPr="005C579C">
              <w:rPr>
                <w:rFonts w:cstheme="minorHAnsi"/>
                <w:color w:val="000000"/>
                <w:sz w:val="20"/>
                <w:szCs w:val="20"/>
              </w:rPr>
              <w:t xml:space="preserve"> reason was that there is no evidence that living costs are significantly lower for </w:t>
            </w:r>
            <w:r>
              <w:rPr>
                <w:rFonts w:cstheme="minorHAnsi"/>
                <w:color w:val="000000"/>
                <w:sz w:val="20"/>
                <w:szCs w:val="20"/>
              </w:rPr>
              <w:t xml:space="preserve">single </w:t>
            </w:r>
            <w:r w:rsidRPr="005C579C">
              <w:rPr>
                <w:rFonts w:cstheme="minorHAnsi"/>
                <w:color w:val="000000"/>
                <w:sz w:val="20"/>
                <w:szCs w:val="20"/>
              </w:rPr>
              <w:t>young people 18-24 years old than for people 25years+.</w:t>
            </w:r>
          </w:p>
          <w:p w14:paraId="05A048EB" w14:textId="77777777" w:rsidR="007D5E58" w:rsidRPr="005C579C" w:rsidRDefault="007D5E58" w:rsidP="00974425">
            <w:pPr>
              <w:ind w:left="16" w:firstLine="0"/>
              <w:rPr>
                <w:rFonts w:cstheme="minorHAnsi"/>
                <w:sz w:val="20"/>
                <w:szCs w:val="20"/>
              </w:rPr>
            </w:pPr>
          </w:p>
        </w:tc>
        <w:tc>
          <w:tcPr>
            <w:tcW w:w="1447" w:type="dxa"/>
            <w:shd w:val="clear" w:color="auto" w:fill="auto"/>
          </w:tcPr>
          <w:p w14:paraId="711A110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B9E6FA6" w14:textId="77777777" w:rsidTr="00974425">
        <w:trPr>
          <w:trHeight w:val="38"/>
        </w:trPr>
        <w:tc>
          <w:tcPr>
            <w:tcW w:w="1634" w:type="dxa"/>
            <w:vMerge/>
          </w:tcPr>
          <w:p w14:paraId="5984A107" w14:textId="77777777" w:rsidR="007D5E58" w:rsidRPr="005C579C" w:rsidRDefault="007D5E58" w:rsidP="00A53840">
            <w:pPr>
              <w:ind w:left="29" w:firstLine="0"/>
              <w:rPr>
                <w:rFonts w:cstheme="minorHAnsi"/>
                <w:sz w:val="20"/>
                <w:szCs w:val="20"/>
              </w:rPr>
            </w:pPr>
          </w:p>
        </w:tc>
        <w:tc>
          <w:tcPr>
            <w:tcW w:w="3330" w:type="dxa"/>
          </w:tcPr>
          <w:p w14:paraId="50225CB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initial income stand-down periods.</w:t>
            </w:r>
          </w:p>
        </w:tc>
        <w:tc>
          <w:tcPr>
            <w:tcW w:w="1260" w:type="dxa"/>
            <w:vMerge/>
          </w:tcPr>
          <w:p w14:paraId="514BA3C8" w14:textId="77777777" w:rsidR="007D5E58" w:rsidRPr="005C579C" w:rsidRDefault="007D5E58" w:rsidP="00974425">
            <w:pPr>
              <w:ind w:left="32" w:firstLine="0"/>
              <w:rPr>
                <w:rFonts w:cstheme="minorHAnsi"/>
                <w:sz w:val="20"/>
                <w:szCs w:val="20"/>
              </w:rPr>
            </w:pPr>
          </w:p>
        </w:tc>
        <w:tc>
          <w:tcPr>
            <w:tcW w:w="3150" w:type="dxa"/>
            <w:vMerge/>
          </w:tcPr>
          <w:p w14:paraId="5DD71E8C" w14:textId="77777777" w:rsidR="007D5E58" w:rsidRPr="005C579C" w:rsidRDefault="007D5E58" w:rsidP="00974425">
            <w:pPr>
              <w:ind w:left="48" w:firstLine="0"/>
              <w:rPr>
                <w:rFonts w:cstheme="minorHAnsi"/>
                <w:sz w:val="20"/>
                <w:szCs w:val="20"/>
              </w:rPr>
            </w:pPr>
          </w:p>
        </w:tc>
        <w:tc>
          <w:tcPr>
            <w:tcW w:w="3780" w:type="dxa"/>
            <w:shd w:val="clear" w:color="auto" w:fill="F7CAAC" w:themeFill="accent2" w:themeFillTint="66"/>
          </w:tcPr>
          <w:p w14:paraId="20BBDA78"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Minimal implementation. </w:t>
            </w:r>
          </w:p>
          <w:p w14:paraId="61B8FFDD" w14:textId="77777777" w:rsidR="007D5E58" w:rsidRPr="005C579C" w:rsidRDefault="007D5E58" w:rsidP="00974425">
            <w:pPr>
              <w:ind w:left="16" w:firstLine="0"/>
              <w:rPr>
                <w:rFonts w:cstheme="minorHAnsi"/>
                <w:sz w:val="20"/>
                <w:szCs w:val="20"/>
              </w:rPr>
            </w:pPr>
          </w:p>
          <w:p w14:paraId="113CAC10" w14:textId="11927F9A" w:rsidR="007D5E58" w:rsidRPr="005C579C" w:rsidRDefault="007D5E58" w:rsidP="00974425">
            <w:pPr>
              <w:ind w:left="16" w:firstLine="0"/>
              <w:rPr>
                <w:rFonts w:cstheme="minorHAnsi"/>
                <w:sz w:val="20"/>
                <w:szCs w:val="20"/>
              </w:rPr>
            </w:pPr>
            <w:r w:rsidRPr="005C579C">
              <w:rPr>
                <w:rFonts w:cstheme="minorHAnsi"/>
                <w:sz w:val="20"/>
                <w:szCs w:val="20"/>
              </w:rPr>
              <w:t>In 2020, the Government removed stand-down periods as a response to Covid-19, for those eligible for a benefit between March and November</w:t>
            </w:r>
            <w:r w:rsidR="00A024F1">
              <w:rPr>
                <w:rFonts w:cstheme="minorHAnsi"/>
                <w:sz w:val="20"/>
                <w:szCs w:val="20"/>
              </w:rPr>
              <w:t xml:space="preserve"> (Work and Income, 2020)</w:t>
            </w:r>
            <w:r w:rsidRPr="005C579C">
              <w:rPr>
                <w:rFonts w:cstheme="minorHAnsi"/>
                <w:sz w:val="20"/>
                <w:szCs w:val="20"/>
              </w:rPr>
              <w:t xml:space="preserve">, and then reinstated </w:t>
            </w:r>
            <w:r w:rsidR="00E13DBF">
              <w:rPr>
                <w:rFonts w:cstheme="minorHAnsi"/>
                <w:sz w:val="20"/>
                <w:szCs w:val="20"/>
              </w:rPr>
              <w:t>it to</w:t>
            </w:r>
            <w:r w:rsidRPr="005C579C">
              <w:rPr>
                <w:rFonts w:cstheme="minorHAnsi"/>
                <w:sz w:val="20"/>
                <w:szCs w:val="20"/>
              </w:rPr>
              <w:t xml:space="preserve"> July 2021</w:t>
            </w:r>
            <w:r w:rsidR="00E13DBF">
              <w:rPr>
                <w:rFonts w:cstheme="minorHAnsi"/>
                <w:sz w:val="20"/>
                <w:szCs w:val="20"/>
              </w:rPr>
              <w:t xml:space="preserve"> (</w:t>
            </w:r>
            <w:r w:rsidR="00E13DBF" w:rsidRPr="00E13DBF">
              <w:rPr>
                <w:rFonts w:cstheme="minorHAnsi"/>
                <w:sz w:val="20"/>
                <w:szCs w:val="20"/>
              </w:rPr>
              <w:t>Social Security (COVID-19 Recovery—Exemption from Stand Down, and Expiry and Regrant of Benefits) Amendment Regulations 2020</w:t>
            </w:r>
            <w:r w:rsidR="00E13DBF">
              <w:rPr>
                <w:rFonts w:cstheme="minorHAnsi"/>
                <w:sz w:val="20"/>
                <w:szCs w:val="20"/>
              </w:rPr>
              <w:t>)</w:t>
            </w:r>
            <w:r w:rsidRPr="005C579C">
              <w:rPr>
                <w:rFonts w:cstheme="minorHAnsi"/>
                <w:sz w:val="20"/>
                <w:szCs w:val="20"/>
              </w:rPr>
              <w:t xml:space="preserve">. However, this was a temporary measure. </w:t>
            </w:r>
          </w:p>
        </w:tc>
        <w:tc>
          <w:tcPr>
            <w:tcW w:w="1447" w:type="dxa"/>
            <w:shd w:val="clear" w:color="auto" w:fill="auto"/>
          </w:tcPr>
          <w:p w14:paraId="5FA18F1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p w14:paraId="53FA744A" w14:textId="77777777" w:rsidR="007D5E58" w:rsidRPr="005C579C" w:rsidRDefault="007D5E58" w:rsidP="00974425">
            <w:pPr>
              <w:ind w:left="63" w:firstLine="0"/>
              <w:rPr>
                <w:rFonts w:cstheme="minorHAnsi"/>
                <w:sz w:val="20"/>
                <w:szCs w:val="20"/>
              </w:rPr>
            </w:pPr>
          </w:p>
          <w:p w14:paraId="4A4C110D" w14:textId="77777777" w:rsidR="007D5E58" w:rsidRPr="005C579C" w:rsidRDefault="007D5E58" w:rsidP="00974425">
            <w:pPr>
              <w:ind w:left="63" w:firstLine="0"/>
              <w:rPr>
                <w:rFonts w:cstheme="minorHAnsi"/>
                <w:sz w:val="20"/>
                <w:szCs w:val="20"/>
              </w:rPr>
            </w:pPr>
          </w:p>
          <w:p w14:paraId="6336F537" w14:textId="77777777" w:rsidR="007D5E58" w:rsidRPr="005C579C" w:rsidRDefault="007D5E58" w:rsidP="00974425">
            <w:pPr>
              <w:ind w:left="63" w:firstLine="0"/>
              <w:rPr>
                <w:rFonts w:cstheme="minorHAnsi"/>
                <w:sz w:val="20"/>
                <w:szCs w:val="20"/>
              </w:rPr>
            </w:pPr>
          </w:p>
          <w:p w14:paraId="4E6A227C" w14:textId="77777777" w:rsidR="007D5E58" w:rsidRPr="005C579C" w:rsidRDefault="007D5E58" w:rsidP="00974425">
            <w:pPr>
              <w:ind w:left="63" w:firstLine="0"/>
              <w:rPr>
                <w:rFonts w:cstheme="minorHAnsi"/>
                <w:sz w:val="20"/>
                <w:szCs w:val="20"/>
              </w:rPr>
            </w:pPr>
          </w:p>
          <w:p w14:paraId="58B9D147" w14:textId="77777777" w:rsidR="007D5E58" w:rsidRPr="005C579C" w:rsidRDefault="007D5E58" w:rsidP="00974425">
            <w:pPr>
              <w:ind w:left="63" w:firstLine="0"/>
              <w:rPr>
                <w:rFonts w:cstheme="minorHAnsi"/>
                <w:sz w:val="20"/>
                <w:szCs w:val="20"/>
              </w:rPr>
            </w:pPr>
          </w:p>
        </w:tc>
      </w:tr>
      <w:tr w:rsidR="007D5E58" w:rsidRPr="005A73F9" w14:paraId="41576F73" w14:textId="77777777" w:rsidTr="00974425">
        <w:trPr>
          <w:trHeight w:val="38"/>
        </w:trPr>
        <w:tc>
          <w:tcPr>
            <w:tcW w:w="1634" w:type="dxa"/>
            <w:vMerge/>
          </w:tcPr>
          <w:p w14:paraId="382E31DC" w14:textId="77777777" w:rsidR="007D5E58" w:rsidRPr="005C579C" w:rsidRDefault="007D5E58" w:rsidP="00A53840">
            <w:pPr>
              <w:ind w:left="29" w:firstLine="0"/>
              <w:rPr>
                <w:rFonts w:cstheme="minorHAnsi"/>
                <w:sz w:val="20"/>
                <w:szCs w:val="20"/>
              </w:rPr>
            </w:pPr>
          </w:p>
        </w:tc>
        <w:tc>
          <w:tcPr>
            <w:tcW w:w="3330" w:type="dxa"/>
          </w:tcPr>
          <w:p w14:paraId="5F3B96D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13-week non-entitlement period for voluntary unemployment.</w:t>
            </w:r>
          </w:p>
        </w:tc>
        <w:tc>
          <w:tcPr>
            <w:tcW w:w="1260" w:type="dxa"/>
            <w:vMerge/>
          </w:tcPr>
          <w:p w14:paraId="0C15BE39" w14:textId="77777777" w:rsidR="007D5E58" w:rsidRPr="005C579C" w:rsidRDefault="007D5E58" w:rsidP="00974425">
            <w:pPr>
              <w:ind w:left="32" w:firstLine="0"/>
              <w:rPr>
                <w:rFonts w:cstheme="minorHAnsi"/>
                <w:sz w:val="20"/>
                <w:szCs w:val="20"/>
              </w:rPr>
            </w:pPr>
          </w:p>
        </w:tc>
        <w:tc>
          <w:tcPr>
            <w:tcW w:w="3150" w:type="dxa"/>
            <w:vMerge/>
          </w:tcPr>
          <w:p w14:paraId="392F5292" w14:textId="77777777" w:rsidR="007D5E58" w:rsidRPr="005C579C" w:rsidRDefault="007D5E58" w:rsidP="00974425">
            <w:pPr>
              <w:ind w:left="48" w:firstLine="0"/>
              <w:rPr>
                <w:rFonts w:cstheme="minorHAnsi"/>
                <w:sz w:val="20"/>
                <w:szCs w:val="20"/>
              </w:rPr>
            </w:pPr>
          </w:p>
        </w:tc>
        <w:tc>
          <w:tcPr>
            <w:tcW w:w="3780" w:type="dxa"/>
            <w:shd w:val="clear" w:color="auto" w:fill="FFA5A5"/>
          </w:tcPr>
          <w:p w14:paraId="677F77EA"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02833C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A29A072" w14:textId="77777777" w:rsidTr="00974425">
        <w:trPr>
          <w:trHeight w:val="38"/>
        </w:trPr>
        <w:tc>
          <w:tcPr>
            <w:tcW w:w="1634" w:type="dxa"/>
            <w:vMerge/>
          </w:tcPr>
          <w:p w14:paraId="525B68EA" w14:textId="77777777" w:rsidR="007D5E58" w:rsidRPr="005C579C" w:rsidRDefault="007D5E58" w:rsidP="00A53840">
            <w:pPr>
              <w:ind w:left="29" w:firstLine="0"/>
              <w:rPr>
                <w:rFonts w:cstheme="minorHAnsi"/>
                <w:sz w:val="20"/>
                <w:szCs w:val="20"/>
              </w:rPr>
            </w:pPr>
          </w:p>
        </w:tc>
        <w:tc>
          <w:tcPr>
            <w:tcW w:w="3330" w:type="dxa"/>
          </w:tcPr>
          <w:p w14:paraId="17D4C68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30-hour rule.</w:t>
            </w:r>
          </w:p>
        </w:tc>
        <w:tc>
          <w:tcPr>
            <w:tcW w:w="1260" w:type="dxa"/>
            <w:vMerge/>
          </w:tcPr>
          <w:p w14:paraId="58D1FE7D" w14:textId="77777777" w:rsidR="007D5E58" w:rsidRPr="005C579C" w:rsidRDefault="007D5E58" w:rsidP="00974425">
            <w:pPr>
              <w:ind w:left="32" w:firstLine="0"/>
              <w:rPr>
                <w:rFonts w:cstheme="minorHAnsi"/>
                <w:sz w:val="20"/>
                <w:szCs w:val="20"/>
              </w:rPr>
            </w:pPr>
          </w:p>
        </w:tc>
        <w:tc>
          <w:tcPr>
            <w:tcW w:w="3150" w:type="dxa"/>
            <w:vMerge/>
          </w:tcPr>
          <w:p w14:paraId="0B1CF780" w14:textId="77777777" w:rsidR="007D5E58" w:rsidRPr="005C579C" w:rsidRDefault="007D5E58" w:rsidP="00974425">
            <w:pPr>
              <w:ind w:left="48" w:firstLine="0"/>
              <w:rPr>
                <w:rFonts w:cstheme="minorHAnsi"/>
                <w:sz w:val="20"/>
                <w:szCs w:val="20"/>
              </w:rPr>
            </w:pPr>
          </w:p>
        </w:tc>
        <w:tc>
          <w:tcPr>
            <w:tcW w:w="3780" w:type="dxa"/>
            <w:shd w:val="clear" w:color="auto" w:fill="FFA5A5"/>
          </w:tcPr>
          <w:p w14:paraId="714FA72A"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7CCE2E8"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0E546540" w14:textId="77777777" w:rsidTr="00974425">
        <w:trPr>
          <w:trHeight w:val="38"/>
        </w:trPr>
        <w:tc>
          <w:tcPr>
            <w:tcW w:w="1634" w:type="dxa"/>
            <w:vMerge/>
          </w:tcPr>
          <w:p w14:paraId="19FCF7CE" w14:textId="77777777" w:rsidR="007D5E58" w:rsidRPr="005C579C" w:rsidRDefault="007D5E58" w:rsidP="00A53840">
            <w:pPr>
              <w:ind w:left="29" w:firstLine="0"/>
              <w:rPr>
                <w:rFonts w:cstheme="minorHAnsi"/>
                <w:sz w:val="20"/>
                <w:szCs w:val="20"/>
              </w:rPr>
            </w:pPr>
          </w:p>
        </w:tc>
        <w:tc>
          <w:tcPr>
            <w:tcW w:w="3330" w:type="dxa"/>
          </w:tcPr>
          <w:p w14:paraId="18BB4AC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Introduce individual entitlement to Jobseeker Support while retaining a couple-based income test.</w:t>
            </w:r>
          </w:p>
        </w:tc>
        <w:tc>
          <w:tcPr>
            <w:tcW w:w="1260" w:type="dxa"/>
            <w:vMerge/>
          </w:tcPr>
          <w:p w14:paraId="64300C21" w14:textId="77777777" w:rsidR="007D5E58" w:rsidRPr="005C579C" w:rsidRDefault="007D5E58" w:rsidP="00974425">
            <w:pPr>
              <w:ind w:left="32" w:firstLine="0"/>
              <w:rPr>
                <w:rFonts w:cstheme="minorHAnsi"/>
                <w:sz w:val="20"/>
                <w:szCs w:val="20"/>
              </w:rPr>
            </w:pPr>
          </w:p>
        </w:tc>
        <w:tc>
          <w:tcPr>
            <w:tcW w:w="3150" w:type="dxa"/>
            <w:vMerge/>
          </w:tcPr>
          <w:p w14:paraId="224E4068" w14:textId="77777777" w:rsidR="007D5E58" w:rsidRPr="005C579C" w:rsidRDefault="007D5E58" w:rsidP="00974425">
            <w:pPr>
              <w:ind w:left="48" w:firstLine="0"/>
              <w:rPr>
                <w:rFonts w:cstheme="minorHAnsi"/>
                <w:sz w:val="20"/>
                <w:szCs w:val="20"/>
              </w:rPr>
            </w:pPr>
          </w:p>
        </w:tc>
        <w:tc>
          <w:tcPr>
            <w:tcW w:w="3780" w:type="dxa"/>
            <w:shd w:val="clear" w:color="auto" w:fill="FFA5A5"/>
          </w:tcPr>
          <w:p w14:paraId="2F099745"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DFD0278"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0A29E6CF" w14:textId="77777777" w:rsidTr="00974425">
        <w:trPr>
          <w:trHeight w:val="38"/>
        </w:trPr>
        <w:tc>
          <w:tcPr>
            <w:tcW w:w="1634" w:type="dxa"/>
            <w:vMerge/>
          </w:tcPr>
          <w:p w14:paraId="56BD0FCE" w14:textId="77777777" w:rsidR="007D5E58" w:rsidRPr="005C579C" w:rsidRDefault="007D5E58" w:rsidP="00A53840">
            <w:pPr>
              <w:ind w:left="29" w:firstLine="0"/>
              <w:rPr>
                <w:rFonts w:cstheme="minorHAnsi"/>
                <w:sz w:val="20"/>
                <w:szCs w:val="20"/>
              </w:rPr>
            </w:pPr>
          </w:p>
        </w:tc>
        <w:tc>
          <w:tcPr>
            <w:tcW w:w="3330" w:type="dxa"/>
          </w:tcPr>
          <w:p w14:paraId="2E143D9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Keep sole parents on Sole Parent Support until their youngest child turns 18 (rather than switching them to Jobseeker Support once their youngest child turns 14).</w:t>
            </w:r>
          </w:p>
        </w:tc>
        <w:tc>
          <w:tcPr>
            <w:tcW w:w="1260" w:type="dxa"/>
            <w:vMerge/>
          </w:tcPr>
          <w:p w14:paraId="598B5E9C" w14:textId="77777777" w:rsidR="007D5E58" w:rsidRPr="005C579C" w:rsidRDefault="007D5E58" w:rsidP="00974425">
            <w:pPr>
              <w:ind w:left="32" w:firstLine="0"/>
              <w:rPr>
                <w:rFonts w:cstheme="minorHAnsi"/>
                <w:sz w:val="20"/>
                <w:szCs w:val="20"/>
              </w:rPr>
            </w:pPr>
          </w:p>
        </w:tc>
        <w:tc>
          <w:tcPr>
            <w:tcW w:w="3150" w:type="dxa"/>
            <w:vMerge/>
          </w:tcPr>
          <w:p w14:paraId="52B96C93" w14:textId="77777777" w:rsidR="007D5E58" w:rsidRPr="005C579C" w:rsidRDefault="007D5E58" w:rsidP="00974425">
            <w:pPr>
              <w:ind w:left="48" w:firstLine="0"/>
              <w:rPr>
                <w:rFonts w:cstheme="minorHAnsi"/>
                <w:sz w:val="20"/>
                <w:szCs w:val="20"/>
              </w:rPr>
            </w:pPr>
          </w:p>
        </w:tc>
        <w:tc>
          <w:tcPr>
            <w:tcW w:w="3780" w:type="dxa"/>
            <w:shd w:val="clear" w:color="auto" w:fill="FFA5A5"/>
          </w:tcPr>
          <w:p w14:paraId="2E871E71"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0A7A32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1F3D3F6" w14:textId="77777777" w:rsidTr="00974425">
        <w:trPr>
          <w:trHeight w:val="38"/>
        </w:trPr>
        <w:tc>
          <w:tcPr>
            <w:tcW w:w="1634" w:type="dxa"/>
            <w:vMerge/>
          </w:tcPr>
          <w:p w14:paraId="0488410F" w14:textId="77777777" w:rsidR="007D5E58" w:rsidRPr="005C579C" w:rsidRDefault="007D5E58" w:rsidP="00A53840">
            <w:pPr>
              <w:ind w:left="29" w:firstLine="0"/>
              <w:rPr>
                <w:rFonts w:cstheme="minorHAnsi"/>
                <w:sz w:val="20"/>
                <w:szCs w:val="20"/>
              </w:rPr>
            </w:pPr>
          </w:p>
        </w:tc>
        <w:tc>
          <w:tcPr>
            <w:tcW w:w="3330" w:type="dxa"/>
          </w:tcPr>
          <w:p w14:paraId="7A34963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changing the name of Jobseeker Support – Health Condition or Disability to better reflect people’s needs (for example, Health Support).</w:t>
            </w:r>
          </w:p>
        </w:tc>
        <w:tc>
          <w:tcPr>
            <w:tcW w:w="1260" w:type="dxa"/>
            <w:vMerge/>
          </w:tcPr>
          <w:p w14:paraId="4E73BDE8" w14:textId="77777777" w:rsidR="007D5E58" w:rsidRPr="005C579C" w:rsidRDefault="007D5E58" w:rsidP="00974425">
            <w:pPr>
              <w:ind w:left="32" w:firstLine="0"/>
              <w:rPr>
                <w:rFonts w:cstheme="minorHAnsi"/>
                <w:sz w:val="20"/>
                <w:szCs w:val="20"/>
              </w:rPr>
            </w:pPr>
          </w:p>
        </w:tc>
        <w:tc>
          <w:tcPr>
            <w:tcW w:w="3150" w:type="dxa"/>
            <w:vMerge/>
          </w:tcPr>
          <w:p w14:paraId="494945EC" w14:textId="77777777" w:rsidR="007D5E58" w:rsidRPr="005C579C" w:rsidRDefault="007D5E58" w:rsidP="00974425">
            <w:pPr>
              <w:ind w:left="48" w:firstLine="0"/>
              <w:rPr>
                <w:rFonts w:cstheme="minorHAnsi"/>
                <w:sz w:val="20"/>
                <w:szCs w:val="20"/>
              </w:rPr>
            </w:pPr>
          </w:p>
        </w:tc>
        <w:tc>
          <w:tcPr>
            <w:tcW w:w="3780" w:type="dxa"/>
            <w:shd w:val="clear" w:color="auto" w:fill="FFA5A5"/>
          </w:tcPr>
          <w:p w14:paraId="1B0C4401"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099A8F7"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A665373" w14:textId="77777777" w:rsidTr="00974425">
        <w:trPr>
          <w:trHeight w:val="135"/>
        </w:trPr>
        <w:tc>
          <w:tcPr>
            <w:tcW w:w="1634" w:type="dxa"/>
            <w:vMerge w:val="restart"/>
          </w:tcPr>
          <w:p w14:paraId="6217621A" w14:textId="77777777" w:rsidR="007D5E58" w:rsidRPr="005C579C" w:rsidRDefault="007D5E58" w:rsidP="00A53840">
            <w:pPr>
              <w:ind w:left="29" w:firstLine="0"/>
              <w:rPr>
                <w:rFonts w:cstheme="minorHAnsi"/>
                <w:sz w:val="20"/>
                <w:szCs w:val="20"/>
              </w:rPr>
            </w:pPr>
            <w:r w:rsidRPr="005C579C">
              <w:rPr>
                <w:rFonts w:cstheme="minorHAnsi"/>
                <w:sz w:val="20"/>
                <w:szCs w:val="20"/>
              </w:rPr>
              <w:t>Hardship assistance</w:t>
            </w:r>
          </w:p>
        </w:tc>
        <w:tc>
          <w:tcPr>
            <w:tcW w:w="3330" w:type="dxa"/>
          </w:tcPr>
          <w:p w14:paraId="361B623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income and asset limits to allow a larger proportion of low-income working people to access payments.</w:t>
            </w:r>
          </w:p>
        </w:tc>
        <w:tc>
          <w:tcPr>
            <w:tcW w:w="1260" w:type="dxa"/>
            <w:vMerge w:val="restart"/>
          </w:tcPr>
          <w:p w14:paraId="539327CD" w14:textId="77777777" w:rsidR="007D5E58" w:rsidRPr="005C579C" w:rsidRDefault="007D5E58" w:rsidP="00974425">
            <w:pPr>
              <w:ind w:left="32" w:firstLine="0"/>
              <w:rPr>
                <w:rFonts w:cstheme="minorHAnsi"/>
                <w:sz w:val="20"/>
                <w:szCs w:val="20"/>
              </w:rPr>
            </w:pPr>
            <w:r w:rsidRPr="005C579C">
              <w:rPr>
                <w:rFonts w:cstheme="minorHAnsi"/>
                <w:sz w:val="20"/>
                <w:szCs w:val="20"/>
              </w:rPr>
              <w:t>Key Rec 24; Ch 7</w:t>
            </w:r>
          </w:p>
        </w:tc>
        <w:tc>
          <w:tcPr>
            <w:tcW w:w="3150" w:type="dxa"/>
            <w:vMerge w:val="restart"/>
          </w:tcPr>
          <w:p w14:paraId="4F6AC52E" w14:textId="48FEE51E" w:rsidR="007D5E58" w:rsidRPr="005C579C" w:rsidRDefault="007D5E58" w:rsidP="00974425">
            <w:pPr>
              <w:ind w:left="48" w:firstLine="0"/>
              <w:rPr>
                <w:rFonts w:cstheme="minorHAnsi"/>
                <w:sz w:val="20"/>
                <w:szCs w:val="20"/>
              </w:rPr>
            </w:pPr>
            <w:r w:rsidRPr="005C579C">
              <w:rPr>
                <w:rFonts w:cstheme="minorHAnsi"/>
                <w:sz w:val="20"/>
                <w:szCs w:val="20"/>
              </w:rPr>
              <w:t>A 27 September 2021 Cabinet paper, Appendix Three, stated that “The review of Hardship Assistance is underway”</w:t>
            </w:r>
            <w:r w:rsidR="00E13DBF">
              <w:rPr>
                <w:rFonts w:cstheme="minorHAnsi"/>
                <w:sz w:val="20"/>
                <w:szCs w:val="20"/>
              </w:rPr>
              <w:t xml:space="preserve"> (MSD, 2021d).</w:t>
            </w:r>
          </w:p>
        </w:tc>
        <w:tc>
          <w:tcPr>
            <w:tcW w:w="3780" w:type="dxa"/>
            <w:shd w:val="clear" w:color="auto" w:fill="FFA5A5"/>
          </w:tcPr>
          <w:p w14:paraId="4E1B4A2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7F8AF36"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E901E06" w14:textId="77777777" w:rsidTr="00974425">
        <w:trPr>
          <w:trHeight w:val="135"/>
        </w:trPr>
        <w:tc>
          <w:tcPr>
            <w:tcW w:w="1634" w:type="dxa"/>
            <w:vMerge/>
          </w:tcPr>
          <w:p w14:paraId="729C62C1" w14:textId="77777777" w:rsidR="007D5E58" w:rsidRPr="005C579C" w:rsidRDefault="007D5E58" w:rsidP="00A53840">
            <w:pPr>
              <w:ind w:left="29" w:firstLine="0"/>
              <w:rPr>
                <w:rFonts w:cstheme="minorHAnsi"/>
                <w:sz w:val="20"/>
                <w:szCs w:val="20"/>
              </w:rPr>
            </w:pPr>
          </w:p>
        </w:tc>
        <w:tc>
          <w:tcPr>
            <w:tcW w:w="3330" w:type="dxa"/>
          </w:tcPr>
          <w:p w14:paraId="7485693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and increase grant limits so they cover current costs, including for emergency dental treatment.</w:t>
            </w:r>
          </w:p>
        </w:tc>
        <w:tc>
          <w:tcPr>
            <w:tcW w:w="1260" w:type="dxa"/>
            <w:vMerge/>
          </w:tcPr>
          <w:p w14:paraId="3D23555A" w14:textId="77777777" w:rsidR="007D5E58" w:rsidRPr="005C579C" w:rsidRDefault="007D5E58" w:rsidP="00974425">
            <w:pPr>
              <w:ind w:left="32" w:firstLine="0"/>
              <w:rPr>
                <w:rFonts w:cstheme="minorHAnsi"/>
                <w:sz w:val="20"/>
                <w:szCs w:val="20"/>
              </w:rPr>
            </w:pPr>
          </w:p>
        </w:tc>
        <w:tc>
          <w:tcPr>
            <w:tcW w:w="3150" w:type="dxa"/>
            <w:vMerge/>
          </w:tcPr>
          <w:p w14:paraId="0F8E31D8" w14:textId="77777777" w:rsidR="007D5E58" w:rsidRPr="005C579C" w:rsidRDefault="007D5E58" w:rsidP="00974425">
            <w:pPr>
              <w:ind w:left="48" w:firstLine="0"/>
              <w:rPr>
                <w:rFonts w:cstheme="minorHAnsi"/>
                <w:sz w:val="20"/>
                <w:szCs w:val="20"/>
              </w:rPr>
            </w:pPr>
          </w:p>
        </w:tc>
        <w:tc>
          <w:tcPr>
            <w:tcW w:w="3780" w:type="dxa"/>
            <w:shd w:val="clear" w:color="auto" w:fill="FFA5A5"/>
          </w:tcPr>
          <w:p w14:paraId="5D1ADE45"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6ACDDCBF" w14:textId="77777777" w:rsidR="007D5E58" w:rsidRPr="005C579C" w:rsidRDefault="007D5E58" w:rsidP="00974425">
            <w:pPr>
              <w:ind w:left="16" w:firstLine="0"/>
              <w:rPr>
                <w:rFonts w:cstheme="minorHAnsi"/>
                <w:sz w:val="20"/>
                <w:szCs w:val="20"/>
              </w:rPr>
            </w:pPr>
          </w:p>
          <w:p w14:paraId="769A89DD" w14:textId="73A81070" w:rsidR="007D5E58" w:rsidRPr="005C579C" w:rsidRDefault="007D5E58" w:rsidP="00974425">
            <w:pPr>
              <w:ind w:left="16" w:firstLine="0"/>
              <w:rPr>
                <w:rFonts w:cstheme="minorHAnsi"/>
                <w:sz w:val="20"/>
                <w:szCs w:val="20"/>
              </w:rPr>
            </w:pPr>
            <w:r w:rsidRPr="005C579C">
              <w:rPr>
                <w:rFonts w:cstheme="minorHAnsi"/>
                <w:sz w:val="20"/>
                <w:szCs w:val="20"/>
              </w:rPr>
              <w:t>In 2020, increasing the grant limit for dental treatment was a pre-election promise for Labour, but following Budget 2021 this has still not been delivered</w:t>
            </w:r>
            <w:r w:rsidR="00E13DBF">
              <w:rPr>
                <w:rFonts w:cstheme="minorHAnsi"/>
                <w:sz w:val="20"/>
                <w:szCs w:val="20"/>
              </w:rPr>
              <w:t xml:space="preserve"> (Coughlan, 2021)</w:t>
            </w:r>
            <w:r w:rsidRPr="005C579C">
              <w:rPr>
                <w:rFonts w:cstheme="minorHAnsi"/>
                <w:sz w:val="20"/>
                <w:szCs w:val="20"/>
              </w:rPr>
              <w:t>.</w:t>
            </w:r>
          </w:p>
        </w:tc>
        <w:tc>
          <w:tcPr>
            <w:tcW w:w="1447" w:type="dxa"/>
            <w:shd w:val="clear" w:color="auto" w:fill="auto"/>
          </w:tcPr>
          <w:p w14:paraId="21A7D48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865835A" w14:textId="77777777" w:rsidTr="00974425">
        <w:trPr>
          <w:trHeight w:val="135"/>
        </w:trPr>
        <w:tc>
          <w:tcPr>
            <w:tcW w:w="1634" w:type="dxa"/>
            <w:vMerge/>
          </w:tcPr>
          <w:p w14:paraId="39DC98C2" w14:textId="77777777" w:rsidR="007D5E58" w:rsidRPr="005C579C" w:rsidRDefault="007D5E58" w:rsidP="00A53840">
            <w:pPr>
              <w:ind w:left="29" w:firstLine="0"/>
              <w:rPr>
                <w:rFonts w:cstheme="minorHAnsi"/>
                <w:sz w:val="20"/>
                <w:szCs w:val="20"/>
              </w:rPr>
            </w:pPr>
          </w:p>
        </w:tc>
        <w:tc>
          <w:tcPr>
            <w:tcW w:w="3330" w:type="dxa"/>
          </w:tcPr>
          <w:p w14:paraId="5EDD166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Make a larger proportion of payments non-recoverable (for example, those for the costs of school uniforms).</w:t>
            </w:r>
          </w:p>
        </w:tc>
        <w:tc>
          <w:tcPr>
            <w:tcW w:w="1260" w:type="dxa"/>
            <w:vMerge/>
          </w:tcPr>
          <w:p w14:paraId="62B06127" w14:textId="77777777" w:rsidR="007D5E58" w:rsidRPr="005C579C" w:rsidRDefault="007D5E58" w:rsidP="00974425">
            <w:pPr>
              <w:ind w:left="32" w:firstLine="0"/>
              <w:rPr>
                <w:rFonts w:cstheme="minorHAnsi"/>
                <w:sz w:val="20"/>
                <w:szCs w:val="20"/>
              </w:rPr>
            </w:pPr>
          </w:p>
        </w:tc>
        <w:tc>
          <w:tcPr>
            <w:tcW w:w="3150" w:type="dxa"/>
            <w:vMerge/>
          </w:tcPr>
          <w:p w14:paraId="238BEDCF" w14:textId="77777777" w:rsidR="007D5E58" w:rsidRPr="005C579C" w:rsidRDefault="007D5E58" w:rsidP="00974425">
            <w:pPr>
              <w:ind w:left="48" w:firstLine="0"/>
              <w:rPr>
                <w:rFonts w:cstheme="minorHAnsi"/>
                <w:sz w:val="20"/>
                <w:szCs w:val="20"/>
              </w:rPr>
            </w:pPr>
          </w:p>
        </w:tc>
        <w:tc>
          <w:tcPr>
            <w:tcW w:w="3780" w:type="dxa"/>
            <w:shd w:val="clear" w:color="auto" w:fill="FFA5A5"/>
          </w:tcPr>
          <w:p w14:paraId="4A2EF37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063F1133" w14:textId="77777777" w:rsidR="007D5E58" w:rsidRPr="005C579C" w:rsidRDefault="007D5E58" w:rsidP="00974425">
            <w:pPr>
              <w:ind w:left="16" w:firstLine="0"/>
              <w:rPr>
                <w:rFonts w:cstheme="minorHAnsi"/>
                <w:sz w:val="20"/>
                <w:szCs w:val="20"/>
              </w:rPr>
            </w:pPr>
          </w:p>
          <w:p w14:paraId="3C837365" w14:textId="0DC840AD" w:rsidR="007D5E58" w:rsidRPr="005C579C" w:rsidRDefault="007D5E58" w:rsidP="00974425">
            <w:pPr>
              <w:ind w:left="16" w:firstLine="0"/>
              <w:rPr>
                <w:rFonts w:cstheme="minorHAnsi"/>
                <w:sz w:val="20"/>
                <w:szCs w:val="20"/>
              </w:rPr>
            </w:pPr>
            <w:r w:rsidRPr="005C579C">
              <w:rPr>
                <w:rFonts w:cstheme="minorHAnsi"/>
                <w:sz w:val="20"/>
                <w:szCs w:val="20"/>
              </w:rPr>
              <w:t>Recoverable assistance is still used. Beneficiary debt to MSD has risen with the median amount of client debts up 10% in June 2021 compared to June 2020</w:t>
            </w:r>
            <w:r w:rsidR="00E13DBF">
              <w:rPr>
                <w:rFonts w:cstheme="minorHAnsi"/>
                <w:sz w:val="20"/>
                <w:szCs w:val="20"/>
              </w:rPr>
              <w:t xml:space="preserve"> (MSD, 2021f).</w:t>
            </w:r>
          </w:p>
        </w:tc>
        <w:tc>
          <w:tcPr>
            <w:tcW w:w="1447" w:type="dxa"/>
            <w:shd w:val="clear" w:color="auto" w:fill="auto"/>
          </w:tcPr>
          <w:p w14:paraId="19EEC76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FBB6D59" w14:textId="77777777" w:rsidTr="00974425">
        <w:trPr>
          <w:trHeight w:val="135"/>
        </w:trPr>
        <w:tc>
          <w:tcPr>
            <w:tcW w:w="1634" w:type="dxa"/>
            <w:vMerge/>
          </w:tcPr>
          <w:p w14:paraId="696CFCF8" w14:textId="77777777" w:rsidR="007D5E58" w:rsidRPr="005C579C" w:rsidRDefault="007D5E58" w:rsidP="00A53840">
            <w:pPr>
              <w:ind w:left="29" w:firstLine="0"/>
              <w:rPr>
                <w:rFonts w:cstheme="minorHAnsi"/>
                <w:sz w:val="20"/>
                <w:szCs w:val="20"/>
              </w:rPr>
            </w:pPr>
          </w:p>
        </w:tc>
        <w:tc>
          <w:tcPr>
            <w:tcW w:w="3330" w:type="dxa"/>
          </w:tcPr>
          <w:p w14:paraId="153197E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the Temporary Additional Support formula, including the accommodation loading and maximum amount, so it adequately covers costs.</w:t>
            </w:r>
          </w:p>
        </w:tc>
        <w:tc>
          <w:tcPr>
            <w:tcW w:w="1260" w:type="dxa"/>
            <w:vMerge/>
          </w:tcPr>
          <w:p w14:paraId="2A9C47CA" w14:textId="77777777" w:rsidR="007D5E58" w:rsidRPr="005C579C" w:rsidRDefault="007D5E58" w:rsidP="00974425">
            <w:pPr>
              <w:ind w:left="32" w:firstLine="0"/>
              <w:rPr>
                <w:rFonts w:cstheme="minorHAnsi"/>
                <w:sz w:val="20"/>
                <w:szCs w:val="20"/>
              </w:rPr>
            </w:pPr>
          </w:p>
        </w:tc>
        <w:tc>
          <w:tcPr>
            <w:tcW w:w="3150" w:type="dxa"/>
            <w:vMerge/>
          </w:tcPr>
          <w:p w14:paraId="487ADAF0" w14:textId="77777777" w:rsidR="007D5E58" w:rsidRPr="005C579C" w:rsidRDefault="007D5E58" w:rsidP="00974425">
            <w:pPr>
              <w:ind w:left="48" w:firstLine="0"/>
              <w:rPr>
                <w:rFonts w:cstheme="minorHAnsi"/>
                <w:sz w:val="20"/>
                <w:szCs w:val="20"/>
              </w:rPr>
            </w:pPr>
          </w:p>
        </w:tc>
        <w:tc>
          <w:tcPr>
            <w:tcW w:w="3780" w:type="dxa"/>
            <w:shd w:val="clear" w:color="auto" w:fill="FFA5A5"/>
          </w:tcPr>
          <w:p w14:paraId="2C2DF8C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AAD26E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74E89F6" w14:textId="77777777" w:rsidTr="00974425">
        <w:trPr>
          <w:trHeight w:val="535"/>
        </w:trPr>
        <w:tc>
          <w:tcPr>
            <w:tcW w:w="1634" w:type="dxa"/>
            <w:vMerge w:val="restart"/>
          </w:tcPr>
          <w:p w14:paraId="345ED6F5" w14:textId="77777777" w:rsidR="007D5E58" w:rsidRPr="005C579C" w:rsidRDefault="007D5E58" w:rsidP="00A53840">
            <w:pPr>
              <w:ind w:left="29" w:firstLine="0"/>
              <w:rPr>
                <w:rFonts w:cstheme="minorHAnsi"/>
                <w:sz w:val="20"/>
                <w:szCs w:val="20"/>
              </w:rPr>
            </w:pPr>
            <w:r w:rsidRPr="005C579C">
              <w:rPr>
                <w:rFonts w:cstheme="minorHAnsi"/>
                <w:sz w:val="20"/>
                <w:szCs w:val="20"/>
              </w:rPr>
              <w:t>Income definition</w:t>
            </w:r>
          </w:p>
        </w:tc>
        <w:tc>
          <w:tcPr>
            <w:tcW w:w="3330" w:type="dxa"/>
          </w:tcPr>
          <w:p w14:paraId="356956D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Align definitions of income and assets with those established by Inland Revenue, unless there are clear and robust reasons for a different definition.</w:t>
            </w:r>
          </w:p>
        </w:tc>
        <w:tc>
          <w:tcPr>
            <w:tcW w:w="1260" w:type="dxa"/>
            <w:vMerge w:val="restart"/>
          </w:tcPr>
          <w:p w14:paraId="2536184E" w14:textId="77777777" w:rsidR="007D5E58" w:rsidRPr="005C579C" w:rsidRDefault="007D5E58" w:rsidP="00974425">
            <w:pPr>
              <w:ind w:left="32" w:firstLine="0"/>
              <w:rPr>
                <w:rFonts w:cstheme="minorHAnsi"/>
                <w:sz w:val="20"/>
                <w:szCs w:val="20"/>
              </w:rPr>
            </w:pPr>
          </w:p>
        </w:tc>
        <w:tc>
          <w:tcPr>
            <w:tcW w:w="3150" w:type="dxa"/>
            <w:vMerge w:val="restart"/>
          </w:tcPr>
          <w:p w14:paraId="274F2EC5" w14:textId="77777777" w:rsidR="007D5E58" w:rsidRPr="005C579C" w:rsidRDefault="007D5E58" w:rsidP="00974425">
            <w:pPr>
              <w:ind w:left="48" w:firstLine="0"/>
              <w:rPr>
                <w:rFonts w:cstheme="minorHAnsi"/>
                <w:sz w:val="20"/>
                <w:szCs w:val="20"/>
              </w:rPr>
            </w:pPr>
          </w:p>
        </w:tc>
        <w:tc>
          <w:tcPr>
            <w:tcW w:w="3780" w:type="dxa"/>
            <w:shd w:val="clear" w:color="auto" w:fill="FFA5A5"/>
          </w:tcPr>
          <w:p w14:paraId="23C20B8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66409986"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0B5BF113" w14:textId="77777777" w:rsidTr="00974425">
        <w:trPr>
          <w:trHeight w:val="535"/>
        </w:trPr>
        <w:tc>
          <w:tcPr>
            <w:tcW w:w="1634" w:type="dxa"/>
            <w:vMerge/>
          </w:tcPr>
          <w:p w14:paraId="7B0F8BDD" w14:textId="77777777" w:rsidR="007D5E58" w:rsidRPr="005C579C" w:rsidRDefault="007D5E58" w:rsidP="00A53840">
            <w:pPr>
              <w:ind w:left="29" w:firstLine="0"/>
              <w:rPr>
                <w:rFonts w:cstheme="minorHAnsi"/>
                <w:sz w:val="20"/>
                <w:szCs w:val="20"/>
              </w:rPr>
            </w:pPr>
          </w:p>
        </w:tc>
        <w:tc>
          <w:tcPr>
            <w:tcW w:w="3330" w:type="dxa"/>
          </w:tcPr>
          <w:p w14:paraId="1E7593E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Treat earnings-related compensation from ACC the same as other income from work in the benefit system.</w:t>
            </w:r>
          </w:p>
        </w:tc>
        <w:tc>
          <w:tcPr>
            <w:tcW w:w="1260" w:type="dxa"/>
            <w:vMerge/>
          </w:tcPr>
          <w:p w14:paraId="1FB7A6B7" w14:textId="77777777" w:rsidR="007D5E58" w:rsidRPr="005C579C" w:rsidRDefault="007D5E58" w:rsidP="00974425">
            <w:pPr>
              <w:ind w:left="32" w:firstLine="0"/>
              <w:rPr>
                <w:rFonts w:cstheme="minorHAnsi"/>
                <w:sz w:val="20"/>
                <w:szCs w:val="20"/>
              </w:rPr>
            </w:pPr>
          </w:p>
        </w:tc>
        <w:tc>
          <w:tcPr>
            <w:tcW w:w="3150" w:type="dxa"/>
            <w:vMerge/>
          </w:tcPr>
          <w:p w14:paraId="63836AE2" w14:textId="77777777" w:rsidR="007D5E58" w:rsidRPr="005C579C" w:rsidRDefault="007D5E58" w:rsidP="00974425">
            <w:pPr>
              <w:ind w:left="48" w:firstLine="0"/>
              <w:rPr>
                <w:rFonts w:cstheme="minorHAnsi"/>
                <w:sz w:val="20"/>
                <w:szCs w:val="20"/>
              </w:rPr>
            </w:pPr>
          </w:p>
        </w:tc>
        <w:tc>
          <w:tcPr>
            <w:tcW w:w="3780" w:type="dxa"/>
            <w:shd w:val="clear" w:color="auto" w:fill="FFA5A5"/>
          </w:tcPr>
          <w:p w14:paraId="43A846FA"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9B7CDB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429B213" w14:textId="77777777" w:rsidTr="00974425">
        <w:trPr>
          <w:trHeight w:val="535"/>
        </w:trPr>
        <w:tc>
          <w:tcPr>
            <w:tcW w:w="1634" w:type="dxa"/>
            <w:vMerge/>
          </w:tcPr>
          <w:p w14:paraId="613C2896" w14:textId="77777777" w:rsidR="007D5E58" w:rsidRPr="005C579C" w:rsidRDefault="007D5E58" w:rsidP="00A53840">
            <w:pPr>
              <w:ind w:left="29" w:firstLine="0"/>
              <w:rPr>
                <w:rFonts w:cstheme="minorHAnsi"/>
                <w:sz w:val="20"/>
                <w:szCs w:val="20"/>
              </w:rPr>
            </w:pPr>
          </w:p>
        </w:tc>
        <w:tc>
          <w:tcPr>
            <w:tcW w:w="3330" w:type="dxa"/>
          </w:tcPr>
          <w:p w14:paraId="5BEDF5A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how income is measured and allocated to people, including assessment periods – especially in the treatment of lump-sum payments, retrospective payments, joint investments and annual business income.</w:t>
            </w:r>
          </w:p>
        </w:tc>
        <w:tc>
          <w:tcPr>
            <w:tcW w:w="1260" w:type="dxa"/>
            <w:vMerge/>
          </w:tcPr>
          <w:p w14:paraId="52F60ED6" w14:textId="77777777" w:rsidR="007D5E58" w:rsidRPr="005C579C" w:rsidRDefault="007D5E58" w:rsidP="00974425">
            <w:pPr>
              <w:ind w:left="32" w:firstLine="0"/>
              <w:rPr>
                <w:rFonts w:cstheme="minorHAnsi"/>
                <w:sz w:val="20"/>
                <w:szCs w:val="20"/>
              </w:rPr>
            </w:pPr>
          </w:p>
        </w:tc>
        <w:tc>
          <w:tcPr>
            <w:tcW w:w="3150" w:type="dxa"/>
            <w:vMerge/>
          </w:tcPr>
          <w:p w14:paraId="44A41BA8" w14:textId="77777777" w:rsidR="007D5E58" w:rsidRPr="005C579C" w:rsidRDefault="007D5E58" w:rsidP="00974425">
            <w:pPr>
              <w:ind w:left="48" w:firstLine="0"/>
              <w:rPr>
                <w:rFonts w:cstheme="minorHAnsi"/>
                <w:sz w:val="20"/>
                <w:szCs w:val="20"/>
              </w:rPr>
            </w:pPr>
          </w:p>
        </w:tc>
        <w:tc>
          <w:tcPr>
            <w:tcW w:w="3780" w:type="dxa"/>
            <w:shd w:val="clear" w:color="auto" w:fill="FFA5A5"/>
          </w:tcPr>
          <w:p w14:paraId="66C5D5C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EA7BDD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143A162" w14:textId="77777777" w:rsidTr="00974425">
        <w:trPr>
          <w:trHeight w:val="180"/>
        </w:trPr>
        <w:tc>
          <w:tcPr>
            <w:tcW w:w="1634" w:type="dxa"/>
            <w:vMerge w:val="restart"/>
          </w:tcPr>
          <w:p w14:paraId="1EA150C1" w14:textId="77777777" w:rsidR="007D5E58" w:rsidRPr="005C579C" w:rsidRDefault="007D5E58" w:rsidP="00A53840">
            <w:pPr>
              <w:ind w:left="29" w:firstLine="0"/>
              <w:rPr>
                <w:rFonts w:cstheme="minorHAnsi"/>
                <w:sz w:val="20"/>
                <w:szCs w:val="20"/>
              </w:rPr>
            </w:pPr>
            <w:r w:rsidRPr="005C579C">
              <w:rPr>
                <w:rFonts w:cstheme="minorHAnsi"/>
                <w:sz w:val="20"/>
                <w:szCs w:val="20"/>
              </w:rPr>
              <w:t>Family Tax Credit</w:t>
            </w:r>
          </w:p>
        </w:tc>
        <w:tc>
          <w:tcPr>
            <w:tcW w:w="3330" w:type="dxa"/>
          </w:tcPr>
          <w:p w14:paraId="2DA3CB6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Align shared care rules for the Family Tax Credit with child support – 35% of care.</w:t>
            </w:r>
          </w:p>
        </w:tc>
        <w:tc>
          <w:tcPr>
            <w:tcW w:w="1260" w:type="dxa"/>
            <w:vMerge w:val="restart"/>
          </w:tcPr>
          <w:p w14:paraId="7FBE758B" w14:textId="77777777" w:rsidR="007D5E58" w:rsidRPr="005C579C" w:rsidRDefault="007D5E58" w:rsidP="00974425">
            <w:pPr>
              <w:ind w:left="32" w:firstLine="0"/>
              <w:rPr>
                <w:rFonts w:cstheme="minorHAnsi"/>
                <w:sz w:val="20"/>
                <w:szCs w:val="20"/>
              </w:rPr>
            </w:pPr>
            <w:r w:rsidRPr="005C579C">
              <w:rPr>
                <w:rFonts w:cstheme="minorHAnsi"/>
                <w:sz w:val="20"/>
                <w:szCs w:val="20"/>
              </w:rPr>
              <w:t>Ch 7</w:t>
            </w:r>
          </w:p>
        </w:tc>
        <w:tc>
          <w:tcPr>
            <w:tcW w:w="3150" w:type="dxa"/>
            <w:vMerge w:val="restart"/>
          </w:tcPr>
          <w:p w14:paraId="48B05ADE" w14:textId="58CF6BD4" w:rsidR="007D5E58" w:rsidRPr="005C579C" w:rsidRDefault="007D5E58" w:rsidP="00974425">
            <w:pPr>
              <w:ind w:left="48" w:firstLine="0"/>
              <w:rPr>
                <w:rFonts w:cstheme="minorHAnsi"/>
                <w:sz w:val="20"/>
                <w:szCs w:val="20"/>
              </w:rPr>
            </w:pPr>
            <w:r w:rsidRPr="005C579C">
              <w:rPr>
                <w:rFonts w:cstheme="minorHAnsi"/>
                <w:sz w:val="20"/>
                <w:szCs w:val="20"/>
              </w:rPr>
              <w:t>As part of Budget 2021 announcements, the Government signalled that it would be working on a review of the Working for Families package</w:t>
            </w:r>
            <w:r w:rsidR="00E13DBF">
              <w:rPr>
                <w:rFonts w:cstheme="minorHAnsi"/>
                <w:sz w:val="20"/>
                <w:szCs w:val="20"/>
              </w:rPr>
              <w:t xml:space="preserve"> (RNZ, 2021a)</w:t>
            </w:r>
            <w:r w:rsidRPr="005C579C">
              <w:rPr>
                <w:rFonts w:cstheme="minorHAnsi"/>
                <w:sz w:val="20"/>
                <w:szCs w:val="20"/>
              </w:rPr>
              <w:t>. In a 27 September 2021 Cabinet paper, Appendix Three, the Government stated that “Advice on the scope, scale and timing of the review was provided to joint ministers in April 2021”</w:t>
            </w:r>
            <w:r w:rsidR="00E13DBF">
              <w:rPr>
                <w:rFonts w:cstheme="minorHAnsi"/>
                <w:sz w:val="20"/>
                <w:szCs w:val="20"/>
              </w:rPr>
              <w:t xml:space="preserve"> (MSD, 2021d).</w:t>
            </w:r>
          </w:p>
          <w:p w14:paraId="309ADCC7" w14:textId="77777777" w:rsidR="007D5E58" w:rsidRPr="005C579C" w:rsidRDefault="007D5E58" w:rsidP="00974425">
            <w:pPr>
              <w:ind w:left="48" w:firstLine="0"/>
              <w:rPr>
                <w:rFonts w:cstheme="minorHAnsi"/>
                <w:sz w:val="20"/>
                <w:szCs w:val="20"/>
              </w:rPr>
            </w:pPr>
          </w:p>
        </w:tc>
        <w:tc>
          <w:tcPr>
            <w:tcW w:w="3780" w:type="dxa"/>
            <w:shd w:val="clear" w:color="auto" w:fill="FFA5A5"/>
          </w:tcPr>
          <w:p w14:paraId="401487DF"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6EAD5E16" w14:textId="77777777" w:rsidR="007D5E58" w:rsidRPr="005C579C" w:rsidRDefault="007D5E58" w:rsidP="00974425">
            <w:pPr>
              <w:ind w:left="16" w:firstLine="0"/>
              <w:rPr>
                <w:rFonts w:cstheme="minorHAnsi"/>
                <w:sz w:val="20"/>
                <w:szCs w:val="20"/>
              </w:rPr>
            </w:pPr>
          </w:p>
          <w:p w14:paraId="0BFF574C" w14:textId="4ADE69E2" w:rsidR="007D5E58" w:rsidRPr="005C579C" w:rsidRDefault="007D5E58" w:rsidP="00974425">
            <w:pPr>
              <w:ind w:left="16" w:firstLine="0"/>
              <w:rPr>
                <w:rFonts w:cstheme="minorHAnsi"/>
                <w:sz w:val="20"/>
                <w:szCs w:val="20"/>
              </w:rPr>
            </w:pPr>
            <w:r w:rsidRPr="005C579C">
              <w:rPr>
                <w:rFonts w:cstheme="minorHAnsi"/>
                <w:sz w:val="20"/>
                <w:szCs w:val="20"/>
              </w:rPr>
              <w:t>A parent who provides care for a child at least 28% of the time can have this taken into account for child support calculations</w:t>
            </w:r>
            <w:r w:rsidR="00E13DBF">
              <w:rPr>
                <w:rFonts w:cstheme="minorHAnsi"/>
                <w:sz w:val="20"/>
                <w:szCs w:val="20"/>
              </w:rPr>
              <w:t xml:space="preserve"> (IRD, 2020)</w:t>
            </w:r>
            <w:r w:rsidR="006F32C7">
              <w:rPr>
                <w:rFonts w:cstheme="minorHAnsi"/>
                <w:sz w:val="20"/>
                <w:szCs w:val="20"/>
              </w:rPr>
              <w:t>.</w:t>
            </w:r>
          </w:p>
        </w:tc>
        <w:tc>
          <w:tcPr>
            <w:tcW w:w="1447" w:type="dxa"/>
            <w:shd w:val="clear" w:color="auto" w:fill="auto"/>
          </w:tcPr>
          <w:p w14:paraId="5DC4C84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F63185E" w14:textId="77777777" w:rsidTr="00974425">
        <w:trPr>
          <w:trHeight w:val="180"/>
        </w:trPr>
        <w:tc>
          <w:tcPr>
            <w:tcW w:w="1634" w:type="dxa"/>
            <w:vMerge/>
          </w:tcPr>
          <w:p w14:paraId="7A930DC8" w14:textId="77777777" w:rsidR="007D5E58" w:rsidRPr="005C579C" w:rsidRDefault="007D5E58" w:rsidP="00A53840">
            <w:pPr>
              <w:ind w:left="29" w:firstLine="0"/>
              <w:rPr>
                <w:rFonts w:cstheme="minorHAnsi"/>
                <w:sz w:val="20"/>
                <w:szCs w:val="20"/>
              </w:rPr>
            </w:pPr>
          </w:p>
        </w:tc>
        <w:tc>
          <w:tcPr>
            <w:tcW w:w="3330" w:type="dxa"/>
          </w:tcPr>
          <w:p w14:paraId="7684A20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Extend the 4 weeks ‘terminal payment’ to the Family Tax Credit.</w:t>
            </w:r>
          </w:p>
        </w:tc>
        <w:tc>
          <w:tcPr>
            <w:tcW w:w="1260" w:type="dxa"/>
            <w:vMerge/>
          </w:tcPr>
          <w:p w14:paraId="594991E1" w14:textId="77777777" w:rsidR="007D5E58" w:rsidRPr="005C579C" w:rsidRDefault="007D5E58" w:rsidP="00974425">
            <w:pPr>
              <w:ind w:left="32" w:firstLine="0"/>
              <w:rPr>
                <w:rFonts w:cstheme="minorHAnsi"/>
                <w:sz w:val="20"/>
                <w:szCs w:val="20"/>
              </w:rPr>
            </w:pPr>
          </w:p>
        </w:tc>
        <w:tc>
          <w:tcPr>
            <w:tcW w:w="3150" w:type="dxa"/>
            <w:vMerge/>
          </w:tcPr>
          <w:p w14:paraId="766E57C0" w14:textId="77777777" w:rsidR="007D5E58" w:rsidRPr="005C579C" w:rsidRDefault="007D5E58" w:rsidP="00974425">
            <w:pPr>
              <w:ind w:left="48" w:firstLine="0"/>
              <w:rPr>
                <w:rFonts w:cstheme="minorHAnsi"/>
                <w:sz w:val="20"/>
                <w:szCs w:val="20"/>
              </w:rPr>
            </w:pPr>
          </w:p>
        </w:tc>
        <w:tc>
          <w:tcPr>
            <w:tcW w:w="3780" w:type="dxa"/>
            <w:shd w:val="clear" w:color="auto" w:fill="FFA5A5"/>
          </w:tcPr>
          <w:p w14:paraId="022959FD"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76DEE7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D7C4347" w14:textId="77777777" w:rsidTr="00974425">
        <w:trPr>
          <w:trHeight w:val="2762"/>
        </w:trPr>
        <w:tc>
          <w:tcPr>
            <w:tcW w:w="1634" w:type="dxa"/>
            <w:vMerge/>
          </w:tcPr>
          <w:p w14:paraId="37AA8849" w14:textId="77777777" w:rsidR="007D5E58" w:rsidRPr="005C579C" w:rsidRDefault="007D5E58" w:rsidP="00A53840">
            <w:pPr>
              <w:ind w:left="29" w:firstLine="0"/>
              <w:rPr>
                <w:rFonts w:cstheme="minorHAnsi"/>
                <w:sz w:val="20"/>
                <w:szCs w:val="20"/>
              </w:rPr>
            </w:pPr>
          </w:p>
        </w:tc>
        <w:tc>
          <w:tcPr>
            <w:tcW w:w="3330" w:type="dxa"/>
          </w:tcPr>
          <w:p w14:paraId="243B215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how increases in the Family Tax Credit should impact on the rates of Unsupported Child’s Benefit and Orphan’s Benefit.</w:t>
            </w:r>
          </w:p>
        </w:tc>
        <w:tc>
          <w:tcPr>
            <w:tcW w:w="1260" w:type="dxa"/>
            <w:vMerge/>
          </w:tcPr>
          <w:p w14:paraId="0B79D27B" w14:textId="77777777" w:rsidR="007D5E58" w:rsidRPr="005C579C" w:rsidRDefault="007D5E58" w:rsidP="00974425">
            <w:pPr>
              <w:ind w:left="32" w:firstLine="0"/>
              <w:rPr>
                <w:rFonts w:cstheme="minorHAnsi"/>
                <w:sz w:val="20"/>
                <w:szCs w:val="20"/>
              </w:rPr>
            </w:pPr>
          </w:p>
        </w:tc>
        <w:tc>
          <w:tcPr>
            <w:tcW w:w="3150" w:type="dxa"/>
            <w:vMerge/>
          </w:tcPr>
          <w:p w14:paraId="5B8C790C" w14:textId="77777777" w:rsidR="007D5E58" w:rsidRPr="005C579C" w:rsidRDefault="007D5E58" w:rsidP="00974425">
            <w:pPr>
              <w:ind w:left="48" w:firstLine="0"/>
              <w:rPr>
                <w:rFonts w:cstheme="minorHAnsi"/>
                <w:sz w:val="20"/>
                <w:szCs w:val="20"/>
              </w:rPr>
            </w:pPr>
          </w:p>
        </w:tc>
        <w:tc>
          <w:tcPr>
            <w:tcW w:w="3780" w:type="dxa"/>
            <w:shd w:val="clear" w:color="auto" w:fill="FFA5A5"/>
          </w:tcPr>
          <w:p w14:paraId="370C9C5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9D5E342"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1BE5FDD" w14:textId="77777777" w:rsidTr="00974425">
        <w:tc>
          <w:tcPr>
            <w:tcW w:w="1634" w:type="dxa"/>
          </w:tcPr>
          <w:p w14:paraId="432DCEA3" w14:textId="77777777" w:rsidR="007D5E58" w:rsidRPr="005C579C" w:rsidRDefault="007D5E58" w:rsidP="00A53840">
            <w:pPr>
              <w:ind w:left="29" w:firstLine="0"/>
              <w:rPr>
                <w:rFonts w:cstheme="minorHAnsi"/>
                <w:sz w:val="20"/>
                <w:szCs w:val="20"/>
              </w:rPr>
            </w:pPr>
            <w:r w:rsidRPr="005C579C">
              <w:rPr>
                <w:rFonts w:cstheme="minorHAnsi"/>
                <w:sz w:val="20"/>
                <w:szCs w:val="20"/>
              </w:rPr>
              <w:t>Best Start Tax Credit</w:t>
            </w:r>
          </w:p>
        </w:tc>
        <w:tc>
          <w:tcPr>
            <w:tcW w:w="3330" w:type="dxa"/>
          </w:tcPr>
          <w:p w14:paraId="4F5D26D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changing the interaction between Best Start and Paid Parental Leave to avoid overpayments.</w:t>
            </w:r>
          </w:p>
        </w:tc>
        <w:tc>
          <w:tcPr>
            <w:tcW w:w="1260" w:type="dxa"/>
          </w:tcPr>
          <w:p w14:paraId="43A902D1" w14:textId="77777777" w:rsidR="007D5E58" w:rsidRPr="005C579C" w:rsidRDefault="007D5E58" w:rsidP="00974425">
            <w:pPr>
              <w:ind w:left="32" w:firstLine="0"/>
              <w:rPr>
                <w:rFonts w:cstheme="minorHAnsi"/>
                <w:sz w:val="20"/>
                <w:szCs w:val="20"/>
              </w:rPr>
            </w:pPr>
            <w:r w:rsidRPr="005C579C">
              <w:rPr>
                <w:rFonts w:cstheme="minorHAnsi"/>
                <w:sz w:val="20"/>
                <w:szCs w:val="20"/>
              </w:rPr>
              <w:t>Ch 7</w:t>
            </w:r>
          </w:p>
        </w:tc>
        <w:tc>
          <w:tcPr>
            <w:tcW w:w="3150" w:type="dxa"/>
            <w:vMerge/>
          </w:tcPr>
          <w:p w14:paraId="45DDE28B" w14:textId="77777777" w:rsidR="007D5E58" w:rsidRPr="005C579C" w:rsidRDefault="007D5E58" w:rsidP="00974425">
            <w:pPr>
              <w:ind w:left="48" w:firstLine="0"/>
              <w:rPr>
                <w:rFonts w:cstheme="minorHAnsi"/>
                <w:sz w:val="20"/>
                <w:szCs w:val="20"/>
              </w:rPr>
            </w:pPr>
          </w:p>
        </w:tc>
        <w:tc>
          <w:tcPr>
            <w:tcW w:w="3780" w:type="dxa"/>
            <w:shd w:val="clear" w:color="auto" w:fill="FFA5A5"/>
          </w:tcPr>
          <w:p w14:paraId="6C48C76F"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3F17DE77"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E9EFAD0" w14:textId="77777777" w:rsidTr="00974425">
        <w:trPr>
          <w:trHeight w:val="980"/>
        </w:trPr>
        <w:tc>
          <w:tcPr>
            <w:tcW w:w="1634" w:type="dxa"/>
          </w:tcPr>
          <w:p w14:paraId="4F705296" w14:textId="77777777" w:rsidR="007D5E58" w:rsidRPr="005C579C" w:rsidRDefault="007D5E58" w:rsidP="00A53840">
            <w:pPr>
              <w:ind w:left="29" w:firstLine="0"/>
              <w:rPr>
                <w:rFonts w:cstheme="minorHAnsi"/>
                <w:sz w:val="20"/>
                <w:szCs w:val="20"/>
              </w:rPr>
            </w:pPr>
            <w:r w:rsidRPr="005C579C">
              <w:rPr>
                <w:rFonts w:cstheme="minorHAnsi"/>
                <w:sz w:val="20"/>
                <w:szCs w:val="20"/>
              </w:rPr>
              <w:t>Child Tax Credit</w:t>
            </w:r>
          </w:p>
        </w:tc>
        <w:tc>
          <w:tcPr>
            <w:tcW w:w="3330" w:type="dxa"/>
          </w:tcPr>
          <w:p w14:paraId="231D324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Repeal the Child Tax Credit</w:t>
            </w:r>
          </w:p>
        </w:tc>
        <w:tc>
          <w:tcPr>
            <w:tcW w:w="1260" w:type="dxa"/>
          </w:tcPr>
          <w:p w14:paraId="321E1227" w14:textId="77777777" w:rsidR="007D5E58" w:rsidRPr="005C579C" w:rsidRDefault="007D5E58" w:rsidP="00974425">
            <w:pPr>
              <w:ind w:left="32" w:firstLine="0"/>
              <w:rPr>
                <w:rFonts w:cstheme="minorHAnsi"/>
                <w:sz w:val="20"/>
                <w:szCs w:val="20"/>
              </w:rPr>
            </w:pPr>
            <w:r w:rsidRPr="005C579C">
              <w:rPr>
                <w:rFonts w:cstheme="minorHAnsi"/>
                <w:sz w:val="20"/>
                <w:szCs w:val="20"/>
              </w:rPr>
              <w:t>Ch 7</w:t>
            </w:r>
          </w:p>
        </w:tc>
        <w:tc>
          <w:tcPr>
            <w:tcW w:w="3150" w:type="dxa"/>
            <w:vMerge/>
          </w:tcPr>
          <w:p w14:paraId="46AB2587" w14:textId="77777777" w:rsidR="007D5E58" w:rsidRPr="005C579C" w:rsidRDefault="007D5E58" w:rsidP="00974425">
            <w:pPr>
              <w:ind w:left="48" w:firstLine="0"/>
              <w:rPr>
                <w:rFonts w:cstheme="minorHAnsi"/>
                <w:sz w:val="20"/>
                <w:szCs w:val="20"/>
              </w:rPr>
            </w:pPr>
          </w:p>
        </w:tc>
        <w:tc>
          <w:tcPr>
            <w:tcW w:w="3780" w:type="dxa"/>
            <w:shd w:val="clear" w:color="auto" w:fill="FFA5A5"/>
          </w:tcPr>
          <w:p w14:paraId="2ECB913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28E0D3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0524D005" w14:textId="77777777" w:rsidTr="00974425">
        <w:trPr>
          <w:trHeight w:val="1478"/>
        </w:trPr>
        <w:tc>
          <w:tcPr>
            <w:tcW w:w="1634" w:type="dxa"/>
            <w:vMerge w:val="restart"/>
          </w:tcPr>
          <w:p w14:paraId="2408B7A2" w14:textId="77777777" w:rsidR="007D5E58" w:rsidRPr="005C579C" w:rsidRDefault="007D5E58" w:rsidP="00A53840">
            <w:pPr>
              <w:ind w:left="29" w:firstLine="0"/>
              <w:rPr>
                <w:rFonts w:cstheme="minorHAnsi"/>
                <w:sz w:val="20"/>
                <w:szCs w:val="20"/>
              </w:rPr>
            </w:pPr>
            <w:r w:rsidRPr="005C579C">
              <w:rPr>
                <w:rFonts w:cstheme="minorHAnsi"/>
                <w:sz w:val="20"/>
                <w:szCs w:val="20"/>
              </w:rPr>
              <w:t>Childcare Assistance</w:t>
            </w:r>
          </w:p>
        </w:tc>
        <w:tc>
          <w:tcPr>
            <w:tcW w:w="3330" w:type="dxa"/>
          </w:tcPr>
          <w:p w14:paraId="7D7992E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Change the definition of income to remove other non-taxable transfer payments (for example, Accommodation Supplement, Disability Allowance and Temporary Additional Support).</w:t>
            </w:r>
          </w:p>
        </w:tc>
        <w:tc>
          <w:tcPr>
            <w:tcW w:w="1260" w:type="dxa"/>
            <w:vMerge w:val="restart"/>
          </w:tcPr>
          <w:p w14:paraId="3C06561B" w14:textId="77777777" w:rsidR="007D5E58" w:rsidRPr="005C579C" w:rsidRDefault="007D5E58" w:rsidP="00974425">
            <w:pPr>
              <w:ind w:left="32" w:firstLine="0"/>
              <w:rPr>
                <w:rFonts w:cstheme="minorHAnsi"/>
                <w:sz w:val="20"/>
                <w:szCs w:val="20"/>
              </w:rPr>
            </w:pPr>
            <w:r w:rsidRPr="005C579C">
              <w:rPr>
                <w:rFonts w:cstheme="minorHAnsi"/>
                <w:sz w:val="20"/>
                <w:szCs w:val="20"/>
              </w:rPr>
              <w:t>Ch 7</w:t>
            </w:r>
          </w:p>
        </w:tc>
        <w:tc>
          <w:tcPr>
            <w:tcW w:w="3150" w:type="dxa"/>
            <w:vMerge w:val="restart"/>
          </w:tcPr>
          <w:p w14:paraId="5A2212B6" w14:textId="1AFA9F75" w:rsidR="007D5E58" w:rsidRPr="005C579C" w:rsidRDefault="007D5E58" w:rsidP="00974425">
            <w:pPr>
              <w:ind w:left="48" w:firstLine="0"/>
              <w:rPr>
                <w:rFonts w:cstheme="minorHAnsi"/>
                <w:sz w:val="20"/>
                <w:szCs w:val="20"/>
              </w:rPr>
            </w:pPr>
            <w:r w:rsidRPr="005C579C">
              <w:rPr>
                <w:rFonts w:cstheme="minorHAnsi"/>
                <w:sz w:val="20"/>
                <w:szCs w:val="20"/>
              </w:rPr>
              <w:t>In a May 2021 Cabinet paper released to CPAG under OIA, MSD officials indicated that a review of Childcare Assistance will be considered alongside the upcoming review of Working for Families as a separate, but related, workstream</w:t>
            </w:r>
            <w:r w:rsidR="006F32C7">
              <w:rPr>
                <w:rFonts w:cstheme="minorHAnsi"/>
                <w:sz w:val="20"/>
                <w:szCs w:val="20"/>
              </w:rPr>
              <w:t xml:space="preserve"> (MSD, 2021i)</w:t>
            </w:r>
            <w:r w:rsidRPr="005C579C">
              <w:rPr>
                <w:rFonts w:cstheme="minorHAnsi"/>
                <w:sz w:val="20"/>
                <w:szCs w:val="20"/>
              </w:rPr>
              <w:t xml:space="preserve">.  </w:t>
            </w:r>
          </w:p>
        </w:tc>
        <w:tc>
          <w:tcPr>
            <w:tcW w:w="3780" w:type="dxa"/>
            <w:shd w:val="clear" w:color="auto" w:fill="FFA5A5"/>
          </w:tcPr>
          <w:p w14:paraId="6834C63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BA49CEB"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5B8C867" w14:textId="77777777" w:rsidTr="00974425">
        <w:trPr>
          <w:trHeight w:val="1477"/>
        </w:trPr>
        <w:tc>
          <w:tcPr>
            <w:tcW w:w="1634" w:type="dxa"/>
            <w:vMerge/>
          </w:tcPr>
          <w:p w14:paraId="704D11D3" w14:textId="77777777" w:rsidR="007D5E58" w:rsidRPr="005C579C" w:rsidRDefault="007D5E58" w:rsidP="00A53840">
            <w:pPr>
              <w:ind w:left="29" w:firstLine="0"/>
              <w:rPr>
                <w:rFonts w:cstheme="minorHAnsi"/>
                <w:sz w:val="20"/>
                <w:szCs w:val="20"/>
              </w:rPr>
            </w:pPr>
          </w:p>
        </w:tc>
        <w:tc>
          <w:tcPr>
            <w:tcW w:w="3330" w:type="dxa"/>
          </w:tcPr>
          <w:p w14:paraId="57B1CCD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Improve take-up by promoting greater awareness to working families, alongside Inland Revenue (given its role in administering Working for Families).</w:t>
            </w:r>
          </w:p>
        </w:tc>
        <w:tc>
          <w:tcPr>
            <w:tcW w:w="1260" w:type="dxa"/>
            <w:vMerge/>
          </w:tcPr>
          <w:p w14:paraId="5B0BC08C" w14:textId="77777777" w:rsidR="007D5E58" w:rsidRPr="005C579C" w:rsidRDefault="007D5E58" w:rsidP="00974425">
            <w:pPr>
              <w:ind w:left="32" w:firstLine="0"/>
              <w:rPr>
                <w:rFonts w:cstheme="minorHAnsi"/>
                <w:sz w:val="20"/>
                <w:szCs w:val="20"/>
              </w:rPr>
            </w:pPr>
          </w:p>
        </w:tc>
        <w:tc>
          <w:tcPr>
            <w:tcW w:w="3150" w:type="dxa"/>
            <w:vMerge/>
          </w:tcPr>
          <w:p w14:paraId="6CE6AB66" w14:textId="77777777" w:rsidR="007D5E58" w:rsidRPr="005C579C" w:rsidRDefault="007D5E58" w:rsidP="00974425">
            <w:pPr>
              <w:ind w:left="48" w:firstLine="0"/>
              <w:rPr>
                <w:rFonts w:cstheme="minorHAnsi"/>
                <w:sz w:val="20"/>
                <w:szCs w:val="20"/>
              </w:rPr>
            </w:pPr>
          </w:p>
        </w:tc>
        <w:tc>
          <w:tcPr>
            <w:tcW w:w="3780" w:type="dxa"/>
            <w:shd w:val="clear" w:color="auto" w:fill="FFA5A5"/>
          </w:tcPr>
          <w:p w14:paraId="684A618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88BC95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C2DB2D1" w14:textId="77777777" w:rsidTr="00974425">
        <w:trPr>
          <w:trHeight w:val="135"/>
        </w:trPr>
        <w:tc>
          <w:tcPr>
            <w:tcW w:w="1634" w:type="dxa"/>
            <w:vMerge/>
          </w:tcPr>
          <w:p w14:paraId="4CED0C88" w14:textId="77777777" w:rsidR="007D5E58" w:rsidRPr="005C579C" w:rsidRDefault="007D5E58" w:rsidP="00A53840">
            <w:pPr>
              <w:ind w:left="29" w:firstLine="0"/>
              <w:rPr>
                <w:rFonts w:cstheme="minorHAnsi"/>
                <w:sz w:val="20"/>
                <w:szCs w:val="20"/>
              </w:rPr>
            </w:pPr>
          </w:p>
        </w:tc>
        <w:tc>
          <w:tcPr>
            <w:tcW w:w="3330" w:type="dxa"/>
          </w:tcPr>
          <w:p w14:paraId="3D0693A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subsidy rates (and their interaction with minimum session times in childcare and Out of School Care and Recreation (OSCAR) services), to determine if they are adequately subsidising costs, and increase the rates if they are inadequate.</w:t>
            </w:r>
          </w:p>
        </w:tc>
        <w:tc>
          <w:tcPr>
            <w:tcW w:w="1260" w:type="dxa"/>
            <w:vMerge/>
          </w:tcPr>
          <w:p w14:paraId="405B23C4" w14:textId="77777777" w:rsidR="007D5E58" w:rsidRPr="005C579C" w:rsidRDefault="007D5E58" w:rsidP="00974425">
            <w:pPr>
              <w:ind w:left="32" w:firstLine="0"/>
              <w:rPr>
                <w:rFonts w:cstheme="minorHAnsi"/>
                <w:sz w:val="20"/>
                <w:szCs w:val="20"/>
              </w:rPr>
            </w:pPr>
          </w:p>
        </w:tc>
        <w:tc>
          <w:tcPr>
            <w:tcW w:w="3150" w:type="dxa"/>
            <w:vMerge/>
          </w:tcPr>
          <w:p w14:paraId="0377F597" w14:textId="77777777" w:rsidR="007D5E58" w:rsidRPr="005C579C" w:rsidRDefault="007D5E58" w:rsidP="00974425">
            <w:pPr>
              <w:ind w:left="48" w:firstLine="0"/>
              <w:rPr>
                <w:rFonts w:cstheme="minorHAnsi"/>
                <w:sz w:val="20"/>
                <w:szCs w:val="20"/>
              </w:rPr>
            </w:pPr>
          </w:p>
        </w:tc>
        <w:tc>
          <w:tcPr>
            <w:tcW w:w="3780" w:type="dxa"/>
            <w:shd w:val="clear" w:color="auto" w:fill="FFA5A5"/>
          </w:tcPr>
          <w:p w14:paraId="2C155E19"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AC7C06B"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02816CEF" w14:textId="77777777" w:rsidTr="00974425">
        <w:trPr>
          <w:trHeight w:val="710"/>
        </w:trPr>
        <w:tc>
          <w:tcPr>
            <w:tcW w:w="1634" w:type="dxa"/>
            <w:vMerge/>
          </w:tcPr>
          <w:p w14:paraId="3031F5FC" w14:textId="77777777" w:rsidR="007D5E58" w:rsidRPr="005C579C" w:rsidRDefault="007D5E58" w:rsidP="00A53840">
            <w:pPr>
              <w:ind w:left="29" w:firstLine="0"/>
              <w:rPr>
                <w:rFonts w:cstheme="minorHAnsi"/>
                <w:sz w:val="20"/>
                <w:szCs w:val="20"/>
              </w:rPr>
            </w:pPr>
          </w:p>
        </w:tc>
        <w:tc>
          <w:tcPr>
            <w:tcW w:w="3330" w:type="dxa"/>
          </w:tcPr>
          <w:p w14:paraId="07B69A5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increasing income thresholds to provide greater subsidisation of childcare costs for low- and middle-income working families, so that effective marginal tax rates for these families are not too high.</w:t>
            </w:r>
          </w:p>
        </w:tc>
        <w:tc>
          <w:tcPr>
            <w:tcW w:w="1260" w:type="dxa"/>
            <w:vMerge/>
          </w:tcPr>
          <w:p w14:paraId="034BD4A0" w14:textId="77777777" w:rsidR="007D5E58" w:rsidRPr="005C579C" w:rsidRDefault="007D5E58" w:rsidP="00974425">
            <w:pPr>
              <w:ind w:left="32" w:firstLine="0"/>
              <w:rPr>
                <w:rFonts w:cstheme="minorHAnsi"/>
                <w:sz w:val="20"/>
                <w:szCs w:val="20"/>
              </w:rPr>
            </w:pPr>
          </w:p>
        </w:tc>
        <w:tc>
          <w:tcPr>
            <w:tcW w:w="3150" w:type="dxa"/>
            <w:vMerge/>
          </w:tcPr>
          <w:p w14:paraId="0F28A983" w14:textId="77777777" w:rsidR="007D5E58" w:rsidRPr="005C579C" w:rsidRDefault="007D5E58" w:rsidP="00974425">
            <w:pPr>
              <w:ind w:left="48" w:firstLine="0"/>
              <w:rPr>
                <w:rFonts w:cstheme="minorHAnsi"/>
                <w:sz w:val="20"/>
                <w:szCs w:val="20"/>
              </w:rPr>
            </w:pPr>
          </w:p>
        </w:tc>
        <w:tc>
          <w:tcPr>
            <w:tcW w:w="3780" w:type="dxa"/>
            <w:shd w:val="clear" w:color="auto" w:fill="FFD966" w:themeFill="accent4" w:themeFillTint="99"/>
          </w:tcPr>
          <w:p w14:paraId="25FBC097"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46181B99" w14:textId="77777777" w:rsidR="007D5E58" w:rsidRPr="005C579C" w:rsidRDefault="007D5E58" w:rsidP="00974425">
            <w:pPr>
              <w:ind w:left="16" w:firstLine="0"/>
              <w:rPr>
                <w:rFonts w:cstheme="minorHAnsi"/>
                <w:sz w:val="20"/>
                <w:szCs w:val="20"/>
              </w:rPr>
            </w:pPr>
          </w:p>
          <w:p w14:paraId="25E7A602" w14:textId="3F6F2A2A" w:rsidR="007D5E58" w:rsidRPr="005C579C" w:rsidRDefault="007D5E58" w:rsidP="00974425">
            <w:pPr>
              <w:ind w:left="16" w:firstLine="0"/>
              <w:rPr>
                <w:rFonts w:cstheme="minorHAnsi"/>
                <w:sz w:val="20"/>
                <w:szCs w:val="20"/>
              </w:rPr>
            </w:pPr>
            <w:r w:rsidRPr="005C579C">
              <w:rPr>
                <w:rFonts w:cstheme="minorHAnsi"/>
                <w:sz w:val="20"/>
                <w:szCs w:val="20"/>
              </w:rPr>
              <w:t>From 1 April 2022, the income thresholds for Childcare Assistance will be adjusted annually in line with average wage growth</w:t>
            </w:r>
            <w:r w:rsidR="006F32C7">
              <w:rPr>
                <w:rFonts w:cstheme="minorHAnsi"/>
                <w:sz w:val="20"/>
                <w:szCs w:val="20"/>
              </w:rPr>
              <w:t xml:space="preserve"> (NZ Government, 2021a)</w:t>
            </w:r>
            <w:r w:rsidRPr="005C579C">
              <w:rPr>
                <w:rFonts w:cstheme="minorHAnsi"/>
                <w:sz w:val="20"/>
                <w:szCs w:val="20"/>
              </w:rPr>
              <w:t>. While this change does not account for the drop in relative value of these thresholds over time since the National-led Government froze them in 2010, it ensures that from April 2022 these thresholds will keep pace with growth in wages for low- and middle-income families.</w:t>
            </w:r>
          </w:p>
        </w:tc>
        <w:tc>
          <w:tcPr>
            <w:tcW w:w="1447" w:type="dxa"/>
            <w:shd w:val="clear" w:color="auto" w:fill="DEEAF6" w:themeFill="accent5" w:themeFillTint="33"/>
          </w:tcPr>
          <w:p w14:paraId="42D86402" w14:textId="77777777" w:rsidR="007D5E58" w:rsidRPr="005C579C" w:rsidRDefault="007D5E58" w:rsidP="00974425">
            <w:pPr>
              <w:ind w:left="63" w:firstLine="0"/>
              <w:rPr>
                <w:rFonts w:cstheme="minorHAnsi"/>
                <w:sz w:val="20"/>
                <w:szCs w:val="20"/>
              </w:rPr>
            </w:pPr>
            <w:r w:rsidRPr="005C579C">
              <w:rPr>
                <w:rFonts w:cstheme="minorHAnsi"/>
                <w:sz w:val="20"/>
                <w:szCs w:val="20"/>
              </w:rPr>
              <w:t>Progressed from no evidence to partial implementation since November 2020.</w:t>
            </w:r>
          </w:p>
        </w:tc>
      </w:tr>
      <w:tr w:rsidR="007D5E58" w:rsidRPr="005A73F9" w14:paraId="5DB7565E" w14:textId="77777777" w:rsidTr="00974425">
        <w:trPr>
          <w:trHeight w:val="54"/>
        </w:trPr>
        <w:tc>
          <w:tcPr>
            <w:tcW w:w="1634" w:type="dxa"/>
            <w:vMerge w:val="restart"/>
          </w:tcPr>
          <w:p w14:paraId="3A3CB5E3" w14:textId="77777777" w:rsidR="007D5E58" w:rsidRPr="005C579C" w:rsidRDefault="007D5E58" w:rsidP="00A53840">
            <w:pPr>
              <w:ind w:left="29" w:firstLine="0"/>
              <w:rPr>
                <w:rFonts w:cstheme="minorHAnsi"/>
                <w:sz w:val="20"/>
                <w:szCs w:val="20"/>
              </w:rPr>
            </w:pPr>
            <w:r w:rsidRPr="005C579C">
              <w:rPr>
                <w:rFonts w:cstheme="minorHAnsi"/>
                <w:sz w:val="20"/>
                <w:szCs w:val="20"/>
              </w:rPr>
              <w:t>Child support</w:t>
            </w:r>
          </w:p>
        </w:tc>
        <w:tc>
          <w:tcPr>
            <w:tcW w:w="3330" w:type="dxa"/>
          </w:tcPr>
          <w:p w14:paraId="461A8DA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Treat child support received as income for benefit abatement (already income for the Family Tax Credit).</w:t>
            </w:r>
          </w:p>
        </w:tc>
        <w:tc>
          <w:tcPr>
            <w:tcW w:w="1260" w:type="dxa"/>
            <w:vMerge w:val="restart"/>
          </w:tcPr>
          <w:p w14:paraId="03B7FA89" w14:textId="77777777" w:rsidR="007D5E58" w:rsidRPr="005C579C" w:rsidRDefault="007D5E58" w:rsidP="00974425">
            <w:pPr>
              <w:ind w:left="32" w:firstLine="0"/>
              <w:rPr>
                <w:rFonts w:cstheme="minorHAnsi"/>
                <w:sz w:val="20"/>
                <w:szCs w:val="20"/>
              </w:rPr>
            </w:pPr>
            <w:r w:rsidRPr="005C579C">
              <w:rPr>
                <w:rFonts w:cstheme="minorHAnsi"/>
                <w:sz w:val="20"/>
                <w:szCs w:val="20"/>
              </w:rPr>
              <w:t>Ch 7</w:t>
            </w:r>
          </w:p>
        </w:tc>
        <w:tc>
          <w:tcPr>
            <w:tcW w:w="3150" w:type="dxa"/>
            <w:vMerge w:val="restart"/>
          </w:tcPr>
          <w:p w14:paraId="44131137" w14:textId="181987F6" w:rsidR="007D5E58" w:rsidRPr="005C579C" w:rsidRDefault="007D5E58" w:rsidP="00974425">
            <w:pPr>
              <w:ind w:left="48" w:firstLine="0"/>
              <w:rPr>
                <w:rFonts w:cstheme="minorHAnsi"/>
                <w:sz w:val="20"/>
                <w:szCs w:val="20"/>
              </w:rPr>
            </w:pPr>
            <w:r w:rsidRPr="005C579C">
              <w:rPr>
                <w:rFonts w:cstheme="minorHAnsi"/>
                <w:sz w:val="20"/>
                <w:szCs w:val="20"/>
              </w:rPr>
              <w:t>Regarding key recommendation 27, a 27 September 2021 Cabinet paper, Appendix Three, stated that “Work on the child support pass-on proposal was paused in early 2020 due to the impact of COVID-19. Work is currently underway”</w:t>
            </w:r>
            <w:r w:rsidR="006F32C7">
              <w:rPr>
                <w:rFonts w:cstheme="minorHAnsi"/>
                <w:sz w:val="20"/>
                <w:szCs w:val="20"/>
              </w:rPr>
              <w:t xml:space="preserve"> (MSD, 2021d).</w:t>
            </w:r>
          </w:p>
          <w:p w14:paraId="2A8854B5" w14:textId="77777777" w:rsidR="007D5E58" w:rsidRPr="005C579C" w:rsidRDefault="007D5E58" w:rsidP="00974425">
            <w:pPr>
              <w:ind w:left="48" w:firstLine="0"/>
              <w:rPr>
                <w:rFonts w:cstheme="minorHAnsi"/>
                <w:sz w:val="20"/>
                <w:szCs w:val="20"/>
              </w:rPr>
            </w:pPr>
          </w:p>
          <w:p w14:paraId="4B26628B" w14:textId="77777777" w:rsidR="007D5E58" w:rsidRPr="005C579C" w:rsidRDefault="007D5E58" w:rsidP="00974425">
            <w:pPr>
              <w:ind w:left="48" w:firstLine="0"/>
              <w:rPr>
                <w:rFonts w:cstheme="minorHAnsi"/>
                <w:sz w:val="20"/>
                <w:szCs w:val="20"/>
              </w:rPr>
            </w:pPr>
            <w:r w:rsidRPr="005C579C">
              <w:rPr>
                <w:rFonts w:cstheme="minorHAnsi"/>
                <w:sz w:val="20"/>
                <w:szCs w:val="20"/>
              </w:rPr>
              <w:t>As part of the Child Support Amendment Act changes implemented in March 2021, the IRD improved access to myIR for child support administration, including enabling customers to apply for child support online. This enables the IRD to pre-populate information that they already have on hand, making the application process easier for people.</w:t>
            </w:r>
          </w:p>
        </w:tc>
        <w:tc>
          <w:tcPr>
            <w:tcW w:w="3780" w:type="dxa"/>
            <w:shd w:val="clear" w:color="auto" w:fill="FFA5A5"/>
          </w:tcPr>
          <w:p w14:paraId="1A9F509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r w:rsidRPr="005C579C">
              <w:rPr>
                <w:rStyle w:val="FootnoteReference"/>
                <w:rFonts w:cstheme="minorHAnsi"/>
                <w:sz w:val="20"/>
                <w:szCs w:val="20"/>
              </w:rPr>
              <w:footnoteReference w:id="10"/>
            </w:r>
          </w:p>
        </w:tc>
        <w:tc>
          <w:tcPr>
            <w:tcW w:w="1447" w:type="dxa"/>
            <w:shd w:val="clear" w:color="auto" w:fill="auto"/>
          </w:tcPr>
          <w:p w14:paraId="6CE30EB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690531F" w14:textId="77777777" w:rsidTr="00974425">
        <w:trPr>
          <w:trHeight w:val="54"/>
        </w:trPr>
        <w:tc>
          <w:tcPr>
            <w:tcW w:w="1634" w:type="dxa"/>
            <w:vMerge/>
          </w:tcPr>
          <w:p w14:paraId="5D794BA8" w14:textId="77777777" w:rsidR="007D5E58" w:rsidRPr="005C579C" w:rsidRDefault="007D5E58" w:rsidP="00A53840">
            <w:pPr>
              <w:ind w:left="29" w:firstLine="0"/>
              <w:rPr>
                <w:rFonts w:cstheme="minorHAnsi"/>
                <w:sz w:val="20"/>
                <w:szCs w:val="20"/>
              </w:rPr>
            </w:pPr>
          </w:p>
        </w:tc>
        <w:tc>
          <w:tcPr>
            <w:tcW w:w="3330" w:type="dxa"/>
          </w:tcPr>
          <w:p w14:paraId="1158615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Treat child support paid as a reduction in income for benefit abatement (already a reduction in income for the Family Tax Credit).</w:t>
            </w:r>
          </w:p>
        </w:tc>
        <w:tc>
          <w:tcPr>
            <w:tcW w:w="1260" w:type="dxa"/>
            <w:vMerge/>
          </w:tcPr>
          <w:p w14:paraId="069C3E3A" w14:textId="77777777" w:rsidR="007D5E58" w:rsidRPr="005C579C" w:rsidRDefault="007D5E58" w:rsidP="00974425">
            <w:pPr>
              <w:ind w:left="32" w:firstLine="0"/>
              <w:rPr>
                <w:rFonts w:cstheme="minorHAnsi"/>
                <w:sz w:val="20"/>
                <w:szCs w:val="20"/>
              </w:rPr>
            </w:pPr>
          </w:p>
        </w:tc>
        <w:tc>
          <w:tcPr>
            <w:tcW w:w="3150" w:type="dxa"/>
            <w:vMerge/>
          </w:tcPr>
          <w:p w14:paraId="330BD9D7" w14:textId="77777777" w:rsidR="007D5E58" w:rsidRPr="005C579C" w:rsidRDefault="007D5E58" w:rsidP="00974425">
            <w:pPr>
              <w:ind w:left="48" w:firstLine="0"/>
              <w:rPr>
                <w:rFonts w:cstheme="minorHAnsi"/>
                <w:sz w:val="20"/>
                <w:szCs w:val="20"/>
              </w:rPr>
            </w:pPr>
          </w:p>
        </w:tc>
        <w:tc>
          <w:tcPr>
            <w:tcW w:w="3780" w:type="dxa"/>
            <w:shd w:val="clear" w:color="auto" w:fill="FFA5A5"/>
          </w:tcPr>
          <w:p w14:paraId="68B0CB5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6176D32D"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D8ED9E3" w14:textId="77777777" w:rsidTr="00974425">
        <w:trPr>
          <w:trHeight w:val="54"/>
        </w:trPr>
        <w:tc>
          <w:tcPr>
            <w:tcW w:w="1634" w:type="dxa"/>
            <w:vMerge/>
          </w:tcPr>
          <w:p w14:paraId="09D183B6" w14:textId="77777777" w:rsidR="007D5E58" w:rsidRPr="005C579C" w:rsidRDefault="007D5E58" w:rsidP="00A53840">
            <w:pPr>
              <w:ind w:left="29" w:firstLine="0"/>
              <w:rPr>
                <w:rFonts w:cstheme="minorHAnsi"/>
                <w:sz w:val="20"/>
                <w:szCs w:val="20"/>
              </w:rPr>
            </w:pPr>
          </w:p>
        </w:tc>
        <w:tc>
          <w:tcPr>
            <w:tcW w:w="3330" w:type="dxa"/>
          </w:tcPr>
          <w:p w14:paraId="45B6A07A"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compulsory application for child support (except for recipients of Unsupported Child’s Benefit).</w:t>
            </w:r>
          </w:p>
        </w:tc>
        <w:tc>
          <w:tcPr>
            <w:tcW w:w="1260" w:type="dxa"/>
            <w:vMerge/>
          </w:tcPr>
          <w:p w14:paraId="0A374D7A" w14:textId="77777777" w:rsidR="007D5E58" w:rsidRPr="005C579C" w:rsidRDefault="007D5E58" w:rsidP="00974425">
            <w:pPr>
              <w:ind w:left="32" w:firstLine="0"/>
              <w:rPr>
                <w:rFonts w:cstheme="minorHAnsi"/>
                <w:sz w:val="20"/>
                <w:szCs w:val="20"/>
              </w:rPr>
            </w:pPr>
          </w:p>
        </w:tc>
        <w:tc>
          <w:tcPr>
            <w:tcW w:w="3150" w:type="dxa"/>
            <w:vMerge/>
          </w:tcPr>
          <w:p w14:paraId="06A3FD0B" w14:textId="77777777" w:rsidR="007D5E58" w:rsidRPr="005C579C" w:rsidRDefault="007D5E58" w:rsidP="00974425">
            <w:pPr>
              <w:ind w:left="48" w:firstLine="0"/>
              <w:rPr>
                <w:rFonts w:cstheme="minorHAnsi"/>
                <w:sz w:val="20"/>
                <w:szCs w:val="20"/>
              </w:rPr>
            </w:pPr>
          </w:p>
        </w:tc>
        <w:tc>
          <w:tcPr>
            <w:tcW w:w="3780" w:type="dxa"/>
            <w:shd w:val="clear" w:color="auto" w:fill="FFA5A5"/>
          </w:tcPr>
          <w:p w14:paraId="5C2F398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ABFDD05"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33A4D16" w14:textId="77777777" w:rsidTr="00974425">
        <w:trPr>
          <w:trHeight w:val="54"/>
        </w:trPr>
        <w:tc>
          <w:tcPr>
            <w:tcW w:w="1634" w:type="dxa"/>
            <w:vMerge/>
          </w:tcPr>
          <w:p w14:paraId="7C49C7D5" w14:textId="77777777" w:rsidR="007D5E58" w:rsidRPr="005C579C" w:rsidRDefault="007D5E58" w:rsidP="00A53840">
            <w:pPr>
              <w:ind w:left="29" w:firstLine="0"/>
              <w:rPr>
                <w:rFonts w:cstheme="minorHAnsi"/>
                <w:sz w:val="20"/>
                <w:szCs w:val="20"/>
              </w:rPr>
            </w:pPr>
          </w:p>
        </w:tc>
        <w:tc>
          <w:tcPr>
            <w:tcW w:w="3330" w:type="dxa"/>
          </w:tcPr>
          <w:p w14:paraId="35842593"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Shorten the application form and make more application options available (for example, online).</w:t>
            </w:r>
          </w:p>
        </w:tc>
        <w:tc>
          <w:tcPr>
            <w:tcW w:w="1260" w:type="dxa"/>
            <w:vMerge/>
          </w:tcPr>
          <w:p w14:paraId="29A24129" w14:textId="77777777" w:rsidR="007D5E58" w:rsidRPr="005C579C" w:rsidRDefault="007D5E58" w:rsidP="00974425">
            <w:pPr>
              <w:ind w:left="32" w:firstLine="0"/>
              <w:rPr>
                <w:rFonts w:cstheme="minorHAnsi"/>
                <w:sz w:val="20"/>
                <w:szCs w:val="20"/>
              </w:rPr>
            </w:pPr>
          </w:p>
        </w:tc>
        <w:tc>
          <w:tcPr>
            <w:tcW w:w="3150" w:type="dxa"/>
            <w:vMerge/>
          </w:tcPr>
          <w:p w14:paraId="50AA83AE" w14:textId="77777777" w:rsidR="007D5E58" w:rsidRPr="005C579C" w:rsidRDefault="007D5E58" w:rsidP="00974425">
            <w:pPr>
              <w:ind w:left="48" w:firstLine="0"/>
              <w:rPr>
                <w:rFonts w:cstheme="minorHAnsi"/>
                <w:sz w:val="20"/>
                <w:szCs w:val="20"/>
              </w:rPr>
            </w:pPr>
          </w:p>
        </w:tc>
        <w:tc>
          <w:tcPr>
            <w:tcW w:w="3780" w:type="dxa"/>
            <w:shd w:val="clear" w:color="auto" w:fill="A8D08D" w:themeFill="accent6" w:themeFillTint="99"/>
          </w:tcPr>
          <w:p w14:paraId="388A967C" w14:textId="77777777" w:rsidR="007D5E58" w:rsidRPr="005C579C" w:rsidRDefault="007D5E58" w:rsidP="00974425">
            <w:pPr>
              <w:ind w:left="16" w:firstLine="0"/>
              <w:rPr>
                <w:rFonts w:cstheme="minorHAnsi"/>
                <w:sz w:val="20"/>
                <w:szCs w:val="20"/>
              </w:rPr>
            </w:pPr>
            <w:r w:rsidRPr="005C579C">
              <w:rPr>
                <w:rFonts w:cstheme="minorHAnsi"/>
                <w:sz w:val="20"/>
                <w:szCs w:val="20"/>
              </w:rPr>
              <w:t>Full implementation</w:t>
            </w:r>
          </w:p>
          <w:p w14:paraId="37BBD895" w14:textId="77777777" w:rsidR="007D5E58" w:rsidRPr="005C579C" w:rsidRDefault="007D5E58" w:rsidP="00974425">
            <w:pPr>
              <w:ind w:left="16" w:firstLine="0"/>
              <w:rPr>
                <w:rFonts w:cstheme="minorHAnsi"/>
                <w:sz w:val="20"/>
                <w:szCs w:val="20"/>
              </w:rPr>
            </w:pPr>
          </w:p>
          <w:p w14:paraId="3C70952F" w14:textId="2707F941" w:rsidR="007D5E58" w:rsidRPr="005C579C" w:rsidRDefault="007D5E58" w:rsidP="00974425">
            <w:pPr>
              <w:ind w:left="16" w:firstLine="0"/>
              <w:rPr>
                <w:rFonts w:cstheme="minorHAnsi"/>
                <w:sz w:val="20"/>
                <w:szCs w:val="20"/>
              </w:rPr>
            </w:pPr>
            <w:r w:rsidRPr="005C579C">
              <w:rPr>
                <w:rFonts w:cstheme="minorHAnsi"/>
                <w:sz w:val="20"/>
                <w:szCs w:val="20"/>
              </w:rPr>
              <w:t>As part of the Child Support Amendment Act changes implemented in March 2021, the IRD improved access to myIR for child support administration, including enabling customers to apply for child support online. This enables the IRD to pre-populate information that they already have on hand, making the application process easier for people.</w:t>
            </w:r>
          </w:p>
        </w:tc>
        <w:tc>
          <w:tcPr>
            <w:tcW w:w="1447" w:type="dxa"/>
            <w:shd w:val="clear" w:color="auto" w:fill="auto"/>
          </w:tcPr>
          <w:p w14:paraId="461809BC" w14:textId="77777777" w:rsidR="007D5E58" w:rsidRPr="005C579C" w:rsidRDefault="007D5E58" w:rsidP="00974425">
            <w:pPr>
              <w:ind w:left="63" w:firstLine="0"/>
              <w:rPr>
                <w:rFonts w:cstheme="minorHAnsi"/>
                <w:sz w:val="20"/>
                <w:szCs w:val="20"/>
              </w:rPr>
            </w:pPr>
            <w:r w:rsidRPr="005C579C">
              <w:rPr>
                <w:rFonts w:cstheme="minorHAnsi"/>
                <w:sz w:val="20"/>
                <w:szCs w:val="20"/>
              </w:rPr>
              <w:t>Progressed from no evidence of implementation to full implementation.</w:t>
            </w:r>
          </w:p>
        </w:tc>
      </w:tr>
      <w:tr w:rsidR="007D5E58" w:rsidRPr="005A73F9" w14:paraId="7BDEBE92" w14:textId="77777777" w:rsidTr="00974425">
        <w:trPr>
          <w:trHeight w:val="54"/>
        </w:trPr>
        <w:tc>
          <w:tcPr>
            <w:tcW w:w="1634" w:type="dxa"/>
            <w:vMerge/>
          </w:tcPr>
          <w:p w14:paraId="0EAC0C07" w14:textId="77777777" w:rsidR="007D5E58" w:rsidRPr="005C579C" w:rsidRDefault="007D5E58" w:rsidP="00A53840">
            <w:pPr>
              <w:ind w:left="29" w:firstLine="0"/>
              <w:rPr>
                <w:rFonts w:cstheme="minorHAnsi"/>
                <w:sz w:val="20"/>
                <w:szCs w:val="20"/>
              </w:rPr>
            </w:pPr>
          </w:p>
        </w:tc>
        <w:tc>
          <w:tcPr>
            <w:tcW w:w="3330" w:type="dxa"/>
          </w:tcPr>
          <w:p w14:paraId="79562382"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the expenditure table to reflect changes in Family Tax Credit payments.</w:t>
            </w:r>
          </w:p>
        </w:tc>
        <w:tc>
          <w:tcPr>
            <w:tcW w:w="1260" w:type="dxa"/>
            <w:vMerge/>
          </w:tcPr>
          <w:p w14:paraId="789D308D" w14:textId="77777777" w:rsidR="007D5E58" w:rsidRPr="005C579C" w:rsidRDefault="007D5E58" w:rsidP="00974425">
            <w:pPr>
              <w:ind w:left="32" w:firstLine="0"/>
              <w:rPr>
                <w:rFonts w:cstheme="minorHAnsi"/>
                <w:sz w:val="20"/>
                <w:szCs w:val="20"/>
              </w:rPr>
            </w:pPr>
          </w:p>
        </w:tc>
        <w:tc>
          <w:tcPr>
            <w:tcW w:w="3150" w:type="dxa"/>
            <w:vMerge/>
          </w:tcPr>
          <w:p w14:paraId="415C9B04" w14:textId="77777777" w:rsidR="007D5E58" w:rsidRPr="005C579C" w:rsidRDefault="007D5E58" w:rsidP="00974425">
            <w:pPr>
              <w:ind w:left="48" w:firstLine="0"/>
              <w:rPr>
                <w:rFonts w:cstheme="minorHAnsi"/>
                <w:sz w:val="20"/>
                <w:szCs w:val="20"/>
              </w:rPr>
            </w:pPr>
          </w:p>
        </w:tc>
        <w:tc>
          <w:tcPr>
            <w:tcW w:w="3780" w:type="dxa"/>
            <w:shd w:val="clear" w:color="auto" w:fill="FFA5A5"/>
          </w:tcPr>
          <w:p w14:paraId="18B3C3C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36B0655"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41A62C3" w14:textId="77777777" w:rsidTr="00974425">
        <w:tc>
          <w:tcPr>
            <w:tcW w:w="1634" w:type="dxa"/>
          </w:tcPr>
          <w:p w14:paraId="2B41E31F" w14:textId="77777777" w:rsidR="007D5E58" w:rsidRPr="005C579C" w:rsidRDefault="007D5E58" w:rsidP="00A53840">
            <w:pPr>
              <w:ind w:left="29" w:firstLine="0"/>
              <w:rPr>
                <w:rFonts w:cstheme="minorHAnsi"/>
                <w:sz w:val="20"/>
                <w:szCs w:val="20"/>
              </w:rPr>
            </w:pPr>
            <w:r w:rsidRPr="005C579C">
              <w:rPr>
                <w:rFonts w:cstheme="minorHAnsi"/>
                <w:sz w:val="20"/>
                <w:szCs w:val="20"/>
              </w:rPr>
              <w:t>Shared care</w:t>
            </w:r>
          </w:p>
        </w:tc>
        <w:tc>
          <w:tcPr>
            <w:tcW w:w="3330" w:type="dxa"/>
          </w:tcPr>
          <w:p w14:paraId="19B2EE5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Align shared and split care rules for main and supplementary payments with the Family Tax Credit and child support.</w:t>
            </w:r>
          </w:p>
        </w:tc>
        <w:tc>
          <w:tcPr>
            <w:tcW w:w="1260" w:type="dxa"/>
          </w:tcPr>
          <w:p w14:paraId="006D2292" w14:textId="77777777" w:rsidR="007D5E58" w:rsidRPr="005C579C" w:rsidRDefault="007D5E58" w:rsidP="00974425">
            <w:pPr>
              <w:ind w:left="32" w:firstLine="0"/>
              <w:rPr>
                <w:rFonts w:cstheme="minorHAnsi"/>
                <w:sz w:val="20"/>
                <w:szCs w:val="20"/>
              </w:rPr>
            </w:pPr>
            <w:r w:rsidRPr="005C579C">
              <w:rPr>
                <w:rFonts w:cstheme="minorHAnsi"/>
                <w:sz w:val="20"/>
                <w:szCs w:val="20"/>
              </w:rPr>
              <w:t>Ch 7</w:t>
            </w:r>
          </w:p>
        </w:tc>
        <w:tc>
          <w:tcPr>
            <w:tcW w:w="3150" w:type="dxa"/>
          </w:tcPr>
          <w:p w14:paraId="75D3F4A8" w14:textId="019C5FF1" w:rsidR="007D5E58" w:rsidRPr="005C579C" w:rsidRDefault="007D5E58" w:rsidP="00974425">
            <w:pPr>
              <w:ind w:left="48" w:firstLine="0"/>
              <w:rPr>
                <w:rFonts w:cstheme="minorHAnsi"/>
                <w:sz w:val="20"/>
                <w:szCs w:val="20"/>
              </w:rPr>
            </w:pPr>
            <w:r w:rsidRPr="005C579C">
              <w:rPr>
                <w:rFonts w:cstheme="minorHAnsi"/>
                <w:sz w:val="20"/>
                <w:szCs w:val="20"/>
              </w:rPr>
              <w:t>The Government stated in November 2019 that they “intend to seek further advice on recognising split-care and shared care arrangements in the welfare system”</w:t>
            </w:r>
            <w:r w:rsidR="006F32C7">
              <w:rPr>
                <w:rFonts w:cstheme="minorHAnsi"/>
                <w:sz w:val="20"/>
                <w:szCs w:val="20"/>
              </w:rPr>
              <w:t xml:space="preserve"> (MSD, 2019a).</w:t>
            </w:r>
          </w:p>
        </w:tc>
        <w:tc>
          <w:tcPr>
            <w:tcW w:w="3780" w:type="dxa"/>
            <w:shd w:val="clear" w:color="auto" w:fill="FFA5A5"/>
          </w:tcPr>
          <w:p w14:paraId="5F5DC505"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2B5C3D17" w14:textId="77777777" w:rsidR="007D5E58" w:rsidRPr="005C579C" w:rsidRDefault="007D5E58" w:rsidP="00974425">
            <w:pPr>
              <w:ind w:left="16" w:firstLine="0"/>
              <w:rPr>
                <w:rFonts w:cstheme="minorHAnsi"/>
                <w:sz w:val="20"/>
                <w:szCs w:val="20"/>
              </w:rPr>
            </w:pPr>
          </w:p>
          <w:p w14:paraId="0CA060E4" w14:textId="20AE0B4C" w:rsidR="007D5E58" w:rsidRPr="005C579C" w:rsidRDefault="007D5E58" w:rsidP="00974425">
            <w:pPr>
              <w:ind w:left="16" w:firstLine="0"/>
              <w:rPr>
                <w:rFonts w:cstheme="minorHAnsi"/>
                <w:sz w:val="20"/>
                <w:szCs w:val="20"/>
              </w:rPr>
            </w:pPr>
            <w:r w:rsidRPr="005C579C">
              <w:rPr>
                <w:rFonts w:cstheme="minorHAnsi"/>
                <w:sz w:val="20"/>
                <w:szCs w:val="20"/>
              </w:rPr>
              <w:t>Currently, in the benefit system shared care only applies when the child lives with parents for at least 40% of the time</w:t>
            </w:r>
            <w:r w:rsidR="006F32C7">
              <w:rPr>
                <w:rFonts w:cstheme="minorHAnsi"/>
                <w:sz w:val="20"/>
                <w:szCs w:val="20"/>
              </w:rPr>
              <w:t xml:space="preserve"> </w:t>
            </w:r>
            <w:r w:rsidR="006F32C7" w:rsidRPr="005C579C">
              <w:rPr>
                <w:rFonts w:cstheme="minorHAnsi"/>
                <w:sz w:val="20"/>
                <w:szCs w:val="20"/>
              </w:rPr>
              <w:t xml:space="preserve"> </w:t>
            </w:r>
            <w:r w:rsidRPr="005C579C">
              <w:rPr>
                <w:rFonts w:cstheme="minorHAnsi"/>
                <w:sz w:val="20"/>
                <w:szCs w:val="20"/>
              </w:rPr>
              <w:t xml:space="preserve">(compared to 35% for the Family Tax Credit, and 28% for child support). </w:t>
            </w:r>
          </w:p>
        </w:tc>
        <w:tc>
          <w:tcPr>
            <w:tcW w:w="1447" w:type="dxa"/>
            <w:shd w:val="clear" w:color="auto" w:fill="auto"/>
          </w:tcPr>
          <w:p w14:paraId="7FB1D3E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EFC5031" w14:textId="77777777" w:rsidTr="00974425">
        <w:trPr>
          <w:trHeight w:val="454"/>
        </w:trPr>
        <w:tc>
          <w:tcPr>
            <w:tcW w:w="1634" w:type="dxa"/>
            <w:vMerge w:val="restart"/>
          </w:tcPr>
          <w:p w14:paraId="634BAEC6" w14:textId="77777777" w:rsidR="007D5E58" w:rsidRPr="005C579C" w:rsidRDefault="007D5E58" w:rsidP="00A53840">
            <w:pPr>
              <w:ind w:left="29" w:firstLine="0"/>
              <w:rPr>
                <w:rFonts w:cstheme="minorHAnsi"/>
                <w:sz w:val="20"/>
                <w:szCs w:val="20"/>
              </w:rPr>
            </w:pPr>
            <w:r w:rsidRPr="005C579C">
              <w:rPr>
                <w:rFonts w:cstheme="minorHAnsi"/>
                <w:sz w:val="20"/>
                <w:szCs w:val="20"/>
              </w:rPr>
              <w:t>Ensuring benefit settings have less impact on partnering decisions</w:t>
            </w:r>
          </w:p>
        </w:tc>
        <w:tc>
          <w:tcPr>
            <w:tcW w:w="3330" w:type="dxa"/>
          </w:tcPr>
          <w:p w14:paraId="697CDD42"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Allow a 6-month period (rather than the current 6 weeks) after people move in together as a couple before a relationship is deemed to exist for the purposes of determining benefit eligibility.</w:t>
            </w:r>
          </w:p>
        </w:tc>
        <w:tc>
          <w:tcPr>
            <w:tcW w:w="1260" w:type="dxa"/>
            <w:vMerge w:val="restart"/>
          </w:tcPr>
          <w:p w14:paraId="76412C6D" w14:textId="77777777" w:rsidR="007D5E58" w:rsidRPr="005C579C" w:rsidRDefault="007D5E58" w:rsidP="00974425">
            <w:pPr>
              <w:ind w:left="32" w:firstLine="0"/>
              <w:rPr>
                <w:rFonts w:cstheme="minorHAnsi"/>
                <w:sz w:val="20"/>
                <w:szCs w:val="20"/>
              </w:rPr>
            </w:pPr>
            <w:r w:rsidRPr="005C579C">
              <w:rPr>
                <w:rFonts w:cstheme="minorHAnsi"/>
                <w:sz w:val="20"/>
                <w:szCs w:val="20"/>
              </w:rPr>
              <w:t>Key Rec 28; Ch 7</w:t>
            </w:r>
          </w:p>
        </w:tc>
        <w:tc>
          <w:tcPr>
            <w:tcW w:w="3150" w:type="dxa"/>
            <w:vMerge w:val="restart"/>
          </w:tcPr>
          <w:p w14:paraId="3D5250AD"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In a 27 September 2021 Cabinet paper, the Government stated that “MSD is considering as part of its longer-term work programme a range of issues related to the unit of entitlement and how relationships interact with the welfare system.” </w:t>
            </w:r>
          </w:p>
        </w:tc>
        <w:tc>
          <w:tcPr>
            <w:tcW w:w="3780" w:type="dxa"/>
            <w:shd w:val="clear" w:color="auto" w:fill="FFA5A5"/>
          </w:tcPr>
          <w:p w14:paraId="19EDD916"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54ADEB78" w14:textId="77777777" w:rsidR="007D5E58" w:rsidRPr="005C579C" w:rsidRDefault="007D5E58" w:rsidP="00974425">
            <w:pPr>
              <w:ind w:left="16" w:firstLine="0"/>
              <w:rPr>
                <w:rFonts w:cstheme="minorHAnsi"/>
                <w:sz w:val="20"/>
                <w:szCs w:val="20"/>
              </w:rPr>
            </w:pPr>
          </w:p>
          <w:p w14:paraId="2F2F4990" w14:textId="384A3A7C" w:rsidR="007D5E58" w:rsidRPr="005C579C" w:rsidRDefault="007D5E58" w:rsidP="00974425">
            <w:pPr>
              <w:ind w:left="16" w:firstLine="0"/>
              <w:rPr>
                <w:rFonts w:cstheme="minorHAnsi"/>
                <w:sz w:val="20"/>
                <w:szCs w:val="20"/>
              </w:rPr>
            </w:pPr>
            <w:r w:rsidRPr="005C579C">
              <w:rPr>
                <w:rFonts w:cstheme="minorHAnsi"/>
                <w:sz w:val="20"/>
                <w:szCs w:val="20"/>
              </w:rPr>
              <w:t>We note that it appears MSD is taking a less intrusive approach towards investigating relationship fraud, however the uncertainty under current settings still leaves benefit recipients stressed and upset</w:t>
            </w:r>
            <w:r w:rsidR="00436F6B">
              <w:rPr>
                <w:rFonts w:cstheme="minorHAnsi"/>
                <w:sz w:val="20"/>
                <w:szCs w:val="20"/>
              </w:rPr>
              <w:t xml:space="preserve"> (Robson, 2021)</w:t>
            </w:r>
            <w:r w:rsidRPr="005C579C">
              <w:rPr>
                <w:rFonts w:cstheme="minorHAnsi"/>
                <w:sz w:val="20"/>
                <w:szCs w:val="20"/>
              </w:rPr>
              <w:t>. Minister Sepuloni has stated that she has requested policy advice on relationship settings, but would not put a timeframe on when changes might be implemented.</w:t>
            </w:r>
          </w:p>
        </w:tc>
        <w:tc>
          <w:tcPr>
            <w:tcW w:w="1447" w:type="dxa"/>
            <w:shd w:val="clear" w:color="auto" w:fill="auto"/>
          </w:tcPr>
          <w:p w14:paraId="4425F387"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B3D9AD5" w14:textId="77777777" w:rsidTr="00974425">
        <w:trPr>
          <w:trHeight w:val="453"/>
        </w:trPr>
        <w:tc>
          <w:tcPr>
            <w:tcW w:w="1634" w:type="dxa"/>
            <w:vMerge/>
          </w:tcPr>
          <w:p w14:paraId="309D52F3" w14:textId="77777777" w:rsidR="007D5E58" w:rsidRPr="005C579C" w:rsidRDefault="007D5E58" w:rsidP="00A53840">
            <w:pPr>
              <w:ind w:left="29" w:firstLine="0"/>
              <w:rPr>
                <w:rFonts w:cstheme="minorHAnsi"/>
                <w:sz w:val="20"/>
                <w:szCs w:val="20"/>
              </w:rPr>
            </w:pPr>
          </w:p>
        </w:tc>
        <w:tc>
          <w:tcPr>
            <w:tcW w:w="3330" w:type="dxa"/>
          </w:tcPr>
          <w:p w14:paraId="1E84048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Do not deem two people who do not live together as being in a relationship for the purposes of welfare support.</w:t>
            </w:r>
          </w:p>
        </w:tc>
        <w:tc>
          <w:tcPr>
            <w:tcW w:w="1260" w:type="dxa"/>
            <w:vMerge/>
          </w:tcPr>
          <w:p w14:paraId="49AE7720" w14:textId="77777777" w:rsidR="007D5E58" w:rsidRPr="005C579C" w:rsidRDefault="007D5E58" w:rsidP="00974425">
            <w:pPr>
              <w:ind w:left="32" w:firstLine="0"/>
              <w:rPr>
                <w:rFonts w:cstheme="minorHAnsi"/>
                <w:sz w:val="20"/>
                <w:szCs w:val="20"/>
              </w:rPr>
            </w:pPr>
          </w:p>
        </w:tc>
        <w:tc>
          <w:tcPr>
            <w:tcW w:w="3150" w:type="dxa"/>
            <w:vMerge/>
          </w:tcPr>
          <w:p w14:paraId="451CD66C" w14:textId="77777777" w:rsidR="007D5E58" w:rsidRPr="005C579C" w:rsidRDefault="007D5E58" w:rsidP="00974425">
            <w:pPr>
              <w:ind w:left="48" w:firstLine="0"/>
              <w:rPr>
                <w:rFonts w:cstheme="minorHAnsi"/>
                <w:sz w:val="20"/>
                <w:szCs w:val="20"/>
              </w:rPr>
            </w:pPr>
          </w:p>
        </w:tc>
        <w:tc>
          <w:tcPr>
            <w:tcW w:w="3780" w:type="dxa"/>
            <w:shd w:val="clear" w:color="auto" w:fill="FFA5A5"/>
          </w:tcPr>
          <w:p w14:paraId="7E5AD83A"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E2637F5"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77B06C5" w14:textId="77777777" w:rsidTr="00974425">
        <w:trPr>
          <w:trHeight w:val="453"/>
        </w:trPr>
        <w:tc>
          <w:tcPr>
            <w:tcW w:w="1634" w:type="dxa"/>
            <w:vMerge/>
          </w:tcPr>
          <w:p w14:paraId="2569955A" w14:textId="77777777" w:rsidR="007D5E58" w:rsidRPr="005C579C" w:rsidRDefault="007D5E58" w:rsidP="00A53840">
            <w:pPr>
              <w:ind w:left="29" w:firstLine="0"/>
              <w:rPr>
                <w:rFonts w:cstheme="minorHAnsi"/>
                <w:sz w:val="20"/>
                <w:szCs w:val="20"/>
              </w:rPr>
            </w:pPr>
          </w:p>
        </w:tc>
        <w:tc>
          <w:tcPr>
            <w:tcW w:w="3330" w:type="dxa"/>
          </w:tcPr>
          <w:p w14:paraId="5E936B7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Investigate other moves towards greater neutrality in respect of relationship status, including increased individualisation of benefit entitlement, bringing the couple rate of benefit closer to two times the single rate, and improving alignment between the approach taken by MSD and in other legislation.</w:t>
            </w:r>
          </w:p>
        </w:tc>
        <w:tc>
          <w:tcPr>
            <w:tcW w:w="1260" w:type="dxa"/>
            <w:vMerge/>
          </w:tcPr>
          <w:p w14:paraId="588EC943" w14:textId="77777777" w:rsidR="007D5E58" w:rsidRPr="005C579C" w:rsidRDefault="007D5E58" w:rsidP="00974425">
            <w:pPr>
              <w:ind w:left="32" w:firstLine="0"/>
              <w:rPr>
                <w:rFonts w:cstheme="minorHAnsi"/>
                <w:sz w:val="20"/>
                <w:szCs w:val="20"/>
              </w:rPr>
            </w:pPr>
          </w:p>
        </w:tc>
        <w:tc>
          <w:tcPr>
            <w:tcW w:w="3150" w:type="dxa"/>
            <w:vMerge/>
          </w:tcPr>
          <w:p w14:paraId="78CBF40A" w14:textId="77777777" w:rsidR="007D5E58" w:rsidRPr="005C579C" w:rsidRDefault="007D5E58" w:rsidP="00974425">
            <w:pPr>
              <w:ind w:left="48" w:firstLine="0"/>
              <w:rPr>
                <w:rFonts w:cstheme="minorHAnsi"/>
                <w:sz w:val="20"/>
                <w:szCs w:val="20"/>
              </w:rPr>
            </w:pPr>
          </w:p>
        </w:tc>
        <w:tc>
          <w:tcPr>
            <w:tcW w:w="3780" w:type="dxa"/>
            <w:shd w:val="clear" w:color="auto" w:fill="FFA5A5"/>
          </w:tcPr>
          <w:p w14:paraId="435E28A1"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E499237"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73180CB" w14:textId="77777777" w:rsidTr="00974425">
        <w:trPr>
          <w:trHeight w:val="453"/>
        </w:trPr>
        <w:tc>
          <w:tcPr>
            <w:tcW w:w="1634" w:type="dxa"/>
            <w:vMerge/>
          </w:tcPr>
          <w:p w14:paraId="05BF95A7" w14:textId="77777777" w:rsidR="007D5E58" w:rsidRPr="005C579C" w:rsidRDefault="007D5E58" w:rsidP="00A53840">
            <w:pPr>
              <w:ind w:left="29" w:firstLine="0"/>
              <w:rPr>
                <w:rFonts w:cstheme="minorHAnsi"/>
                <w:sz w:val="20"/>
                <w:szCs w:val="20"/>
              </w:rPr>
            </w:pPr>
          </w:p>
        </w:tc>
        <w:tc>
          <w:tcPr>
            <w:tcW w:w="3330" w:type="dxa"/>
          </w:tcPr>
          <w:p w14:paraId="21DCD23B"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introducing a short-term entitlement (for example, 6 months) to a main benefit for partnered people who lose their jobs or incomes (due to redundancy, a health condition or disability, or a health condition or disability of a dependent child) through an earnings disregard of their partner’s income (up to a cap of around $48,000 a year) for this period.</w:t>
            </w:r>
          </w:p>
        </w:tc>
        <w:tc>
          <w:tcPr>
            <w:tcW w:w="1260" w:type="dxa"/>
            <w:vMerge/>
          </w:tcPr>
          <w:p w14:paraId="2F79DB81" w14:textId="77777777" w:rsidR="007D5E58" w:rsidRPr="005C579C" w:rsidRDefault="007D5E58" w:rsidP="00974425">
            <w:pPr>
              <w:ind w:left="32" w:firstLine="0"/>
              <w:rPr>
                <w:rFonts w:cstheme="minorHAnsi"/>
                <w:sz w:val="20"/>
                <w:szCs w:val="20"/>
              </w:rPr>
            </w:pPr>
          </w:p>
        </w:tc>
        <w:tc>
          <w:tcPr>
            <w:tcW w:w="3150" w:type="dxa"/>
            <w:vMerge/>
          </w:tcPr>
          <w:p w14:paraId="70E6B4EF" w14:textId="77777777" w:rsidR="007D5E58" w:rsidRPr="005C579C" w:rsidRDefault="007D5E58" w:rsidP="00974425">
            <w:pPr>
              <w:ind w:left="48" w:firstLine="0"/>
              <w:rPr>
                <w:rFonts w:cstheme="minorHAnsi"/>
                <w:sz w:val="20"/>
                <w:szCs w:val="20"/>
              </w:rPr>
            </w:pPr>
          </w:p>
        </w:tc>
        <w:tc>
          <w:tcPr>
            <w:tcW w:w="3780" w:type="dxa"/>
            <w:shd w:val="clear" w:color="auto" w:fill="FFA5A5"/>
          </w:tcPr>
          <w:p w14:paraId="5DB82331"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7C2AFE11" w14:textId="77777777" w:rsidR="007D5E58" w:rsidRPr="005C579C" w:rsidRDefault="007D5E58" w:rsidP="00974425">
            <w:pPr>
              <w:ind w:left="16" w:firstLine="0"/>
              <w:rPr>
                <w:rFonts w:cstheme="minorHAnsi"/>
                <w:sz w:val="20"/>
                <w:szCs w:val="20"/>
              </w:rPr>
            </w:pPr>
          </w:p>
          <w:p w14:paraId="1861C844" w14:textId="026B4A75" w:rsidR="007D5E58" w:rsidRPr="005C579C" w:rsidRDefault="007D5E58" w:rsidP="00974425">
            <w:pPr>
              <w:ind w:left="16" w:firstLine="0"/>
              <w:rPr>
                <w:rFonts w:cstheme="minorHAnsi"/>
                <w:sz w:val="20"/>
                <w:szCs w:val="20"/>
              </w:rPr>
            </w:pPr>
            <w:r w:rsidRPr="005C579C">
              <w:rPr>
                <w:rFonts w:cstheme="minorHAnsi"/>
                <w:sz w:val="20"/>
                <w:szCs w:val="20"/>
              </w:rPr>
              <w:t>The Covid-19 Income Relief Payment for those who lost work from 1 March 2020 was paid to people irrespective of their partner earnings (up to $2,000 per week), temporarily strengthening support for displaced workers whose partners were still earning. However, this has not applied to main benefits, and was only a temporary measure.</w:t>
            </w:r>
          </w:p>
        </w:tc>
        <w:tc>
          <w:tcPr>
            <w:tcW w:w="1447" w:type="dxa"/>
            <w:shd w:val="clear" w:color="auto" w:fill="auto"/>
          </w:tcPr>
          <w:p w14:paraId="7A4C965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9AA43D0" w14:textId="77777777" w:rsidTr="00974425">
        <w:trPr>
          <w:trHeight w:val="453"/>
        </w:trPr>
        <w:tc>
          <w:tcPr>
            <w:tcW w:w="14601" w:type="dxa"/>
            <w:gridSpan w:val="6"/>
            <w:shd w:val="clear" w:color="auto" w:fill="E7E6E6" w:themeFill="background2"/>
          </w:tcPr>
          <w:p w14:paraId="7126D445" w14:textId="77777777" w:rsidR="007D5E58" w:rsidRPr="005C579C" w:rsidRDefault="007D5E58" w:rsidP="00974425">
            <w:pPr>
              <w:ind w:left="32" w:firstLine="0"/>
              <w:jc w:val="center"/>
              <w:rPr>
                <w:rFonts w:cstheme="minorHAnsi"/>
                <w:sz w:val="20"/>
                <w:szCs w:val="20"/>
              </w:rPr>
            </w:pPr>
            <w:r w:rsidRPr="005C579C">
              <w:rPr>
                <w:rFonts w:cstheme="minorHAnsi"/>
                <w:b/>
                <w:sz w:val="20"/>
                <w:szCs w:val="20"/>
              </w:rPr>
              <w:t>ALLEVIATING THE HOUSING CONUNDRUM</w:t>
            </w:r>
          </w:p>
        </w:tc>
      </w:tr>
      <w:tr w:rsidR="007D5E58" w:rsidRPr="005A73F9" w14:paraId="0EF94B5A" w14:textId="77777777" w:rsidTr="00974425">
        <w:trPr>
          <w:trHeight w:val="89"/>
        </w:trPr>
        <w:tc>
          <w:tcPr>
            <w:tcW w:w="1634" w:type="dxa"/>
            <w:vMerge w:val="restart"/>
          </w:tcPr>
          <w:p w14:paraId="13F8805F" w14:textId="77777777" w:rsidR="007D5E58" w:rsidRPr="005C579C" w:rsidRDefault="007D5E58" w:rsidP="00A53840">
            <w:pPr>
              <w:ind w:left="29" w:firstLine="0"/>
              <w:rPr>
                <w:rFonts w:cstheme="minorHAnsi"/>
                <w:sz w:val="20"/>
                <w:szCs w:val="20"/>
              </w:rPr>
            </w:pPr>
            <w:r w:rsidRPr="005C579C">
              <w:rPr>
                <w:rFonts w:cstheme="minorHAnsi"/>
                <w:sz w:val="20"/>
                <w:szCs w:val="20"/>
              </w:rPr>
              <w:t>Subsidising housing costs for those on low incomes</w:t>
            </w:r>
          </w:p>
        </w:tc>
        <w:tc>
          <w:tcPr>
            <w:tcW w:w="3330" w:type="dxa"/>
          </w:tcPr>
          <w:p w14:paraId="3F616F1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 xml:space="preserve">Improve housing subsidies by extending the period from 2 months to 6 months before income-related rent for public housing is increased after the tenant moves into employment </w:t>
            </w:r>
          </w:p>
        </w:tc>
        <w:tc>
          <w:tcPr>
            <w:tcW w:w="1260" w:type="dxa"/>
            <w:vMerge w:val="restart"/>
          </w:tcPr>
          <w:p w14:paraId="17EF9023" w14:textId="77777777" w:rsidR="007D5E58" w:rsidRPr="005C579C" w:rsidRDefault="007D5E58" w:rsidP="00974425">
            <w:pPr>
              <w:ind w:left="32" w:firstLine="0"/>
              <w:rPr>
                <w:rFonts w:cstheme="minorHAnsi"/>
                <w:sz w:val="20"/>
                <w:szCs w:val="20"/>
              </w:rPr>
            </w:pPr>
            <w:r w:rsidRPr="005C579C">
              <w:rPr>
                <w:rFonts w:cstheme="minorHAnsi"/>
                <w:sz w:val="20"/>
                <w:szCs w:val="20"/>
              </w:rPr>
              <w:t>Key Rec 33; Ch 8</w:t>
            </w:r>
          </w:p>
        </w:tc>
        <w:tc>
          <w:tcPr>
            <w:tcW w:w="3150" w:type="dxa"/>
            <w:vMerge w:val="restart"/>
          </w:tcPr>
          <w:p w14:paraId="5C794CD4" w14:textId="37B684DA" w:rsidR="007D5E58" w:rsidRPr="005C579C" w:rsidRDefault="007D5E58" w:rsidP="00974425">
            <w:pPr>
              <w:ind w:left="48" w:firstLine="0"/>
              <w:rPr>
                <w:rFonts w:cstheme="minorHAnsi"/>
                <w:sz w:val="20"/>
                <w:szCs w:val="20"/>
              </w:rPr>
            </w:pPr>
            <w:r w:rsidRPr="005C579C">
              <w:rPr>
                <w:rFonts w:cstheme="minorHAnsi"/>
                <w:sz w:val="20"/>
                <w:szCs w:val="20"/>
              </w:rPr>
              <w:t>A 27 September 2021 Cabinet paper, Appendix Three, stated that “The review of housing subsidies remains under the medium to longer-term work programme. Advice on Accommodation Supplement (AS) continues to be a focus in the review and has been brought forward alongside the review of Working for Families. In June 2021, officials provided advice setting out key concerns and seeking joint Ministers’ feedback on the proposed scope and objectives for the review</w:t>
            </w:r>
            <w:r w:rsidR="00436F6B">
              <w:rPr>
                <w:rFonts w:cstheme="minorHAnsi"/>
                <w:sz w:val="20"/>
                <w:szCs w:val="20"/>
              </w:rPr>
              <w:t>” (MSD, 2021d).</w:t>
            </w:r>
          </w:p>
        </w:tc>
        <w:tc>
          <w:tcPr>
            <w:tcW w:w="3780" w:type="dxa"/>
            <w:shd w:val="clear" w:color="auto" w:fill="FFA5A5"/>
          </w:tcPr>
          <w:p w14:paraId="3485511C"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9856ED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CF3B2FC" w14:textId="77777777" w:rsidTr="00974425">
        <w:trPr>
          <w:trHeight w:val="87"/>
        </w:trPr>
        <w:tc>
          <w:tcPr>
            <w:tcW w:w="1634" w:type="dxa"/>
            <w:vMerge/>
          </w:tcPr>
          <w:p w14:paraId="0CCC8641" w14:textId="77777777" w:rsidR="007D5E58" w:rsidRPr="005C579C" w:rsidRDefault="007D5E58" w:rsidP="00A53840">
            <w:pPr>
              <w:ind w:left="29" w:firstLine="0"/>
              <w:rPr>
                <w:rFonts w:cstheme="minorHAnsi"/>
                <w:sz w:val="20"/>
                <w:szCs w:val="20"/>
              </w:rPr>
            </w:pPr>
          </w:p>
        </w:tc>
        <w:tc>
          <w:tcPr>
            <w:tcW w:w="3330" w:type="dxa"/>
          </w:tcPr>
          <w:p w14:paraId="1D4714D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Improve housing subsidies by changing the way Accommodation Supplement payments are calculated, so indexing maintains relativity with housing costs, and removing differences between renters and homeowners.</w:t>
            </w:r>
          </w:p>
        </w:tc>
        <w:tc>
          <w:tcPr>
            <w:tcW w:w="1260" w:type="dxa"/>
            <w:vMerge/>
          </w:tcPr>
          <w:p w14:paraId="4AF6B8BF" w14:textId="77777777" w:rsidR="007D5E58" w:rsidRPr="005C579C" w:rsidRDefault="007D5E58" w:rsidP="00974425">
            <w:pPr>
              <w:ind w:left="32" w:firstLine="0"/>
              <w:rPr>
                <w:rFonts w:cstheme="minorHAnsi"/>
                <w:sz w:val="20"/>
                <w:szCs w:val="20"/>
              </w:rPr>
            </w:pPr>
          </w:p>
        </w:tc>
        <w:tc>
          <w:tcPr>
            <w:tcW w:w="3150" w:type="dxa"/>
            <w:vMerge/>
          </w:tcPr>
          <w:p w14:paraId="761A45E9" w14:textId="77777777" w:rsidR="007D5E58" w:rsidRPr="005C579C" w:rsidRDefault="007D5E58" w:rsidP="00974425">
            <w:pPr>
              <w:ind w:left="48" w:firstLine="0"/>
              <w:rPr>
                <w:rFonts w:cstheme="minorHAnsi"/>
                <w:sz w:val="20"/>
                <w:szCs w:val="20"/>
              </w:rPr>
            </w:pPr>
          </w:p>
        </w:tc>
        <w:tc>
          <w:tcPr>
            <w:tcW w:w="3780" w:type="dxa"/>
            <w:shd w:val="clear" w:color="auto" w:fill="FFA5A5"/>
          </w:tcPr>
          <w:p w14:paraId="68F8E345"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F33B00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8B8C7C2" w14:textId="77777777" w:rsidTr="00974425">
        <w:trPr>
          <w:trHeight w:val="87"/>
        </w:trPr>
        <w:tc>
          <w:tcPr>
            <w:tcW w:w="1634" w:type="dxa"/>
            <w:vMerge/>
          </w:tcPr>
          <w:p w14:paraId="5C265638" w14:textId="77777777" w:rsidR="007D5E58" w:rsidRPr="005C579C" w:rsidRDefault="007D5E58" w:rsidP="00A53840">
            <w:pPr>
              <w:ind w:left="29" w:firstLine="0"/>
              <w:rPr>
                <w:rFonts w:cstheme="minorHAnsi"/>
                <w:sz w:val="20"/>
                <w:szCs w:val="20"/>
              </w:rPr>
            </w:pPr>
          </w:p>
        </w:tc>
        <w:tc>
          <w:tcPr>
            <w:tcW w:w="3330" w:type="dxa"/>
          </w:tcPr>
          <w:p w14:paraId="45C6991B"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For the Accommodation Supplement, increase the maxima to the median regional rental rates (for the latest year available).</w:t>
            </w:r>
          </w:p>
        </w:tc>
        <w:tc>
          <w:tcPr>
            <w:tcW w:w="1260" w:type="dxa"/>
            <w:vMerge/>
          </w:tcPr>
          <w:p w14:paraId="6EEC76D3" w14:textId="77777777" w:rsidR="007D5E58" w:rsidRPr="005C579C" w:rsidRDefault="007D5E58" w:rsidP="00974425">
            <w:pPr>
              <w:ind w:left="32" w:firstLine="0"/>
              <w:rPr>
                <w:rFonts w:cstheme="minorHAnsi"/>
                <w:sz w:val="20"/>
                <w:szCs w:val="20"/>
              </w:rPr>
            </w:pPr>
          </w:p>
        </w:tc>
        <w:tc>
          <w:tcPr>
            <w:tcW w:w="3150" w:type="dxa"/>
            <w:vMerge/>
          </w:tcPr>
          <w:p w14:paraId="00976A94" w14:textId="77777777" w:rsidR="007D5E58" w:rsidRPr="005C579C" w:rsidRDefault="007D5E58" w:rsidP="00974425">
            <w:pPr>
              <w:ind w:left="48" w:firstLine="0"/>
              <w:rPr>
                <w:rFonts w:cstheme="minorHAnsi"/>
                <w:sz w:val="20"/>
                <w:szCs w:val="20"/>
              </w:rPr>
            </w:pPr>
          </w:p>
        </w:tc>
        <w:tc>
          <w:tcPr>
            <w:tcW w:w="3780" w:type="dxa"/>
            <w:shd w:val="clear" w:color="auto" w:fill="FFA5A5"/>
          </w:tcPr>
          <w:p w14:paraId="4BE04EDC"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73E365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EC43255" w14:textId="77777777" w:rsidTr="00974425">
        <w:trPr>
          <w:trHeight w:val="87"/>
        </w:trPr>
        <w:tc>
          <w:tcPr>
            <w:tcW w:w="1634" w:type="dxa"/>
            <w:vMerge/>
          </w:tcPr>
          <w:p w14:paraId="53D43105" w14:textId="77777777" w:rsidR="007D5E58" w:rsidRPr="005C579C" w:rsidRDefault="007D5E58" w:rsidP="00A53840">
            <w:pPr>
              <w:ind w:left="29" w:firstLine="0"/>
              <w:rPr>
                <w:rFonts w:cstheme="minorHAnsi"/>
                <w:sz w:val="20"/>
                <w:szCs w:val="20"/>
              </w:rPr>
            </w:pPr>
          </w:p>
        </w:tc>
        <w:tc>
          <w:tcPr>
            <w:tcW w:w="3330" w:type="dxa"/>
          </w:tcPr>
          <w:p w14:paraId="0E697AF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For the Accommodation Supplement, review the maxima and the area locations annually to maintain the value of the payments with changes in median rental rates in different parts of the country over time.</w:t>
            </w:r>
          </w:p>
        </w:tc>
        <w:tc>
          <w:tcPr>
            <w:tcW w:w="1260" w:type="dxa"/>
            <w:vMerge/>
          </w:tcPr>
          <w:p w14:paraId="7F9F09A7" w14:textId="77777777" w:rsidR="007D5E58" w:rsidRPr="005C579C" w:rsidRDefault="007D5E58" w:rsidP="00974425">
            <w:pPr>
              <w:ind w:left="32" w:firstLine="0"/>
              <w:rPr>
                <w:rFonts w:cstheme="minorHAnsi"/>
                <w:sz w:val="20"/>
                <w:szCs w:val="20"/>
              </w:rPr>
            </w:pPr>
          </w:p>
        </w:tc>
        <w:tc>
          <w:tcPr>
            <w:tcW w:w="3150" w:type="dxa"/>
            <w:vMerge/>
          </w:tcPr>
          <w:p w14:paraId="13424727" w14:textId="77777777" w:rsidR="007D5E58" w:rsidRPr="005C579C" w:rsidRDefault="007D5E58" w:rsidP="00974425">
            <w:pPr>
              <w:ind w:left="48" w:firstLine="0"/>
              <w:rPr>
                <w:rFonts w:cstheme="minorHAnsi"/>
                <w:sz w:val="20"/>
                <w:szCs w:val="20"/>
              </w:rPr>
            </w:pPr>
          </w:p>
        </w:tc>
        <w:tc>
          <w:tcPr>
            <w:tcW w:w="3780" w:type="dxa"/>
            <w:shd w:val="clear" w:color="auto" w:fill="FFA5A5"/>
          </w:tcPr>
          <w:p w14:paraId="70B063D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39F2B2DA"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16BD88D7" w14:textId="77777777" w:rsidTr="00974425">
        <w:trPr>
          <w:trHeight w:val="87"/>
        </w:trPr>
        <w:tc>
          <w:tcPr>
            <w:tcW w:w="1634" w:type="dxa"/>
            <w:vMerge/>
          </w:tcPr>
          <w:p w14:paraId="37CBB840" w14:textId="77777777" w:rsidR="007D5E58" w:rsidRPr="005C579C" w:rsidRDefault="007D5E58" w:rsidP="00A53840">
            <w:pPr>
              <w:ind w:left="29" w:firstLine="0"/>
              <w:rPr>
                <w:rFonts w:cstheme="minorHAnsi"/>
                <w:sz w:val="20"/>
                <w:szCs w:val="20"/>
              </w:rPr>
            </w:pPr>
          </w:p>
        </w:tc>
        <w:tc>
          <w:tcPr>
            <w:tcW w:w="3330" w:type="dxa"/>
          </w:tcPr>
          <w:p w14:paraId="1D685322"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For the Accommodation Supplement, decrease the co-payment rate from 30% to 25% (that is, increase the Government contribution from 70% to 75%).</w:t>
            </w:r>
          </w:p>
        </w:tc>
        <w:tc>
          <w:tcPr>
            <w:tcW w:w="1260" w:type="dxa"/>
            <w:vMerge/>
          </w:tcPr>
          <w:p w14:paraId="4649F7B3" w14:textId="77777777" w:rsidR="007D5E58" w:rsidRPr="005C579C" w:rsidRDefault="007D5E58" w:rsidP="00974425">
            <w:pPr>
              <w:ind w:left="32" w:firstLine="0"/>
              <w:rPr>
                <w:rFonts w:cstheme="minorHAnsi"/>
                <w:sz w:val="20"/>
                <w:szCs w:val="20"/>
              </w:rPr>
            </w:pPr>
          </w:p>
        </w:tc>
        <w:tc>
          <w:tcPr>
            <w:tcW w:w="3150" w:type="dxa"/>
            <w:vMerge/>
          </w:tcPr>
          <w:p w14:paraId="1EB05849" w14:textId="77777777" w:rsidR="007D5E58" w:rsidRPr="005C579C" w:rsidRDefault="007D5E58" w:rsidP="00974425">
            <w:pPr>
              <w:ind w:left="48" w:firstLine="0"/>
              <w:rPr>
                <w:rFonts w:cstheme="minorHAnsi"/>
                <w:sz w:val="20"/>
                <w:szCs w:val="20"/>
              </w:rPr>
            </w:pPr>
          </w:p>
        </w:tc>
        <w:tc>
          <w:tcPr>
            <w:tcW w:w="3780" w:type="dxa"/>
            <w:shd w:val="clear" w:color="auto" w:fill="FFA5A5"/>
          </w:tcPr>
          <w:p w14:paraId="6E379C3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6670F6EB"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DF92178" w14:textId="77777777" w:rsidTr="00974425">
        <w:trPr>
          <w:trHeight w:val="87"/>
        </w:trPr>
        <w:tc>
          <w:tcPr>
            <w:tcW w:w="1634" w:type="dxa"/>
            <w:vMerge/>
          </w:tcPr>
          <w:p w14:paraId="00375010" w14:textId="77777777" w:rsidR="007D5E58" w:rsidRPr="005C579C" w:rsidRDefault="007D5E58" w:rsidP="00A53840">
            <w:pPr>
              <w:ind w:left="29" w:firstLine="0"/>
              <w:rPr>
                <w:rFonts w:cstheme="minorHAnsi"/>
                <w:sz w:val="20"/>
                <w:szCs w:val="20"/>
              </w:rPr>
            </w:pPr>
          </w:p>
        </w:tc>
        <w:tc>
          <w:tcPr>
            <w:tcW w:w="3330" w:type="dxa"/>
          </w:tcPr>
          <w:p w14:paraId="650732E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For the Accommodation Supplement, decrease the entry threshold for homeowners from 30% to 25% to align with renters.</w:t>
            </w:r>
          </w:p>
        </w:tc>
        <w:tc>
          <w:tcPr>
            <w:tcW w:w="1260" w:type="dxa"/>
            <w:vMerge/>
          </w:tcPr>
          <w:p w14:paraId="6037BD00" w14:textId="77777777" w:rsidR="007D5E58" w:rsidRPr="005C579C" w:rsidRDefault="007D5E58" w:rsidP="00974425">
            <w:pPr>
              <w:ind w:left="32" w:firstLine="0"/>
              <w:rPr>
                <w:rFonts w:cstheme="minorHAnsi"/>
                <w:sz w:val="20"/>
                <w:szCs w:val="20"/>
              </w:rPr>
            </w:pPr>
          </w:p>
        </w:tc>
        <w:tc>
          <w:tcPr>
            <w:tcW w:w="3150" w:type="dxa"/>
            <w:vMerge/>
          </w:tcPr>
          <w:p w14:paraId="555A9A5E" w14:textId="77777777" w:rsidR="007D5E58" w:rsidRPr="005C579C" w:rsidRDefault="007D5E58" w:rsidP="00974425">
            <w:pPr>
              <w:ind w:left="48" w:firstLine="0"/>
              <w:rPr>
                <w:rFonts w:cstheme="minorHAnsi"/>
                <w:sz w:val="20"/>
                <w:szCs w:val="20"/>
              </w:rPr>
            </w:pPr>
          </w:p>
        </w:tc>
        <w:tc>
          <w:tcPr>
            <w:tcW w:w="3780" w:type="dxa"/>
            <w:shd w:val="clear" w:color="auto" w:fill="FFA5A5"/>
          </w:tcPr>
          <w:p w14:paraId="0FE0DB2C"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044E45A"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3E9835F3" w14:textId="77777777" w:rsidTr="00974425">
        <w:trPr>
          <w:trHeight w:val="87"/>
        </w:trPr>
        <w:tc>
          <w:tcPr>
            <w:tcW w:w="1634" w:type="dxa"/>
            <w:vMerge/>
          </w:tcPr>
          <w:p w14:paraId="4985CB17" w14:textId="77777777" w:rsidR="007D5E58" w:rsidRPr="005C579C" w:rsidRDefault="007D5E58" w:rsidP="00A53840">
            <w:pPr>
              <w:ind w:left="29" w:firstLine="0"/>
              <w:rPr>
                <w:rFonts w:cstheme="minorHAnsi"/>
                <w:sz w:val="20"/>
                <w:szCs w:val="20"/>
              </w:rPr>
            </w:pPr>
          </w:p>
        </w:tc>
        <w:tc>
          <w:tcPr>
            <w:tcW w:w="3330" w:type="dxa"/>
          </w:tcPr>
          <w:p w14:paraId="2CCD0AA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Allow people who are studying (and meet the criteria for Student Allowance) but who do not receive Student Allowance, to apply for Accommodation Supplement.</w:t>
            </w:r>
          </w:p>
        </w:tc>
        <w:tc>
          <w:tcPr>
            <w:tcW w:w="1260" w:type="dxa"/>
            <w:vMerge/>
          </w:tcPr>
          <w:p w14:paraId="511F2FBE" w14:textId="77777777" w:rsidR="007D5E58" w:rsidRPr="005C579C" w:rsidRDefault="007D5E58" w:rsidP="00974425">
            <w:pPr>
              <w:ind w:left="32" w:firstLine="0"/>
              <w:rPr>
                <w:rFonts w:cstheme="minorHAnsi"/>
                <w:sz w:val="20"/>
                <w:szCs w:val="20"/>
              </w:rPr>
            </w:pPr>
          </w:p>
        </w:tc>
        <w:tc>
          <w:tcPr>
            <w:tcW w:w="3150" w:type="dxa"/>
            <w:vMerge/>
          </w:tcPr>
          <w:p w14:paraId="34775BE6" w14:textId="77777777" w:rsidR="007D5E58" w:rsidRPr="005C579C" w:rsidRDefault="007D5E58" w:rsidP="00974425">
            <w:pPr>
              <w:ind w:left="48" w:firstLine="0"/>
              <w:rPr>
                <w:rFonts w:cstheme="minorHAnsi"/>
                <w:sz w:val="20"/>
                <w:szCs w:val="20"/>
              </w:rPr>
            </w:pPr>
          </w:p>
        </w:tc>
        <w:tc>
          <w:tcPr>
            <w:tcW w:w="3780" w:type="dxa"/>
            <w:shd w:val="clear" w:color="auto" w:fill="FFA5A5"/>
          </w:tcPr>
          <w:p w14:paraId="620D522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3415ACF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6787308" w14:textId="77777777" w:rsidTr="00974425">
        <w:trPr>
          <w:trHeight w:val="87"/>
        </w:trPr>
        <w:tc>
          <w:tcPr>
            <w:tcW w:w="1634" w:type="dxa"/>
            <w:vMerge/>
          </w:tcPr>
          <w:p w14:paraId="705A7F0B" w14:textId="77777777" w:rsidR="007D5E58" w:rsidRPr="005C579C" w:rsidRDefault="007D5E58" w:rsidP="00A53840">
            <w:pPr>
              <w:ind w:left="29" w:firstLine="0"/>
              <w:rPr>
                <w:rFonts w:cstheme="minorHAnsi"/>
                <w:sz w:val="20"/>
                <w:szCs w:val="20"/>
              </w:rPr>
            </w:pPr>
          </w:p>
        </w:tc>
        <w:tc>
          <w:tcPr>
            <w:tcW w:w="3330" w:type="dxa"/>
          </w:tcPr>
          <w:p w14:paraId="5AC8CC0B"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the cash asset limit on Accommodation Supplement to $42,700, to align with the cash asset limit for social housing.</w:t>
            </w:r>
          </w:p>
        </w:tc>
        <w:tc>
          <w:tcPr>
            <w:tcW w:w="1260" w:type="dxa"/>
            <w:vMerge/>
          </w:tcPr>
          <w:p w14:paraId="6448B65C" w14:textId="77777777" w:rsidR="007D5E58" w:rsidRPr="005C579C" w:rsidRDefault="007D5E58" w:rsidP="00974425">
            <w:pPr>
              <w:ind w:left="32" w:firstLine="0"/>
              <w:rPr>
                <w:rFonts w:cstheme="minorHAnsi"/>
                <w:sz w:val="20"/>
                <w:szCs w:val="20"/>
              </w:rPr>
            </w:pPr>
          </w:p>
        </w:tc>
        <w:tc>
          <w:tcPr>
            <w:tcW w:w="3150" w:type="dxa"/>
            <w:vMerge/>
          </w:tcPr>
          <w:p w14:paraId="5488C4A2" w14:textId="77777777" w:rsidR="007D5E58" w:rsidRPr="005C579C" w:rsidRDefault="007D5E58" w:rsidP="00974425">
            <w:pPr>
              <w:ind w:left="48" w:firstLine="0"/>
              <w:rPr>
                <w:rFonts w:cstheme="minorHAnsi"/>
                <w:sz w:val="20"/>
                <w:szCs w:val="20"/>
              </w:rPr>
            </w:pPr>
          </w:p>
        </w:tc>
        <w:tc>
          <w:tcPr>
            <w:tcW w:w="3780" w:type="dxa"/>
            <w:shd w:val="clear" w:color="auto" w:fill="FFA5A5"/>
          </w:tcPr>
          <w:p w14:paraId="1DEC5332"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E405E9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F42377C" w14:textId="77777777" w:rsidTr="00974425">
        <w:trPr>
          <w:trHeight w:val="87"/>
        </w:trPr>
        <w:tc>
          <w:tcPr>
            <w:tcW w:w="1634" w:type="dxa"/>
            <w:vMerge/>
          </w:tcPr>
          <w:p w14:paraId="65E1E700" w14:textId="77777777" w:rsidR="007D5E58" w:rsidRPr="005C579C" w:rsidRDefault="007D5E58" w:rsidP="00A53840">
            <w:pPr>
              <w:ind w:left="29" w:firstLine="0"/>
              <w:rPr>
                <w:rFonts w:cstheme="minorHAnsi"/>
                <w:sz w:val="20"/>
                <w:szCs w:val="20"/>
              </w:rPr>
            </w:pPr>
          </w:p>
        </w:tc>
        <w:tc>
          <w:tcPr>
            <w:tcW w:w="3330" w:type="dxa"/>
          </w:tcPr>
          <w:p w14:paraId="2667D6D3"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Index the Accommodation Supplement cash asset limit to maintain relativity over time.</w:t>
            </w:r>
          </w:p>
        </w:tc>
        <w:tc>
          <w:tcPr>
            <w:tcW w:w="1260" w:type="dxa"/>
            <w:vMerge/>
          </w:tcPr>
          <w:p w14:paraId="78A91EBC" w14:textId="77777777" w:rsidR="007D5E58" w:rsidRPr="005C579C" w:rsidRDefault="007D5E58" w:rsidP="00974425">
            <w:pPr>
              <w:ind w:left="32" w:firstLine="0"/>
              <w:rPr>
                <w:rFonts w:cstheme="minorHAnsi"/>
                <w:sz w:val="20"/>
                <w:szCs w:val="20"/>
              </w:rPr>
            </w:pPr>
          </w:p>
        </w:tc>
        <w:tc>
          <w:tcPr>
            <w:tcW w:w="3150" w:type="dxa"/>
            <w:vMerge/>
          </w:tcPr>
          <w:p w14:paraId="0B0D1A72" w14:textId="77777777" w:rsidR="007D5E58" w:rsidRPr="005C579C" w:rsidRDefault="007D5E58" w:rsidP="00974425">
            <w:pPr>
              <w:ind w:left="48" w:firstLine="0"/>
              <w:rPr>
                <w:rFonts w:cstheme="minorHAnsi"/>
                <w:sz w:val="20"/>
                <w:szCs w:val="20"/>
              </w:rPr>
            </w:pPr>
          </w:p>
        </w:tc>
        <w:tc>
          <w:tcPr>
            <w:tcW w:w="3780" w:type="dxa"/>
            <w:shd w:val="clear" w:color="auto" w:fill="FFA5A5"/>
          </w:tcPr>
          <w:p w14:paraId="10BC3C8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06B4BA8"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8AE0877" w14:textId="77777777" w:rsidTr="00974425">
        <w:trPr>
          <w:trHeight w:val="87"/>
        </w:trPr>
        <w:tc>
          <w:tcPr>
            <w:tcW w:w="1634" w:type="dxa"/>
            <w:vMerge/>
          </w:tcPr>
          <w:p w14:paraId="3A576684" w14:textId="77777777" w:rsidR="007D5E58" w:rsidRPr="005C579C" w:rsidRDefault="007D5E58" w:rsidP="00A53840">
            <w:pPr>
              <w:ind w:left="29" w:firstLine="0"/>
              <w:rPr>
                <w:rFonts w:cstheme="minorHAnsi"/>
                <w:sz w:val="20"/>
                <w:szCs w:val="20"/>
              </w:rPr>
            </w:pPr>
          </w:p>
        </w:tc>
        <w:tc>
          <w:tcPr>
            <w:tcW w:w="3330" w:type="dxa"/>
          </w:tcPr>
          <w:p w14:paraId="4604A0F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Remove the cash asset abatement test for Accommodation Supplement.</w:t>
            </w:r>
          </w:p>
        </w:tc>
        <w:tc>
          <w:tcPr>
            <w:tcW w:w="1260" w:type="dxa"/>
            <w:vMerge/>
          </w:tcPr>
          <w:p w14:paraId="3A9FAA06" w14:textId="77777777" w:rsidR="007D5E58" w:rsidRPr="005C579C" w:rsidRDefault="007D5E58" w:rsidP="00974425">
            <w:pPr>
              <w:ind w:left="32" w:firstLine="0"/>
              <w:rPr>
                <w:rFonts w:cstheme="minorHAnsi"/>
                <w:sz w:val="20"/>
                <w:szCs w:val="20"/>
              </w:rPr>
            </w:pPr>
          </w:p>
        </w:tc>
        <w:tc>
          <w:tcPr>
            <w:tcW w:w="3150" w:type="dxa"/>
            <w:vMerge/>
          </w:tcPr>
          <w:p w14:paraId="1A4A8BE9" w14:textId="77777777" w:rsidR="007D5E58" w:rsidRPr="005C579C" w:rsidRDefault="007D5E58" w:rsidP="00974425">
            <w:pPr>
              <w:ind w:left="48" w:firstLine="0"/>
              <w:rPr>
                <w:rFonts w:cstheme="minorHAnsi"/>
                <w:sz w:val="20"/>
                <w:szCs w:val="20"/>
              </w:rPr>
            </w:pPr>
          </w:p>
        </w:tc>
        <w:tc>
          <w:tcPr>
            <w:tcW w:w="3780" w:type="dxa"/>
            <w:shd w:val="clear" w:color="auto" w:fill="FFA5A5"/>
          </w:tcPr>
          <w:p w14:paraId="38E63A6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35BED5D"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B0F42B2" w14:textId="77777777" w:rsidTr="00974425">
        <w:trPr>
          <w:trHeight w:val="87"/>
        </w:trPr>
        <w:tc>
          <w:tcPr>
            <w:tcW w:w="1634" w:type="dxa"/>
            <w:vMerge/>
          </w:tcPr>
          <w:p w14:paraId="3787847D" w14:textId="77777777" w:rsidR="007D5E58" w:rsidRPr="005C579C" w:rsidRDefault="007D5E58" w:rsidP="00A53840">
            <w:pPr>
              <w:ind w:left="29" w:firstLine="0"/>
              <w:rPr>
                <w:rFonts w:cstheme="minorHAnsi"/>
                <w:sz w:val="20"/>
                <w:szCs w:val="20"/>
              </w:rPr>
            </w:pPr>
          </w:p>
        </w:tc>
        <w:tc>
          <w:tcPr>
            <w:tcW w:w="3330" w:type="dxa"/>
          </w:tcPr>
          <w:p w14:paraId="64F27F48"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Amend the definition of cash asset for the Accommodation Supplement to exclude the proceeds from the sale of a house, for a reasonable period, to allow the person to re-enter the housing market, taking account of any special requirements or modifications the person or their family may require to a house.</w:t>
            </w:r>
          </w:p>
        </w:tc>
        <w:tc>
          <w:tcPr>
            <w:tcW w:w="1260" w:type="dxa"/>
            <w:vMerge/>
          </w:tcPr>
          <w:p w14:paraId="4609DF1F" w14:textId="77777777" w:rsidR="007D5E58" w:rsidRPr="005C579C" w:rsidRDefault="007D5E58" w:rsidP="00974425">
            <w:pPr>
              <w:ind w:left="32" w:firstLine="0"/>
              <w:rPr>
                <w:rFonts w:cstheme="minorHAnsi"/>
                <w:sz w:val="20"/>
                <w:szCs w:val="20"/>
              </w:rPr>
            </w:pPr>
          </w:p>
        </w:tc>
        <w:tc>
          <w:tcPr>
            <w:tcW w:w="3150" w:type="dxa"/>
            <w:vMerge/>
          </w:tcPr>
          <w:p w14:paraId="03C18CAB" w14:textId="77777777" w:rsidR="007D5E58" w:rsidRPr="005C579C" w:rsidRDefault="007D5E58" w:rsidP="00974425">
            <w:pPr>
              <w:ind w:left="48" w:firstLine="0"/>
              <w:rPr>
                <w:rFonts w:cstheme="minorHAnsi"/>
                <w:sz w:val="20"/>
                <w:szCs w:val="20"/>
              </w:rPr>
            </w:pPr>
          </w:p>
        </w:tc>
        <w:tc>
          <w:tcPr>
            <w:tcW w:w="3780" w:type="dxa"/>
            <w:shd w:val="clear" w:color="auto" w:fill="FFA5A5"/>
          </w:tcPr>
          <w:p w14:paraId="333E3EE2"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5FF37D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D4FFB63" w14:textId="77777777" w:rsidTr="00974425">
        <w:trPr>
          <w:trHeight w:val="87"/>
        </w:trPr>
        <w:tc>
          <w:tcPr>
            <w:tcW w:w="1634" w:type="dxa"/>
            <w:vMerge/>
          </w:tcPr>
          <w:p w14:paraId="737E9B06" w14:textId="77777777" w:rsidR="007D5E58" w:rsidRPr="005C579C" w:rsidRDefault="007D5E58" w:rsidP="00A53840">
            <w:pPr>
              <w:ind w:left="29" w:firstLine="0"/>
              <w:rPr>
                <w:rFonts w:cstheme="minorHAnsi"/>
                <w:sz w:val="20"/>
                <w:szCs w:val="20"/>
              </w:rPr>
            </w:pPr>
          </w:p>
        </w:tc>
        <w:tc>
          <w:tcPr>
            <w:tcW w:w="3330" w:type="dxa"/>
          </w:tcPr>
          <w:p w14:paraId="5B0E38C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Improve the take-up rate of Accommodation Supplement and Temporary Additional Support for non-benefit recipients through greater cooperation with Inland Revenue, better use of its information, and increased publicity and proactive activity.</w:t>
            </w:r>
          </w:p>
        </w:tc>
        <w:tc>
          <w:tcPr>
            <w:tcW w:w="1260" w:type="dxa"/>
            <w:vMerge/>
          </w:tcPr>
          <w:p w14:paraId="4BA41C74" w14:textId="77777777" w:rsidR="007D5E58" w:rsidRPr="005C579C" w:rsidRDefault="007D5E58" w:rsidP="00974425">
            <w:pPr>
              <w:ind w:left="32" w:firstLine="0"/>
              <w:rPr>
                <w:rFonts w:cstheme="minorHAnsi"/>
                <w:sz w:val="20"/>
                <w:szCs w:val="20"/>
              </w:rPr>
            </w:pPr>
          </w:p>
        </w:tc>
        <w:tc>
          <w:tcPr>
            <w:tcW w:w="3150" w:type="dxa"/>
            <w:vMerge/>
          </w:tcPr>
          <w:p w14:paraId="71E46DE5" w14:textId="77777777" w:rsidR="007D5E58" w:rsidRPr="005C579C" w:rsidRDefault="007D5E58" w:rsidP="00974425">
            <w:pPr>
              <w:ind w:left="48" w:firstLine="0"/>
              <w:rPr>
                <w:rFonts w:cstheme="minorHAnsi"/>
                <w:sz w:val="20"/>
                <w:szCs w:val="20"/>
              </w:rPr>
            </w:pPr>
          </w:p>
        </w:tc>
        <w:tc>
          <w:tcPr>
            <w:tcW w:w="3780" w:type="dxa"/>
            <w:shd w:val="clear" w:color="auto" w:fill="FFA5A5"/>
          </w:tcPr>
          <w:p w14:paraId="6358EFA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65EE2D62"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AD194C7" w14:textId="77777777" w:rsidTr="00974425">
        <w:trPr>
          <w:trHeight w:val="87"/>
        </w:trPr>
        <w:tc>
          <w:tcPr>
            <w:tcW w:w="1634" w:type="dxa"/>
            <w:vMerge/>
          </w:tcPr>
          <w:p w14:paraId="006C0FA9" w14:textId="77777777" w:rsidR="007D5E58" w:rsidRPr="005C579C" w:rsidRDefault="007D5E58" w:rsidP="00A53840">
            <w:pPr>
              <w:ind w:left="29" w:firstLine="0"/>
              <w:rPr>
                <w:rFonts w:cstheme="minorHAnsi"/>
                <w:sz w:val="20"/>
                <w:szCs w:val="20"/>
              </w:rPr>
            </w:pPr>
          </w:p>
        </w:tc>
        <w:tc>
          <w:tcPr>
            <w:tcW w:w="3330" w:type="dxa"/>
          </w:tcPr>
          <w:p w14:paraId="4CA18243"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the flexibility in the requirement to review and renew Temporary Additional Support when assessments relate to housing costs, with reviews between 3 and 12 months tailored to individual circumstances, and accordingly rename, such as ‘Tailored Additional Support’.</w:t>
            </w:r>
          </w:p>
        </w:tc>
        <w:tc>
          <w:tcPr>
            <w:tcW w:w="1260" w:type="dxa"/>
            <w:vMerge/>
          </w:tcPr>
          <w:p w14:paraId="6B0F2333" w14:textId="77777777" w:rsidR="007D5E58" w:rsidRPr="005C579C" w:rsidRDefault="007D5E58" w:rsidP="00974425">
            <w:pPr>
              <w:ind w:left="32" w:firstLine="0"/>
              <w:rPr>
                <w:rFonts w:cstheme="minorHAnsi"/>
                <w:sz w:val="20"/>
                <w:szCs w:val="20"/>
              </w:rPr>
            </w:pPr>
          </w:p>
        </w:tc>
        <w:tc>
          <w:tcPr>
            <w:tcW w:w="3150" w:type="dxa"/>
            <w:vMerge/>
          </w:tcPr>
          <w:p w14:paraId="3EC63F2F" w14:textId="77777777" w:rsidR="007D5E58" w:rsidRPr="005C579C" w:rsidRDefault="007D5E58" w:rsidP="00974425">
            <w:pPr>
              <w:ind w:left="48" w:firstLine="0"/>
              <w:rPr>
                <w:rFonts w:cstheme="minorHAnsi"/>
                <w:sz w:val="20"/>
                <w:szCs w:val="20"/>
              </w:rPr>
            </w:pPr>
          </w:p>
        </w:tc>
        <w:tc>
          <w:tcPr>
            <w:tcW w:w="3780" w:type="dxa"/>
            <w:shd w:val="clear" w:color="auto" w:fill="FFA5A5"/>
          </w:tcPr>
          <w:p w14:paraId="5672B807"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A0AC91A"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9658D25" w14:textId="77777777" w:rsidTr="00974425">
        <w:trPr>
          <w:trHeight w:val="87"/>
        </w:trPr>
        <w:tc>
          <w:tcPr>
            <w:tcW w:w="1634" w:type="dxa"/>
            <w:vMerge/>
          </w:tcPr>
          <w:p w14:paraId="3545882F" w14:textId="77777777" w:rsidR="007D5E58" w:rsidRPr="005C579C" w:rsidRDefault="007D5E58" w:rsidP="00A53840">
            <w:pPr>
              <w:ind w:left="29" w:firstLine="0"/>
              <w:rPr>
                <w:rFonts w:cstheme="minorHAnsi"/>
                <w:sz w:val="20"/>
                <w:szCs w:val="20"/>
              </w:rPr>
            </w:pPr>
          </w:p>
        </w:tc>
        <w:tc>
          <w:tcPr>
            <w:tcW w:w="3330" w:type="dxa"/>
          </w:tcPr>
          <w:p w14:paraId="47865082"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Ensure the combination of changes to housing support and abatement rates, alongside other income support, make low- and low–middle income households substantially better off.</w:t>
            </w:r>
          </w:p>
        </w:tc>
        <w:tc>
          <w:tcPr>
            <w:tcW w:w="1260" w:type="dxa"/>
            <w:vMerge/>
          </w:tcPr>
          <w:p w14:paraId="06CB787A" w14:textId="77777777" w:rsidR="007D5E58" w:rsidRPr="005C579C" w:rsidRDefault="007D5E58" w:rsidP="00974425">
            <w:pPr>
              <w:ind w:left="32" w:firstLine="0"/>
              <w:rPr>
                <w:rFonts w:cstheme="minorHAnsi"/>
                <w:sz w:val="20"/>
                <w:szCs w:val="20"/>
              </w:rPr>
            </w:pPr>
          </w:p>
        </w:tc>
        <w:tc>
          <w:tcPr>
            <w:tcW w:w="3150" w:type="dxa"/>
            <w:vMerge/>
          </w:tcPr>
          <w:p w14:paraId="46D98D5A" w14:textId="77777777" w:rsidR="007D5E58" w:rsidRPr="005C579C" w:rsidRDefault="007D5E58" w:rsidP="00974425">
            <w:pPr>
              <w:ind w:left="48" w:firstLine="0"/>
              <w:rPr>
                <w:rFonts w:cstheme="minorHAnsi"/>
                <w:sz w:val="20"/>
                <w:szCs w:val="20"/>
              </w:rPr>
            </w:pPr>
          </w:p>
        </w:tc>
        <w:tc>
          <w:tcPr>
            <w:tcW w:w="3780" w:type="dxa"/>
            <w:shd w:val="clear" w:color="auto" w:fill="FFA5A5"/>
          </w:tcPr>
          <w:p w14:paraId="231095E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E53A17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571E9F7" w14:textId="77777777" w:rsidTr="00974425">
        <w:trPr>
          <w:trHeight w:val="183"/>
        </w:trPr>
        <w:tc>
          <w:tcPr>
            <w:tcW w:w="1634" w:type="dxa"/>
            <w:vMerge w:val="restart"/>
          </w:tcPr>
          <w:p w14:paraId="47E4B283" w14:textId="77777777" w:rsidR="007D5E58" w:rsidRPr="005C579C" w:rsidRDefault="007D5E58" w:rsidP="00A53840">
            <w:pPr>
              <w:ind w:left="29" w:firstLine="0"/>
              <w:rPr>
                <w:rFonts w:cstheme="minorHAnsi"/>
                <w:sz w:val="20"/>
                <w:szCs w:val="20"/>
              </w:rPr>
            </w:pPr>
            <w:r w:rsidRPr="005C579C">
              <w:rPr>
                <w:rFonts w:cstheme="minorHAnsi"/>
                <w:bCs/>
                <w:color w:val="000000"/>
                <w:sz w:val="20"/>
                <w:szCs w:val="20"/>
              </w:rPr>
              <w:t>Government to undertake further work</w:t>
            </w:r>
          </w:p>
        </w:tc>
        <w:tc>
          <w:tcPr>
            <w:tcW w:w="3330" w:type="dxa"/>
          </w:tcPr>
          <w:p w14:paraId="2BA11EF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Determine the impact on low-income households of maintaining levels of Accommodation Supplement for a reasonable period for beneficiaries who move into full-time work, so they are well supported to remain in work and able to clear debts and build savings, similar to the recommendation on income-related rent subsidy.</w:t>
            </w:r>
          </w:p>
        </w:tc>
        <w:tc>
          <w:tcPr>
            <w:tcW w:w="1260" w:type="dxa"/>
            <w:vMerge w:val="restart"/>
          </w:tcPr>
          <w:p w14:paraId="5F2E89C1" w14:textId="77777777" w:rsidR="007D5E58" w:rsidRPr="005C579C" w:rsidRDefault="007D5E58" w:rsidP="00974425">
            <w:pPr>
              <w:ind w:left="32" w:firstLine="0"/>
              <w:rPr>
                <w:rFonts w:cstheme="minorHAnsi"/>
                <w:sz w:val="20"/>
                <w:szCs w:val="20"/>
              </w:rPr>
            </w:pPr>
            <w:r w:rsidRPr="005C579C">
              <w:rPr>
                <w:rFonts w:cstheme="minorHAnsi"/>
                <w:sz w:val="20"/>
                <w:szCs w:val="20"/>
              </w:rPr>
              <w:t>Ch 8</w:t>
            </w:r>
          </w:p>
        </w:tc>
        <w:tc>
          <w:tcPr>
            <w:tcW w:w="3150" w:type="dxa"/>
            <w:vMerge w:val="restart"/>
          </w:tcPr>
          <w:p w14:paraId="176793A6" w14:textId="118928F9" w:rsidR="007D5E58" w:rsidRPr="005C579C" w:rsidRDefault="007D5E58" w:rsidP="00974425">
            <w:pPr>
              <w:ind w:left="48" w:firstLine="0"/>
              <w:rPr>
                <w:rFonts w:cstheme="minorHAnsi"/>
                <w:sz w:val="20"/>
                <w:szCs w:val="20"/>
              </w:rPr>
            </w:pPr>
            <w:r w:rsidRPr="005C579C">
              <w:rPr>
                <w:rFonts w:cstheme="minorHAnsi"/>
                <w:sz w:val="20"/>
                <w:szCs w:val="20"/>
              </w:rPr>
              <w:t>A 27 September 2021 Cabinet paper, Appendix Three, stated that “The review of housing subsidies remains under the medium to longer-term work programme. Advice on Accommodation Supplement (AS) continues to be a focus in the review and has been brought forward alongside the review of Working for Families. In June 2021, officials provided advice setting out key concerns and seeking joint Ministers’ feedback on the proposed scope and objectives for the review”</w:t>
            </w:r>
            <w:r w:rsidR="00436F6B">
              <w:rPr>
                <w:rFonts w:cstheme="minorHAnsi"/>
                <w:sz w:val="20"/>
                <w:szCs w:val="20"/>
              </w:rPr>
              <w:t xml:space="preserve"> (MSD, 2021d).</w:t>
            </w:r>
          </w:p>
        </w:tc>
        <w:tc>
          <w:tcPr>
            <w:tcW w:w="3780" w:type="dxa"/>
            <w:shd w:val="clear" w:color="auto" w:fill="FFA5A5"/>
          </w:tcPr>
          <w:p w14:paraId="7B97F54F"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FAAC5C6"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87B5071" w14:textId="77777777" w:rsidTr="00974425">
        <w:trPr>
          <w:trHeight w:val="183"/>
        </w:trPr>
        <w:tc>
          <w:tcPr>
            <w:tcW w:w="1634" w:type="dxa"/>
            <w:vMerge/>
          </w:tcPr>
          <w:p w14:paraId="1E296294" w14:textId="77777777" w:rsidR="007D5E58" w:rsidRPr="005C579C" w:rsidRDefault="007D5E58" w:rsidP="00A53840">
            <w:pPr>
              <w:ind w:left="29" w:firstLine="0"/>
              <w:rPr>
                <w:rFonts w:cstheme="minorHAnsi"/>
                <w:bCs/>
                <w:color w:val="000000"/>
                <w:sz w:val="20"/>
                <w:szCs w:val="20"/>
              </w:rPr>
            </w:pPr>
          </w:p>
        </w:tc>
        <w:tc>
          <w:tcPr>
            <w:tcW w:w="3330" w:type="dxa"/>
          </w:tcPr>
          <w:p w14:paraId="34B783E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Change the way Accommodation Supplement payments are calculated to move away from family size to being based on the number of bedrooms, including allowing bedroom space for a disability support person and for children in shared custody, and determine the impact of this change on low-income households.</w:t>
            </w:r>
          </w:p>
        </w:tc>
        <w:tc>
          <w:tcPr>
            <w:tcW w:w="1260" w:type="dxa"/>
            <w:vMerge/>
          </w:tcPr>
          <w:p w14:paraId="7F4D3C31" w14:textId="77777777" w:rsidR="007D5E58" w:rsidRPr="005C579C" w:rsidRDefault="007D5E58" w:rsidP="00974425">
            <w:pPr>
              <w:ind w:left="32" w:firstLine="0"/>
              <w:rPr>
                <w:rFonts w:cstheme="minorHAnsi"/>
                <w:sz w:val="20"/>
                <w:szCs w:val="20"/>
              </w:rPr>
            </w:pPr>
          </w:p>
        </w:tc>
        <w:tc>
          <w:tcPr>
            <w:tcW w:w="3150" w:type="dxa"/>
            <w:vMerge/>
          </w:tcPr>
          <w:p w14:paraId="510B11DF" w14:textId="77777777" w:rsidR="007D5E58" w:rsidRPr="005C579C" w:rsidRDefault="007D5E58" w:rsidP="00974425">
            <w:pPr>
              <w:ind w:left="48" w:firstLine="0"/>
              <w:rPr>
                <w:rFonts w:cstheme="minorHAnsi"/>
                <w:sz w:val="20"/>
                <w:szCs w:val="20"/>
              </w:rPr>
            </w:pPr>
          </w:p>
        </w:tc>
        <w:tc>
          <w:tcPr>
            <w:tcW w:w="3780" w:type="dxa"/>
            <w:shd w:val="clear" w:color="auto" w:fill="FFA5A5"/>
          </w:tcPr>
          <w:p w14:paraId="30B96B6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45A54FD"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23F504B9" w14:textId="77777777" w:rsidTr="00974425">
        <w:trPr>
          <w:trHeight w:val="183"/>
        </w:trPr>
        <w:tc>
          <w:tcPr>
            <w:tcW w:w="1634" w:type="dxa"/>
            <w:vMerge/>
          </w:tcPr>
          <w:p w14:paraId="1DC9D36C" w14:textId="77777777" w:rsidR="007D5E58" w:rsidRPr="005C579C" w:rsidRDefault="007D5E58" w:rsidP="00A53840">
            <w:pPr>
              <w:ind w:left="29" w:firstLine="0"/>
              <w:rPr>
                <w:rFonts w:cstheme="minorHAnsi"/>
                <w:bCs/>
                <w:color w:val="000000"/>
                <w:sz w:val="20"/>
                <w:szCs w:val="20"/>
              </w:rPr>
            </w:pPr>
          </w:p>
        </w:tc>
        <w:tc>
          <w:tcPr>
            <w:tcW w:w="3330" w:type="dxa"/>
          </w:tcPr>
          <w:p w14:paraId="62C09DF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the level of the cash asset limit for the income-related rent subsidy and Accommodation Supplement, to maintain the principle that it allows people to save for a mortgage deposit for a median-priced house.</w:t>
            </w:r>
          </w:p>
          <w:p w14:paraId="1277F9E0" w14:textId="77777777" w:rsidR="007D5E58" w:rsidRPr="005C579C" w:rsidRDefault="007D5E58" w:rsidP="00974425">
            <w:pPr>
              <w:tabs>
                <w:tab w:val="left" w:pos="1186"/>
              </w:tabs>
              <w:ind w:left="96" w:firstLine="0"/>
              <w:rPr>
                <w:rFonts w:cstheme="minorHAnsi"/>
                <w:sz w:val="20"/>
                <w:szCs w:val="20"/>
              </w:rPr>
            </w:pPr>
          </w:p>
        </w:tc>
        <w:tc>
          <w:tcPr>
            <w:tcW w:w="1260" w:type="dxa"/>
            <w:vMerge/>
          </w:tcPr>
          <w:p w14:paraId="1FB9B941" w14:textId="77777777" w:rsidR="007D5E58" w:rsidRPr="005C579C" w:rsidRDefault="007D5E58" w:rsidP="00974425">
            <w:pPr>
              <w:ind w:left="32" w:firstLine="0"/>
              <w:rPr>
                <w:rFonts w:cstheme="minorHAnsi"/>
                <w:sz w:val="20"/>
                <w:szCs w:val="20"/>
              </w:rPr>
            </w:pPr>
          </w:p>
        </w:tc>
        <w:tc>
          <w:tcPr>
            <w:tcW w:w="3150" w:type="dxa"/>
            <w:vMerge/>
          </w:tcPr>
          <w:p w14:paraId="3304B2E7" w14:textId="77777777" w:rsidR="007D5E58" w:rsidRPr="005C579C" w:rsidRDefault="007D5E58" w:rsidP="00974425">
            <w:pPr>
              <w:ind w:left="48" w:firstLine="0"/>
              <w:rPr>
                <w:rFonts w:cstheme="minorHAnsi"/>
                <w:sz w:val="20"/>
                <w:szCs w:val="20"/>
              </w:rPr>
            </w:pPr>
          </w:p>
        </w:tc>
        <w:tc>
          <w:tcPr>
            <w:tcW w:w="3780" w:type="dxa"/>
            <w:shd w:val="clear" w:color="auto" w:fill="FFA5A5"/>
          </w:tcPr>
          <w:p w14:paraId="56501BE9"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A4BAB3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7127B351" w14:textId="77777777" w:rsidTr="00974425">
        <w:trPr>
          <w:trHeight w:val="183"/>
        </w:trPr>
        <w:tc>
          <w:tcPr>
            <w:tcW w:w="1634" w:type="dxa"/>
            <w:vMerge/>
          </w:tcPr>
          <w:p w14:paraId="09C30494" w14:textId="77777777" w:rsidR="007D5E58" w:rsidRPr="005C579C" w:rsidRDefault="007D5E58" w:rsidP="00A53840">
            <w:pPr>
              <w:ind w:left="29" w:firstLine="0"/>
              <w:rPr>
                <w:rFonts w:cstheme="minorHAnsi"/>
                <w:bCs/>
                <w:color w:val="000000"/>
                <w:sz w:val="20"/>
                <w:szCs w:val="20"/>
              </w:rPr>
            </w:pPr>
          </w:p>
        </w:tc>
        <w:tc>
          <w:tcPr>
            <w:tcW w:w="3330" w:type="dxa"/>
          </w:tcPr>
          <w:p w14:paraId="19934D4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as the supply-side measures increase and affordability improves, the roles of MSD, Housing New Zealand and the Ministry of Housing and Urban Development to consider whether an integrated, single-agency approach to housing might be preferable.</w:t>
            </w:r>
          </w:p>
        </w:tc>
        <w:tc>
          <w:tcPr>
            <w:tcW w:w="1260" w:type="dxa"/>
            <w:vMerge/>
          </w:tcPr>
          <w:p w14:paraId="43094AE7" w14:textId="77777777" w:rsidR="007D5E58" w:rsidRPr="005C579C" w:rsidRDefault="007D5E58" w:rsidP="00974425">
            <w:pPr>
              <w:ind w:left="32" w:firstLine="0"/>
              <w:rPr>
                <w:rFonts w:cstheme="minorHAnsi"/>
                <w:sz w:val="20"/>
                <w:szCs w:val="20"/>
              </w:rPr>
            </w:pPr>
          </w:p>
        </w:tc>
        <w:tc>
          <w:tcPr>
            <w:tcW w:w="3150" w:type="dxa"/>
            <w:vMerge/>
          </w:tcPr>
          <w:p w14:paraId="568B6824" w14:textId="77777777" w:rsidR="007D5E58" w:rsidRPr="005C579C" w:rsidRDefault="007D5E58" w:rsidP="00974425">
            <w:pPr>
              <w:ind w:left="48" w:firstLine="0"/>
              <w:rPr>
                <w:rFonts w:cstheme="minorHAnsi"/>
                <w:sz w:val="20"/>
                <w:szCs w:val="20"/>
              </w:rPr>
            </w:pPr>
          </w:p>
        </w:tc>
        <w:tc>
          <w:tcPr>
            <w:tcW w:w="3780" w:type="dxa"/>
            <w:shd w:val="clear" w:color="auto" w:fill="FFA5A5"/>
          </w:tcPr>
          <w:p w14:paraId="3D272051"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10FAB34"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A174591" w14:textId="77777777" w:rsidTr="00974425">
        <w:trPr>
          <w:trHeight w:val="183"/>
        </w:trPr>
        <w:tc>
          <w:tcPr>
            <w:tcW w:w="1634" w:type="dxa"/>
            <w:vMerge/>
          </w:tcPr>
          <w:p w14:paraId="1B172AEE" w14:textId="77777777" w:rsidR="007D5E58" w:rsidRPr="005C579C" w:rsidRDefault="007D5E58" w:rsidP="00A53840">
            <w:pPr>
              <w:ind w:left="29" w:firstLine="0"/>
              <w:rPr>
                <w:rFonts w:cstheme="minorHAnsi"/>
                <w:bCs/>
                <w:color w:val="000000"/>
                <w:sz w:val="20"/>
                <w:szCs w:val="20"/>
              </w:rPr>
            </w:pPr>
          </w:p>
        </w:tc>
        <w:tc>
          <w:tcPr>
            <w:tcW w:w="3330" w:type="dxa"/>
          </w:tcPr>
          <w:p w14:paraId="62D6B3B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the housing assessment and allocation process so there is an appropriate balance between placing locals waiting to be housed and high-needs households from outside the region.</w:t>
            </w:r>
          </w:p>
        </w:tc>
        <w:tc>
          <w:tcPr>
            <w:tcW w:w="1260" w:type="dxa"/>
            <w:vMerge/>
          </w:tcPr>
          <w:p w14:paraId="61B969B7" w14:textId="77777777" w:rsidR="007D5E58" w:rsidRPr="005C579C" w:rsidRDefault="007D5E58" w:rsidP="00974425">
            <w:pPr>
              <w:ind w:left="32" w:firstLine="0"/>
              <w:rPr>
                <w:rFonts w:cstheme="minorHAnsi"/>
                <w:sz w:val="20"/>
                <w:szCs w:val="20"/>
              </w:rPr>
            </w:pPr>
          </w:p>
        </w:tc>
        <w:tc>
          <w:tcPr>
            <w:tcW w:w="3150" w:type="dxa"/>
            <w:vMerge/>
          </w:tcPr>
          <w:p w14:paraId="21198373" w14:textId="77777777" w:rsidR="007D5E58" w:rsidRPr="005C579C" w:rsidRDefault="007D5E58" w:rsidP="00974425">
            <w:pPr>
              <w:ind w:left="48" w:firstLine="0"/>
              <w:rPr>
                <w:rFonts w:cstheme="minorHAnsi"/>
                <w:sz w:val="20"/>
                <w:szCs w:val="20"/>
              </w:rPr>
            </w:pPr>
          </w:p>
        </w:tc>
        <w:tc>
          <w:tcPr>
            <w:tcW w:w="3780" w:type="dxa"/>
            <w:shd w:val="clear" w:color="auto" w:fill="FFA5A5"/>
          </w:tcPr>
          <w:p w14:paraId="6AD490D1"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7C48B0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5F9BE06E" w14:textId="77777777" w:rsidTr="00974425">
        <w:trPr>
          <w:trHeight w:val="605"/>
        </w:trPr>
        <w:tc>
          <w:tcPr>
            <w:tcW w:w="1634" w:type="dxa"/>
            <w:vMerge w:val="restart"/>
          </w:tcPr>
          <w:p w14:paraId="79D4AF67"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Home ownership and tenure options and</w:t>
            </w:r>
          </w:p>
          <w:p w14:paraId="6F59F98D"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ending homelessness</w:t>
            </w:r>
          </w:p>
        </w:tc>
        <w:tc>
          <w:tcPr>
            <w:tcW w:w="3330" w:type="dxa"/>
          </w:tcPr>
          <w:p w14:paraId="69C78F3B"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facilitating innovative thinking and action to increase home ownership through rent-to-buy schemes, shared equity schemes, low-interest rate loans or fixed mortgages, microfinancing and similar</w:t>
            </w:r>
          </w:p>
        </w:tc>
        <w:tc>
          <w:tcPr>
            <w:tcW w:w="1260" w:type="dxa"/>
            <w:vMerge w:val="restart"/>
          </w:tcPr>
          <w:p w14:paraId="27CEB1C3" w14:textId="77777777" w:rsidR="007D5E58" w:rsidRPr="005C579C" w:rsidRDefault="007D5E58" w:rsidP="00974425">
            <w:pPr>
              <w:ind w:left="32" w:firstLine="0"/>
              <w:rPr>
                <w:rFonts w:cstheme="minorHAnsi"/>
                <w:sz w:val="20"/>
                <w:szCs w:val="20"/>
              </w:rPr>
            </w:pPr>
            <w:r w:rsidRPr="005C579C">
              <w:rPr>
                <w:rFonts w:cstheme="minorHAnsi"/>
                <w:sz w:val="20"/>
                <w:szCs w:val="20"/>
              </w:rPr>
              <w:t>Key Recs 30, 31 and 34; Ch 8</w:t>
            </w:r>
          </w:p>
        </w:tc>
        <w:tc>
          <w:tcPr>
            <w:tcW w:w="3150" w:type="dxa"/>
            <w:vMerge w:val="restart"/>
          </w:tcPr>
          <w:p w14:paraId="3F864BD3" w14:textId="07B25216" w:rsidR="007D5E58" w:rsidRPr="005C579C" w:rsidRDefault="007D5E58" w:rsidP="00974425">
            <w:pPr>
              <w:spacing w:after="120"/>
              <w:ind w:left="48" w:firstLine="0"/>
              <w:rPr>
                <w:rFonts w:cstheme="minorHAnsi"/>
                <w:sz w:val="20"/>
                <w:szCs w:val="20"/>
              </w:rPr>
            </w:pPr>
            <w:r w:rsidRPr="005C579C">
              <w:rPr>
                <w:rFonts w:cstheme="minorHAnsi"/>
                <w:sz w:val="20"/>
                <w:szCs w:val="20"/>
              </w:rPr>
              <w:t>In a 27 September 2021 Cabinet paper, Appendix Three, the Government stated that “HUD* is progressing work on improving housing affordability, particularly through the supply of land, the role of regulation, the provision of infrastructure, the cost of building materials and increasing skills and the level of innovation in the construction sector”</w:t>
            </w:r>
            <w:r w:rsidR="00436F6B">
              <w:rPr>
                <w:rFonts w:cstheme="minorHAnsi"/>
                <w:sz w:val="20"/>
                <w:szCs w:val="20"/>
              </w:rPr>
              <w:t xml:space="preserve"> (MSD, 2021d).</w:t>
            </w:r>
            <w:r w:rsidRPr="005C579C">
              <w:rPr>
                <w:rFonts w:cstheme="minorHAnsi"/>
                <w:sz w:val="20"/>
                <w:szCs w:val="20"/>
              </w:rPr>
              <w:t xml:space="preserve"> </w:t>
            </w:r>
          </w:p>
          <w:p w14:paraId="1E17AA28" w14:textId="77204207" w:rsidR="007D5E58" w:rsidRPr="005C579C" w:rsidRDefault="007D5E58" w:rsidP="00974425">
            <w:pPr>
              <w:spacing w:after="120"/>
              <w:ind w:left="48" w:firstLine="0"/>
              <w:rPr>
                <w:rFonts w:cstheme="minorHAnsi"/>
                <w:sz w:val="20"/>
                <w:szCs w:val="20"/>
              </w:rPr>
            </w:pPr>
            <w:r w:rsidRPr="005C579C">
              <w:rPr>
                <w:rFonts w:cstheme="minorHAnsi"/>
                <w:sz w:val="20"/>
                <w:szCs w:val="20"/>
              </w:rPr>
              <w:t>The Cabinet paper appendix also stated that “Advice to improve housing supply and affordability was provided to Ministers in January 2021. This work complements the demand-side measures developed by the Treasury and Inland Revenue. … On 23 March 2021, the Government announced new measures to increase the pace and scale of housing delivery to support more people into home ownership”</w:t>
            </w:r>
            <w:r w:rsidR="00436F6B">
              <w:rPr>
                <w:rFonts w:cstheme="minorHAnsi"/>
                <w:sz w:val="20"/>
                <w:szCs w:val="20"/>
              </w:rPr>
              <w:t xml:space="preserve"> (MSD, 2021d).</w:t>
            </w:r>
          </w:p>
        </w:tc>
        <w:tc>
          <w:tcPr>
            <w:tcW w:w="3780" w:type="dxa"/>
            <w:shd w:val="clear" w:color="auto" w:fill="FFE599" w:themeFill="accent4" w:themeFillTint="66"/>
          </w:tcPr>
          <w:p w14:paraId="0CE78578"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28F80444" w14:textId="77777777" w:rsidR="007D5E58" w:rsidRPr="005C579C" w:rsidRDefault="007D5E58" w:rsidP="00974425">
            <w:pPr>
              <w:ind w:left="16" w:firstLine="0"/>
              <w:rPr>
                <w:rFonts w:cstheme="minorHAnsi"/>
                <w:sz w:val="20"/>
                <w:szCs w:val="20"/>
              </w:rPr>
            </w:pPr>
          </w:p>
          <w:p w14:paraId="4DC87CF8"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Detailed Recommendation 85 has been partially implemented through the Progressive Home Ownership Fund. </w:t>
            </w:r>
          </w:p>
          <w:p w14:paraId="1F6F0EE3" w14:textId="77777777" w:rsidR="007D5E58" w:rsidRPr="005C579C" w:rsidRDefault="007D5E58" w:rsidP="00974425">
            <w:pPr>
              <w:ind w:left="16" w:firstLine="0"/>
              <w:rPr>
                <w:rFonts w:cstheme="minorHAnsi"/>
                <w:sz w:val="20"/>
                <w:szCs w:val="20"/>
              </w:rPr>
            </w:pPr>
          </w:p>
          <w:p w14:paraId="029AD750" w14:textId="0E99830B" w:rsidR="007D5E58" w:rsidRPr="005C579C" w:rsidRDefault="007D5E58" w:rsidP="00974425">
            <w:pPr>
              <w:spacing w:after="120"/>
              <w:ind w:left="16" w:firstLine="0"/>
              <w:rPr>
                <w:rFonts w:cstheme="minorHAnsi"/>
                <w:sz w:val="20"/>
                <w:szCs w:val="20"/>
              </w:rPr>
            </w:pPr>
            <w:r w:rsidRPr="005C579C">
              <w:rPr>
                <w:rFonts w:cstheme="minorHAnsi"/>
                <w:sz w:val="20"/>
                <w:szCs w:val="20"/>
              </w:rPr>
              <w:t>The Government predicted that its Progressive Home Ownership scheme, announced in 2020, would help between 1,500 and 4,000 households, with priority given to Māori, Pacific peoples, and families with children</w:t>
            </w:r>
            <w:r w:rsidR="00436F6B">
              <w:rPr>
                <w:rFonts w:cstheme="minorHAnsi"/>
                <w:sz w:val="20"/>
                <w:szCs w:val="20"/>
              </w:rPr>
              <w:t xml:space="preserve"> (MHUD, 2020)</w:t>
            </w:r>
            <w:r w:rsidRPr="005C579C">
              <w:rPr>
                <w:rFonts w:cstheme="minorHAnsi"/>
                <w:sz w:val="20"/>
                <w:szCs w:val="20"/>
              </w:rPr>
              <w:t>. However, in the seven months since the launch of the scheme to February 2021, the scheme had housed just 12 families</w:t>
            </w:r>
            <w:r w:rsidR="00436F6B">
              <w:rPr>
                <w:rFonts w:cstheme="minorHAnsi"/>
                <w:sz w:val="20"/>
                <w:szCs w:val="20"/>
              </w:rPr>
              <w:t xml:space="preserve"> (RNZ, 2021b)</w:t>
            </w:r>
            <w:r w:rsidRPr="005C579C">
              <w:rPr>
                <w:rFonts w:cstheme="minorHAnsi"/>
                <w:sz w:val="20"/>
                <w:szCs w:val="20"/>
              </w:rPr>
              <w:t xml:space="preserve">. Even if the original target is indeed met, the scale of this programme remains small in the context of the scale of the housing crisis, and the extent of inequities for Māori and Pacific peoples. Significant work remains to be done to ensure home ownership is affordable for more New Zealanders. </w:t>
            </w:r>
          </w:p>
        </w:tc>
        <w:tc>
          <w:tcPr>
            <w:tcW w:w="1447" w:type="dxa"/>
            <w:shd w:val="clear" w:color="auto" w:fill="auto"/>
          </w:tcPr>
          <w:p w14:paraId="0942B81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6351355B" w14:textId="77777777" w:rsidTr="00974425">
        <w:trPr>
          <w:trHeight w:val="604"/>
        </w:trPr>
        <w:tc>
          <w:tcPr>
            <w:tcW w:w="1634" w:type="dxa"/>
            <w:vMerge/>
          </w:tcPr>
          <w:p w14:paraId="79FDC9A5" w14:textId="77777777" w:rsidR="007D5E58" w:rsidRPr="005C579C" w:rsidRDefault="007D5E58" w:rsidP="00A53840">
            <w:pPr>
              <w:ind w:left="29" w:firstLine="0"/>
              <w:rPr>
                <w:rFonts w:cstheme="minorHAnsi"/>
                <w:bCs/>
                <w:color w:val="000000"/>
                <w:sz w:val="20"/>
                <w:szCs w:val="20"/>
              </w:rPr>
            </w:pPr>
          </w:p>
        </w:tc>
        <w:tc>
          <w:tcPr>
            <w:tcW w:w="3330" w:type="dxa"/>
          </w:tcPr>
          <w:p w14:paraId="182DACD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Request Housing New Zealand to develop affordable options for tenants to purchase their state house.</w:t>
            </w:r>
          </w:p>
        </w:tc>
        <w:tc>
          <w:tcPr>
            <w:tcW w:w="1260" w:type="dxa"/>
            <w:vMerge/>
          </w:tcPr>
          <w:p w14:paraId="2B4D5FBF" w14:textId="77777777" w:rsidR="007D5E58" w:rsidRPr="005C579C" w:rsidRDefault="007D5E58" w:rsidP="00974425">
            <w:pPr>
              <w:ind w:left="32" w:firstLine="0"/>
              <w:rPr>
                <w:rFonts w:cstheme="minorHAnsi"/>
                <w:sz w:val="20"/>
                <w:szCs w:val="20"/>
              </w:rPr>
            </w:pPr>
          </w:p>
        </w:tc>
        <w:tc>
          <w:tcPr>
            <w:tcW w:w="3150" w:type="dxa"/>
            <w:vMerge/>
          </w:tcPr>
          <w:p w14:paraId="525EE479" w14:textId="77777777" w:rsidR="007D5E58" w:rsidRPr="005C579C" w:rsidRDefault="007D5E58" w:rsidP="00974425">
            <w:pPr>
              <w:ind w:left="48" w:firstLine="0"/>
              <w:rPr>
                <w:rFonts w:cstheme="minorHAnsi"/>
                <w:sz w:val="20"/>
                <w:szCs w:val="20"/>
              </w:rPr>
            </w:pPr>
          </w:p>
        </w:tc>
        <w:tc>
          <w:tcPr>
            <w:tcW w:w="3780" w:type="dxa"/>
            <w:shd w:val="clear" w:color="auto" w:fill="FFA5A5"/>
          </w:tcPr>
          <w:p w14:paraId="1D6FD7B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66B44912" w14:textId="77777777" w:rsidR="007D5E58" w:rsidRPr="005C579C" w:rsidRDefault="007D5E58" w:rsidP="00974425">
            <w:pPr>
              <w:ind w:left="16" w:firstLine="0"/>
              <w:rPr>
                <w:rFonts w:cstheme="minorHAnsi"/>
                <w:sz w:val="20"/>
                <w:szCs w:val="20"/>
              </w:rPr>
            </w:pPr>
          </w:p>
          <w:p w14:paraId="2D642875" w14:textId="0D637AE5" w:rsidR="007D5E58" w:rsidRPr="005C579C" w:rsidRDefault="007D5E58" w:rsidP="00974425">
            <w:pPr>
              <w:ind w:left="16" w:firstLine="0"/>
              <w:rPr>
                <w:rFonts w:cstheme="minorHAnsi"/>
                <w:sz w:val="20"/>
                <w:szCs w:val="20"/>
              </w:rPr>
            </w:pPr>
            <w:r w:rsidRPr="005C579C">
              <w:rPr>
                <w:rFonts w:cstheme="minorHAnsi"/>
                <w:sz w:val="20"/>
                <w:szCs w:val="20"/>
              </w:rPr>
              <w:t>Since 2015 a Tenant Home Ownership scheme has been in place that offers a grant of 10 percent, up to a maximum of $20,000, towards the purchase price of selected Kāinga Ora houses, excluding those in Auckland, Wellington, Christchurch, Hamilton and Tauranga</w:t>
            </w:r>
            <w:r w:rsidR="009E756E">
              <w:rPr>
                <w:rFonts w:cstheme="minorHAnsi"/>
                <w:sz w:val="20"/>
                <w:szCs w:val="20"/>
              </w:rPr>
              <w:t xml:space="preserve"> (Kāinga Ora, 2020)</w:t>
            </w:r>
            <w:r w:rsidRPr="005C579C">
              <w:rPr>
                <w:rFonts w:cstheme="minorHAnsi"/>
                <w:sz w:val="20"/>
                <w:szCs w:val="20"/>
              </w:rPr>
              <w:t>.</w:t>
            </w:r>
          </w:p>
        </w:tc>
        <w:tc>
          <w:tcPr>
            <w:tcW w:w="1447" w:type="dxa"/>
            <w:shd w:val="clear" w:color="auto" w:fill="auto"/>
          </w:tcPr>
          <w:p w14:paraId="7670E01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8965C65" w14:textId="77777777" w:rsidTr="00974425">
        <w:trPr>
          <w:trHeight w:val="604"/>
        </w:trPr>
        <w:tc>
          <w:tcPr>
            <w:tcW w:w="1634" w:type="dxa"/>
            <w:vMerge/>
          </w:tcPr>
          <w:p w14:paraId="3D78D906" w14:textId="77777777" w:rsidR="007D5E58" w:rsidRPr="005C579C" w:rsidRDefault="007D5E58" w:rsidP="00A53840">
            <w:pPr>
              <w:ind w:left="29" w:firstLine="0"/>
              <w:rPr>
                <w:rFonts w:cstheme="minorHAnsi"/>
                <w:bCs/>
                <w:color w:val="000000"/>
                <w:sz w:val="20"/>
                <w:szCs w:val="20"/>
              </w:rPr>
            </w:pPr>
          </w:p>
        </w:tc>
        <w:tc>
          <w:tcPr>
            <w:tcW w:w="3330" w:type="dxa"/>
          </w:tcPr>
          <w:p w14:paraId="602A8369"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These approaches must be based on achieving equity in housing outcomes, including ownership, for Māori and Pacific People. This should result in culturally appropriate rental and ownership housing, including household size and function, and include papakāinga options.</w:t>
            </w:r>
          </w:p>
        </w:tc>
        <w:tc>
          <w:tcPr>
            <w:tcW w:w="1260" w:type="dxa"/>
            <w:vMerge/>
          </w:tcPr>
          <w:p w14:paraId="5A0030E1" w14:textId="77777777" w:rsidR="007D5E58" w:rsidRPr="005C579C" w:rsidRDefault="007D5E58" w:rsidP="00974425">
            <w:pPr>
              <w:ind w:left="32" w:firstLine="0"/>
              <w:rPr>
                <w:rFonts w:cstheme="minorHAnsi"/>
                <w:sz w:val="20"/>
                <w:szCs w:val="20"/>
              </w:rPr>
            </w:pPr>
          </w:p>
        </w:tc>
        <w:tc>
          <w:tcPr>
            <w:tcW w:w="3150" w:type="dxa"/>
            <w:vMerge/>
          </w:tcPr>
          <w:p w14:paraId="54600A7E" w14:textId="77777777" w:rsidR="007D5E58" w:rsidRPr="005C579C" w:rsidRDefault="007D5E58" w:rsidP="00974425">
            <w:pPr>
              <w:ind w:left="48" w:firstLine="0"/>
              <w:rPr>
                <w:rFonts w:cstheme="minorHAnsi"/>
                <w:sz w:val="20"/>
                <w:szCs w:val="20"/>
              </w:rPr>
            </w:pPr>
          </w:p>
        </w:tc>
        <w:tc>
          <w:tcPr>
            <w:tcW w:w="3780" w:type="dxa"/>
            <w:shd w:val="clear" w:color="auto" w:fill="FFE599" w:themeFill="accent4" w:themeFillTint="66"/>
          </w:tcPr>
          <w:p w14:paraId="037F6D0D"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4A874711" w14:textId="77777777" w:rsidR="007D5E58" w:rsidRPr="005C579C" w:rsidRDefault="007D5E58" w:rsidP="00974425">
            <w:pPr>
              <w:ind w:left="16" w:firstLine="0"/>
              <w:rPr>
                <w:rFonts w:cstheme="minorHAnsi"/>
                <w:sz w:val="20"/>
                <w:szCs w:val="20"/>
              </w:rPr>
            </w:pPr>
          </w:p>
          <w:p w14:paraId="42BE2B9F" w14:textId="77777777" w:rsidR="007D5E58" w:rsidRPr="005C579C" w:rsidRDefault="007D5E58" w:rsidP="00974425">
            <w:pPr>
              <w:ind w:left="16" w:firstLine="0"/>
              <w:rPr>
                <w:rFonts w:cstheme="minorHAnsi"/>
                <w:sz w:val="20"/>
                <w:szCs w:val="20"/>
              </w:rPr>
            </w:pPr>
            <w:r w:rsidRPr="005C579C">
              <w:rPr>
                <w:rFonts w:cstheme="minorHAnsi"/>
                <w:sz w:val="20"/>
                <w:szCs w:val="20"/>
              </w:rPr>
              <w:t>The Progressive Home Ownership Fund, specifically aims to address affordability for Māori, Pacific peoples and families with children.</w:t>
            </w:r>
          </w:p>
          <w:p w14:paraId="149C4170" w14:textId="77777777" w:rsidR="007D5E58" w:rsidRPr="005C579C" w:rsidRDefault="007D5E58" w:rsidP="00974425">
            <w:pPr>
              <w:ind w:left="16" w:firstLine="0"/>
              <w:rPr>
                <w:rFonts w:cstheme="minorHAnsi"/>
                <w:sz w:val="20"/>
                <w:szCs w:val="20"/>
              </w:rPr>
            </w:pPr>
          </w:p>
          <w:p w14:paraId="498734E3" w14:textId="2EAA893F" w:rsidR="007D5E58" w:rsidRPr="005C579C" w:rsidRDefault="007D5E58" w:rsidP="00974425">
            <w:pPr>
              <w:ind w:left="16" w:firstLine="0"/>
              <w:rPr>
                <w:rFonts w:cstheme="minorHAnsi"/>
                <w:sz w:val="20"/>
                <w:szCs w:val="20"/>
              </w:rPr>
            </w:pPr>
            <w:r w:rsidRPr="005C579C">
              <w:rPr>
                <w:rFonts w:cstheme="minorHAnsi"/>
                <w:sz w:val="20"/>
                <w:szCs w:val="20"/>
              </w:rPr>
              <w:t>Budget 2021 included a boost to funding for Māori housing initiatives including papakāinga housing and repairs to Māori-owned homes</w:t>
            </w:r>
            <w:r w:rsidR="009E756E">
              <w:rPr>
                <w:rFonts w:cstheme="minorHAnsi"/>
                <w:sz w:val="20"/>
                <w:szCs w:val="20"/>
              </w:rPr>
              <w:t xml:space="preserve"> (NZ Government, 2021c)</w:t>
            </w:r>
            <w:r w:rsidRPr="005C579C">
              <w:rPr>
                <w:rFonts w:cstheme="minorHAnsi"/>
                <w:sz w:val="20"/>
                <w:szCs w:val="20"/>
              </w:rPr>
              <w:t xml:space="preserve">. This investment is estimated to enable 27,000 new houses, and is a positive step towards addressing inequitable housing outcomes for Māori. </w:t>
            </w:r>
          </w:p>
        </w:tc>
        <w:tc>
          <w:tcPr>
            <w:tcW w:w="1447" w:type="dxa"/>
            <w:shd w:val="clear" w:color="auto" w:fill="auto"/>
          </w:tcPr>
          <w:p w14:paraId="6304C214"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A73F9" w14:paraId="41770684" w14:textId="77777777" w:rsidTr="00974425">
        <w:trPr>
          <w:trHeight w:val="604"/>
        </w:trPr>
        <w:tc>
          <w:tcPr>
            <w:tcW w:w="14601" w:type="dxa"/>
            <w:gridSpan w:val="6"/>
            <w:shd w:val="clear" w:color="auto" w:fill="E7E6E6" w:themeFill="background2"/>
          </w:tcPr>
          <w:p w14:paraId="4B637472" w14:textId="77777777" w:rsidR="007D5E58" w:rsidRPr="005A73F9" w:rsidRDefault="007D5E58" w:rsidP="00974425">
            <w:pPr>
              <w:ind w:left="32" w:firstLine="0"/>
              <w:jc w:val="center"/>
              <w:rPr>
                <w:sz w:val="22"/>
              </w:rPr>
            </w:pPr>
            <w:r w:rsidRPr="005A73F9">
              <w:rPr>
                <w:b/>
                <w:sz w:val="22"/>
              </w:rPr>
              <w:t>IMPROVING ACCESS TO EMPLOYMENT AND LABOUR MARKET SUPPORT</w:t>
            </w:r>
          </w:p>
        </w:tc>
      </w:tr>
      <w:tr w:rsidR="007D5E58" w:rsidRPr="005A73F9" w14:paraId="79A0F1BF" w14:textId="77777777" w:rsidTr="00974425">
        <w:trPr>
          <w:trHeight w:val="183"/>
        </w:trPr>
        <w:tc>
          <w:tcPr>
            <w:tcW w:w="1634" w:type="dxa"/>
            <w:vMerge w:val="restart"/>
          </w:tcPr>
          <w:p w14:paraId="0E41CC46"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An effective employ-ment service</w:t>
            </w:r>
          </w:p>
        </w:tc>
        <w:tc>
          <w:tcPr>
            <w:tcW w:w="3330" w:type="dxa"/>
          </w:tcPr>
          <w:p w14:paraId="0D46568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Institute a new operating model that provides people at risk of poor labour market outcomes (including Māori, Pacific People, people with health conditions or disabilities, and people whose jobs have been made redundant) with proactive and sustained support to obtain good, sustainable work.</w:t>
            </w:r>
          </w:p>
        </w:tc>
        <w:tc>
          <w:tcPr>
            <w:tcW w:w="1260" w:type="dxa"/>
            <w:vMerge w:val="restart"/>
          </w:tcPr>
          <w:p w14:paraId="5E712166" w14:textId="77777777" w:rsidR="007D5E58" w:rsidRPr="005C579C" w:rsidRDefault="007D5E58" w:rsidP="00974425">
            <w:pPr>
              <w:ind w:left="32" w:firstLine="0"/>
              <w:rPr>
                <w:rFonts w:cstheme="minorHAnsi"/>
                <w:sz w:val="20"/>
                <w:szCs w:val="20"/>
              </w:rPr>
            </w:pPr>
            <w:r w:rsidRPr="005C579C">
              <w:rPr>
                <w:rFonts w:cstheme="minorHAnsi"/>
                <w:sz w:val="20"/>
                <w:szCs w:val="20"/>
              </w:rPr>
              <w:t>Key Recs 35 and 36; Ch 9</w:t>
            </w:r>
          </w:p>
        </w:tc>
        <w:tc>
          <w:tcPr>
            <w:tcW w:w="3150" w:type="dxa"/>
            <w:vMerge w:val="restart"/>
          </w:tcPr>
          <w:p w14:paraId="351B2909" w14:textId="676FE284" w:rsidR="007D5E58" w:rsidRPr="005C579C" w:rsidRDefault="007D5E58" w:rsidP="00974425">
            <w:pPr>
              <w:ind w:left="48" w:firstLine="0"/>
              <w:rPr>
                <w:rFonts w:cstheme="minorHAnsi"/>
                <w:sz w:val="20"/>
                <w:szCs w:val="20"/>
              </w:rPr>
            </w:pPr>
            <w:r w:rsidRPr="005C579C">
              <w:rPr>
                <w:rFonts w:cstheme="minorHAnsi"/>
                <w:sz w:val="20"/>
                <w:szCs w:val="20"/>
              </w:rPr>
              <w:t>In response to key recommendations 35 and 36, a 27 September 2021 Cabinet paper, Appendix Three, pointed to Budget 2019 initiatives such as new frontline staff and boosting Mana in Mahi and Oranga Mahi places. The paper states that “Covid-19 affected the planned trajectory of implementing this vision [of supporting people into meaningful and sustainable employment], as demand for income support and employment services drove the need to respond to more New Zealanders who had previously not interacted with MSD and typically only needed short-term assistance to navigate the labour market”</w:t>
            </w:r>
            <w:r w:rsidR="00EC6EDF">
              <w:rPr>
                <w:rFonts w:cstheme="minorHAnsi"/>
                <w:sz w:val="20"/>
                <w:szCs w:val="20"/>
              </w:rPr>
              <w:t xml:space="preserve"> (MSD, 2021d).</w:t>
            </w:r>
            <w:r w:rsidRPr="005C579C">
              <w:rPr>
                <w:rFonts w:cstheme="minorHAnsi"/>
                <w:sz w:val="20"/>
                <w:szCs w:val="20"/>
              </w:rPr>
              <w:t xml:space="preserve"> The paper stated that in response to Covid-19, MSD received increased funding for employment services including increasing frontline staff and expanding Flexi-Wage over the next two years. </w:t>
            </w:r>
          </w:p>
          <w:p w14:paraId="6E021615" w14:textId="77777777" w:rsidR="007D5E58" w:rsidRPr="005C579C" w:rsidRDefault="007D5E58" w:rsidP="00974425">
            <w:pPr>
              <w:ind w:left="48" w:firstLine="0"/>
              <w:rPr>
                <w:rFonts w:cstheme="minorHAnsi"/>
                <w:sz w:val="20"/>
                <w:szCs w:val="20"/>
              </w:rPr>
            </w:pPr>
          </w:p>
          <w:p w14:paraId="61161F55"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Through Budget 2021, the Government reports that funding was obtained for meeting increased demand for employment products and services, and reinstating the Training Incentive Allowance. </w:t>
            </w:r>
          </w:p>
          <w:p w14:paraId="28BCFBE3" w14:textId="77777777" w:rsidR="007D5E58" w:rsidRPr="005C579C" w:rsidRDefault="007D5E58" w:rsidP="00974425">
            <w:pPr>
              <w:ind w:left="48" w:firstLine="0"/>
              <w:rPr>
                <w:rFonts w:cstheme="minorHAnsi"/>
                <w:sz w:val="20"/>
                <w:szCs w:val="20"/>
              </w:rPr>
            </w:pPr>
          </w:p>
          <w:p w14:paraId="7517FE8A"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The 27 September 2021 Cabinet paper states that several longer-term workstreams are underway including the childcare assistance review, and developing and implementing the Employment Strategy Action Plans. The Government is also undertaking a cross-agency review of active labour market policies. </w:t>
            </w:r>
          </w:p>
        </w:tc>
        <w:tc>
          <w:tcPr>
            <w:tcW w:w="3780" w:type="dxa"/>
            <w:shd w:val="clear" w:color="auto" w:fill="FFE599" w:themeFill="accent4" w:themeFillTint="66"/>
          </w:tcPr>
          <w:p w14:paraId="348CF47C"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1E8C18BC" w14:textId="77777777" w:rsidR="007D5E58" w:rsidRPr="005C579C" w:rsidRDefault="007D5E58" w:rsidP="00974425">
            <w:pPr>
              <w:ind w:left="16" w:firstLine="0"/>
              <w:rPr>
                <w:rFonts w:cstheme="minorHAnsi"/>
                <w:sz w:val="20"/>
                <w:szCs w:val="20"/>
              </w:rPr>
            </w:pPr>
          </w:p>
          <w:p w14:paraId="7F9D960C" w14:textId="18B49EE0" w:rsidR="007D5E58" w:rsidRPr="005C579C" w:rsidRDefault="007D5E58" w:rsidP="00974425">
            <w:pPr>
              <w:ind w:left="16" w:firstLine="0"/>
              <w:rPr>
                <w:rFonts w:cstheme="minorHAnsi"/>
                <w:sz w:val="20"/>
                <w:szCs w:val="20"/>
              </w:rPr>
            </w:pPr>
            <w:r w:rsidRPr="005C579C">
              <w:rPr>
                <w:rFonts w:cstheme="minorHAnsi"/>
                <w:sz w:val="20"/>
                <w:szCs w:val="20"/>
              </w:rPr>
              <w:t>Budget 2019 initiatives indicated partial implementation, including additional funding to support people with health conditions and disabled people into employment through Oranga Mahi, disability Employment Services and Support Funds</w:t>
            </w:r>
            <w:r w:rsidR="00EC6EDF">
              <w:rPr>
                <w:rFonts w:cstheme="minorHAnsi"/>
                <w:sz w:val="20"/>
                <w:szCs w:val="20"/>
              </w:rPr>
              <w:t xml:space="preserve"> (NZ Government, 2019)</w:t>
            </w:r>
            <w:r w:rsidRPr="005C579C">
              <w:rPr>
                <w:rFonts w:cstheme="minorHAnsi"/>
                <w:sz w:val="20"/>
                <w:szCs w:val="20"/>
              </w:rPr>
              <w:t xml:space="preserve">. </w:t>
            </w:r>
          </w:p>
          <w:p w14:paraId="140461ED" w14:textId="12D215D2" w:rsidR="007D5E58" w:rsidRPr="005C579C" w:rsidRDefault="007D5E58" w:rsidP="00974425">
            <w:pPr>
              <w:ind w:left="16" w:firstLine="0"/>
              <w:rPr>
                <w:rFonts w:cstheme="minorHAnsi"/>
                <w:sz w:val="20"/>
                <w:szCs w:val="20"/>
              </w:rPr>
            </w:pPr>
          </w:p>
        </w:tc>
        <w:tc>
          <w:tcPr>
            <w:tcW w:w="1447" w:type="dxa"/>
            <w:shd w:val="clear" w:color="auto" w:fill="auto"/>
          </w:tcPr>
          <w:p w14:paraId="072D8DAE" w14:textId="77777777" w:rsidR="007D5E58" w:rsidRPr="005A73F9" w:rsidRDefault="007D5E58" w:rsidP="00974425">
            <w:pPr>
              <w:ind w:left="63" w:firstLine="0"/>
              <w:rPr>
                <w:sz w:val="22"/>
              </w:rPr>
            </w:pPr>
            <w:r w:rsidRPr="005A73F9">
              <w:rPr>
                <w:sz w:val="22"/>
              </w:rPr>
              <w:t>No change since November 2020.</w:t>
            </w:r>
          </w:p>
        </w:tc>
      </w:tr>
      <w:tr w:rsidR="007D5E58" w:rsidRPr="005A73F9" w14:paraId="0C691D31" w14:textId="77777777" w:rsidTr="00974425">
        <w:trPr>
          <w:trHeight w:val="183"/>
        </w:trPr>
        <w:tc>
          <w:tcPr>
            <w:tcW w:w="1634" w:type="dxa"/>
            <w:vMerge/>
          </w:tcPr>
          <w:p w14:paraId="2E672CAA" w14:textId="77777777" w:rsidR="007D5E58" w:rsidRPr="005C579C" w:rsidRDefault="007D5E58" w:rsidP="00A53840">
            <w:pPr>
              <w:ind w:left="29" w:firstLine="0"/>
              <w:rPr>
                <w:rFonts w:cstheme="minorHAnsi"/>
                <w:bCs/>
                <w:color w:val="000000"/>
                <w:sz w:val="20"/>
                <w:szCs w:val="20"/>
              </w:rPr>
            </w:pPr>
          </w:p>
        </w:tc>
        <w:tc>
          <w:tcPr>
            <w:tcW w:w="3330" w:type="dxa"/>
          </w:tcPr>
          <w:p w14:paraId="47294E6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significantly investment (with appropriate monitoring and reporting) in active labour market programmes.</w:t>
            </w:r>
          </w:p>
        </w:tc>
        <w:tc>
          <w:tcPr>
            <w:tcW w:w="1260" w:type="dxa"/>
            <w:vMerge/>
          </w:tcPr>
          <w:p w14:paraId="16B17453" w14:textId="77777777" w:rsidR="007D5E58" w:rsidRPr="005C579C" w:rsidRDefault="007D5E58" w:rsidP="00974425">
            <w:pPr>
              <w:ind w:left="32" w:firstLine="0"/>
              <w:rPr>
                <w:rFonts w:cstheme="minorHAnsi"/>
                <w:sz w:val="20"/>
                <w:szCs w:val="20"/>
              </w:rPr>
            </w:pPr>
          </w:p>
        </w:tc>
        <w:tc>
          <w:tcPr>
            <w:tcW w:w="3150" w:type="dxa"/>
            <w:vMerge/>
          </w:tcPr>
          <w:p w14:paraId="30C862C1" w14:textId="77777777" w:rsidR="007D5E58" w:rsidRPr="005C579C" w:rsidRDefault="007D5E58" w:rsidP="00974425">
            <w:pPr>
              <w:ind w:left="48" w:firstLine="0"/>
              <w:rPr>
                <w:rFonts w:cstheme="minorHAnsi"/>
                <w:sz w:val="20"/>
                <w:szCs w:val="20"/>
              </w:rPr>
            </w:pPr>
          </w:p>
        </w:tc>
        <w:tc>
          <w:tcPr>
            <w:tcW w:w="3780" w:type="dxa"/>
            <w:shd w:val="clear" w:color="auto" w:fill="F7CAAC" w:themeFill="accent2" w:themeFillTint="66"/>
          </w:tcPr>
          <w:p w14:paraId="12814E59"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Minimal implementation. </w:t>
            </w:r>
          </w:p>
          <w:p w14:paraId="05A763B5" w14:textId="77777777" w:rsidR="007D5E58" w:rsidRPr="005C579C" w:rsidRDefault="007D5E58" w:rsidP="00974425">
            <w:pPr>
              <w:ind w:left="16" w:firstLine="0"/>
              <w:rPr>
                <w:rFonts w:cstheme="minorHAnsi"/>
                <w:sz w:val="20"/>
                <w:szCs w:val="20"/>
              </w:rPr>
            </w:pPr>
          </w:p>
          <w:p w14:paraId="01A8D326" w14:textId="77777777" w:rsidR="007D5E58" w:rsidRPr="005C579C" w:rsidRDefault="007D5E58" w:rsidP="00974425">
            <w:pPr>
              <w:ind w:left="16" w:firstLine="0"/>
              <w:rPr>
                <w:rFonts w:cstheme="minorHAnsi"/>
                <w:sz w:val="20"/>
                <w:szCs w:val="20"/>
              </w:rPr>
            </w:pPr>
            <w:r w:rsidRPr="005C579C">
              <w:rPr>
                <w:rFonts w:cstheme="minorHAnsi"/>
                <w:sz w:val="20"/>
                <w:szCs w:val="20"/>
              </w:rPr>
              <w:t>Active Labour Market Programmes are being practiced through the Government’s Future of Work, Just Transition and Industry Transformation Plans but there looks to be little cohesion or coordination between these initiatives, the Employment Actions Plans, The Regional Workforce Plans and the plethora of employment programmes coming out of MSD, MBIE, TPK, MPP, DOC etc.</w:t>
            </w:r>
          </w:p>
        </w:tc>
        <w:tc>
          <w:tcPr>
            <w:tcW w:w="1447" w:type="dxa"/>
            <w:shd w:val="clear" w:color="auto" w:fill="DEEAF6" w:themeFill="accent5" w:themeFillTint="33"/>
          </w:tcPr>
          <w:p w14:paraId="44B91BB7" w14:textId="77777777" w:rsidR="007D5E58" w:rsidRPr="005A73F9" w:rsidRDefault="007D5E58" w:rsidP="00974425">
            <w:pPr>
              <w:ind w:left="63" w:firstLine="0"/>
              <w:rPr>
                <w:sz w:val="22"/>
              </w:rPr>
            </w:pPr>
            <w:r w:rsidRPr="005A73F9">
              <w:rPr>
                <w:sz w:val="22"/>
              </w:rPr>
              <w:t>Progressed from no evidence to minimal implementation.</w:t>
            </w:r>
          </w:p>
        </w:tc>
      </w:tr>
      <w:tr w:rsidR="007D5E58" w:rsidRPr="005A73F9" w14:paraId="181BD6F3" w14:textId="77777777" w:rsidTr="00974425">
        <w:trPr>
          <w:trHeight w:val="183"/>
        </w:trPr>
        <w:tc>
          <w:tcPr>
            <w:tcW w:w="1634" w:type="dxa"/>
            <w:vMerge/>
          </w:tcPr>
          <w:p w14:paraId="37919A59" w14:textId="77777777" w:rsidR="007D5E58" w:rsidRPr="005C579C" w:rsidRDefault="007D5E58" w:rsidP="00A53840">
            <w:pPr>
              <w:ind w:left="29" w:firstLine="0"/>
              <w:rPr>
                <w:rFonts w:cstheme="minorHAnsi"/>
                <w:bCs/>
                <w:color w:val="000000"/>
                <w:sz w:val="20"/>
                <w:szCs w:val="20"/>
              </w:rPr>
            </w:pPr>
          </w:p>
        </w:tc>
        <w:tc>
          <w:tcPr>
            <w:tcW w:w="3330" w:type="dxa"/>
          </w:tcPr>
          <w:p w14:paraId="67DB0EF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Establish a dedicated deputy Chief Executive for employment in MSD.</w:t>
            </w:r>
          </w:p>
        </w:tc>
        <w:tc>
          <w:tcPr>
            <w:tcW w:w="1260" w:type="dxa"/>
            <w:vMerge/>
          </w:tcPr>
          <w:p w14:paraId="59DAE4C3" w14:textId="77777777" w:rsidR="007D5E58" w:rsidRPr="005C579C" w:rsidRDefault="007D5E58" w:rsidP="00974425">
            <w:pPr>
              <w:ind w:left="32" w:firstLine="0"/>
              <w:rPr>
                <w:rFonts w:cstheme="minorHAnsi"/>
                <w:sz w:val="20"/>
                <w:szCs w:val="20"/>
              </w:rPr>
            </w:pPr>
          </w:p>
        </w:tc>
        <w:tc>
          <w:tcPr>
            <w:tcW w:w="3150" w:type="dxa"/>
            <w:vMerge/>
          </w:tcPr>
          <w:p w14:paraId="3D86F969" w14:textId="77777777" w:rsidR="007D5E58" w:rsidRPr="005C579C" w:rsidRDefault="007D5E58" w:rsidP="00974425">
            <w:pPr>
              <w:ind w:left="48" w:firstLine="0"/>
              <w:rPr>
                <w:rFonts w:cstheme="minorHAnsi"/>
                <w:sz w:val="20"/>
                <w:szCs w:val="20"/>
              </w:rPr>
            </w:pPr>
          </w:p>
        </w:tc>
        <w:tc>
          <w:tcPr>
            <w:tcW w:w="3780" w:type="dxa"/>
            <w:shd w:val="clear" w:color="auto" w:fill="FFA5A5"/>
          </w:tcPr>
          <w:p w14:paraId="7E1B128C"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6FA38A27" w14:textId="77777777" w:rsidR="007D5E58" w:rsidRPr="005C579C" w:rsidRDefault="007D5E58" w:rsidP="00974425">
            <w:pPr>
              <w:ind w:left="16" w:firstLine="0"/>
              <w:rPr>
                <w:rFonts w:cstheme="minorHAnsi"/>
                <w:sz w:val="20"/>
                <w:szCs w:val="20"/>
              </w:rPr>
            </w:pPr>
          </w:p>
        </w:tc>
        <w:tc>
          <w:tcPr>
            <w:tcW w:w="1447" w:type="dxa"/>
            <w:shd w:val="clear" w:color="auto" w:fill="auto"/>
          </w:tcPr>
          <w:p w14:paraId="6FF7FFC3" w14:textId="77777777" w:rsidR="007D5E58" w:rsidRPr="005A73F9" w:rsidRDefault="007D5E58" w:rsidP="00974425">
            <w:pPr>
              <w:ind w:left="63" w:firstLine="0"/>
              <w:rPr>
                <w:sz w:val="22"/>
              </w:rPr>
            </w:pPr>
            <w:r w:rsidRPr="005A73F9">
              <w:rPr>
                <w:sz w:val="22"/>
              </w:rPr>
              <w:t>No change since November 2020.</w:t>
            </w:r>
          </w:p>
        </w:tc>
      </w:tr>
      <w:tr w:rsidR="007D5E58" w:rsidRPr="005A73F9" w14:paraId="73C584AF" w14:textId="77777777" w:rsidTr="00974425">
        <w:trPr>
          <w:trHeight w:val="183"/>
        </w:trPr>
        <w:tc>
          <w:tcPr>
            <w:tcW w:w="1634" w:type="dxa"/>
            <w:vMerge/>
          </w:tcPr>
          <w:p w14:paraId="7F11EC89" w14:textId="77777777" w:rsidR="007D5E58" w:rsidRPr="005C579C" w:rsidRDefault="007D5E58" w:rsidP="00A53840">
            <w:pPr>
              <w:ind w:left="29" w:firstLine="0"/>
              <w:rPr>
                <w:rFonts w:cstheme="minorHAnsi"/>
                <w:bCs/>
                <w:color w:val="000000"/>
                <w:sz w:val="20"/>
                <w:szCs w:val="20"/>
              </w:rPr>
            </w:pPr>
          </w:p>
        </w:tc>
        <w:tc>
          <w:tcPr>
            <w:tcW w:w="3330" w:type="dxa"/>
          </w:tcPr>
          <w:p w14:paraId="6DAC2FD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Provide sufficient numbers of well-trained, well-resourced, regional labour market managers and specialist employment case managers in MSD.</w:t>
            </w:r>
          </w:p>
        </w:tc>
        <w:tc>
          <w:tcPr>
            <w:tcW w:w="1260" w:type="dxa"/>
            <w:vMerge/>
          </w:tcPr>
          <w:p w14:paraId="01B33C12" w14:textId="77777777" w:rsidR="007D5E58" w:rsidRPr="005C579C" w:rsidRDefault="007D5E58" w:rsidP="00974425">
            <w:pPr>
              <w:ind w:left="32" w:firstLine="0"/>
              <w:rPr>
                <w:rFonts w:cstheme="minorHAnsi"/>
                <w:sz w:val="20"/>
                <w:szCs w:val="20"/>
              </w:rPr>
            </w:pPr>
          </w:p>
        </w:tc>
        <w:tc>
          <w:tcPr>
            <w:tcW w:w="3150" w:type="dxa"/>
            <w:vMerge/>
          </w:tcPr>
          <w:p w14:paraId="54143B9B" w14:textId="77777777" w:rsidR="007D5E58" w:rsidRPr="005C579C" w:rsidRDefault="007D5E58" w:rsidP="00974425">
            <w:pPr>
              <w:ind w:left="48" w:firstLine="0"/>
              <w:rPr>
                <w:rFonts w:cstheme="minorHAnsi"/>
                <w:sz w:val="20"/>
                <w:szCs w:val="20"/>
              </w:rPr>
            </w:pPr>
          </w:p>
        </w:tc>
        <w:tc>
          <w:tcPr>
            <w:tcW w:w="3780" w:type="dxa"/>
            <w:shd w:val="clear" w:color="auto" w:fill="F8CA9C"/>
          </w:tcPr>
          <w:p w14:paraId="273F8493" w14:textId="77777777" w:rsidR="007D5E58" w:rsidRPr="005C579C" w:rsidRDefault="007D5E58" w:rsidP="00974425">
            <w:pPr>
              <w:ind w:left="16" w:firstLine="0"/>
              <w:rPr>
                <w:rFonts w:cstheme="minorHAnsi"/>
                <w:sz w:val="20"/>
                <w:szCs w:val="20"/>
              </w:rPr>
            </w:pPr>
            <w:r w:rsidRPr="005C579C">
              <w:rPr>
                <w:rFonts w:cstheme="minorHAnsi"/>
                <w:sz w:val="20"/>
                <w:szCs w:val="20"/>
              </w:rPr>
              <w:t>Minimal implementation.</w:t>
            </w:r>
          </w:p>
          <w:p w14:paraId="4ACDCF06" w14:textId="77777777" w:rsidR="007D5E58" w:rsidRPr="005C579C" w:rsidRDefault="007D5E58" w:rsidP="00974425">
            <w:pPr>
              <w:ind w:left="16" w:firstLine="0"/>
              <w:rPr>
                <w:rFonts w:cstheme="minorHAnsi"/>
                <w:sz w:val="20"/>
                <w:szCs w:val="20"/>
              </w:rPr>
            </w:pPr>
          </w:p>
          <w:p w14:paraId="548BE7EE" w14:textId="1A6036EA" w:rsidR="007D5E58" w:rsidRPr="005C579C" w:rsidRDefault="007D5E58" w:rsidP="00974425">
            <w:pPr>
              <w:spacing w:before="120" w:after="120"/>
              <w:ind w:left="16" w:firstLine="0"/>
              <w:rPr>
                <w:rFonts w:cstheme="minorHAnsi"/>
                <w:sz w:val="20"/>
                <w:szCs w:val="20"/>
              </w:rPr>
            </w:pPr>
            <w:r w:rsidRPr="005C579C">
              <w:rPr>
                <w:rFonts w:cstheme="minorHAnsi"/>
                <w:sz w:val="20"/>
                <w:szCs w:val="20"/>
              </w:rPr>
              <w:t>Given longstanding under-resourcing of MSD’s frontline services</w:t>
            </w:r>
            <w:r w:rsidR="00EC6EDF">
              <w:rPr>
                <w:rFonts w:cstheme="minorHAnsi"/>
                <w:sz w:val="20"/>
                <w:szCs w:val="20"/>
              </w:rPr>
              <w:t xml:space="preserve"> (WEAG, 2019)</w:t>
            </w:r>
            <w:r w:rsidRPr="005C579C">
              <w:rPr>
                <w:rFonts w:cstheme="minorHAnsi"/>
                <w:sz w:val="20"/>
                <w:szCs w:val="20"/>
              </w:rPr>
              <w:t>, further investment will be required beyond the hiring of 263 new frontline staff. Moreover, in early 2020 it was reported that these new ‘employment-focused’ frontline staff announced in Budget 2019 were being diverted to working on emergency hardship grants because of increased hardship demand. As a result, the level of engagement with case managers per beneficiary was down, not up, following this announcement</w:t>
            </w:r>
            <w:r w:rsidR="00EC6EDF">
              <w:rPr>
                <w:rFonts w:cstheme="minorHAnsi"/>
                <w:sz w:val="20"/>
                <w:szCs w:val="20"/>
              </w:rPr>
              <w:t xml:space="preserve"> (Coughlan, 2020)</w:t>
            </w:r>
            <w:r w:rsidRPr="005C579C">
              <w:rPr>
                <w:rFonts w:cstheme="minorHAnsi"/>
                <w:sz w:val="20"/>
                <w:szCs w:val="20"/>
              </w:rPr>
              <w:t>.</w:t>
            </w:r>
          </w:p>
          <w:p w14:paraId="164D6BA2" w14:textId="77777777" w:rsidR="007D5E58" w:rsidRPr="005C579C" w:rsidRDefault="007D5E58" w:rsidP="00974425">
            <w:pPr>
              <w:ind w:left="16" w:firstLine="0"/>
              <w:rPr>
                <w:rFonts w:cstheme="minorHAnsi"/>
                <w:sz w:val="20"/>
                <w:szCs w:val="20"/>
              </w:rPr>
            </w:pPr>
          </w:p>
        </w:tc>
        <w:tc>
          <w:tcPr>
            <w:tcW w:w="1447" w:type="dxa"/>
            <w:shd w:val="clear" w:color="auto" w:fill="auto"/>
          </w:tcPr>
          <w:p w14:paraId="3326D4FC" w14:textId="77777777" w:rsidR="007D5E58" w:rsidRPr="005A73F9" w:rsidRDefault="007D5E58" w:rsidP="00974425">
            <w:pPr>
              <w:ind w:left="63" w:firstLine="0"/>
              <w:rPr>
                <w:sz w:val="22"/>
              </w:rPr>
            </w:pPr>
            <w:r w:rsidRPr="005A73F9">
              <w:rPr>
                <w:sz w:val="22"/>
              </w:rPr>
              <w:t>No change since November 2020.</w:t>
            </w:r>
          </w:p>
        </w:tc>
      </w:tr>
      <w:tr w:rsidR="007D5E58" w:rsidRPr="005A73F9" w14:paraId="5F06F133" w14:textId="77777777" w:rsidTr="00974425">
        <w:trPr>
          <w:trHeight w:val="183"/>
        </w:trPr>
        <w:tc>
          <w:tcPr>
            <w:tcW w:w="1634" w:type="dxa"/>
            <w:vMerge/>
          </w:tcPr>
          <w:p w14:paraId="7B80362A" w14:textId="77777777" w:rsidR="007D5E58" w:rsidRPr="005C579C" w:rsidRDefault="007D5E58" w:rsidP="00A53840">
            <w:pPr>
              <w:ind w:left="29" w:firstLine="0"/>
              <w:rPr>
                <w:rFonts w:cstheme="minorHAnsi"/>
                <w:bCs/>
                <w:color w:val="000000"/>
                <w:sz w:val="20"/>
                <w:szCs w:val="20"/>
              </w:rPr>
            </w:pPr>
          </w:p>
        </w:tc>
        <w:tc>
          <w:tcPr>
            <w:tcW w:w="3330" w:type="dxa"/>
          </w:tcPr>
          <w:p w14:paraId="00AAEE8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Provide public employment services to people at risk of becoming unemployed.</w:t>
            </w:r>
          </w:p>
        </w:tc>
        <w:tc>
          <w:tcPr>
            <w:tcW w:w="1260" w:type="dxa"/>
            <w:vMerge/>
          </w:tcPr>
          <w:p w14:paraId="388E9CD2" w14:textId="77777777" w:rsidR="007D5E58" w:rsidRPr="005C579C" w:rsidRDefault="007D5E58" w:rsidP="00974425">
            <w:pPr>
              <w:ind w:left="32" w:firstLine="0"/>
              <w:rPr>
                <w:rFonts w:cstheme="minorHAnsi"/>
                <w:sz w:val="20"/>
                <w:szCs w:val="20"/>
              </w:rPr>
            </w:pPr>
          </w:p>
        </w:tc>
        <w:tc>
          <w:tcPr>
            <w:tcW w:w="3150" w:type="dxa"/>
            <w:vMerge/>
          </w:tcPr>
          <w:p w14:paraId="5222F8F5" w14:textId="77777777" w:rsidR="007D5E58" w:rsidRPr="005C579C" w:rsidRDefault="007D5E58" w:rsidP="00974425">
            <w:pPr>
              <w:ind w:left="48" w:firstLine="0"/>
              <w:rPr>
                <w:rFonts w:cstheme="minorHAnsi"/>
                <w:sz w:val="20"/>
                <w:szCs w:val="20"/>
              </w:rPr>
            </w:pPr>
          </w:p>
        </w:tc>
        <w:tc>
          <w:tcPr>
            <w:tcW w:w="3780" w:type="dxa"/>
            <w:shd w:val="clear" w:color="auto" w:fill="FFA5A5"/>
          </w:tcPr>
          <w:p w14:paraId="22B5BE0D"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3148B38B" w14:textId="77777777" w:rsidR="007D5E58" w:rsidRPr="005C579C" w:rsidRDefault="007D5E58" w:rsidP="00974425">
            <w:pPr>
              <w:ind w:left="16" w:firstLine="0"/>
              <w:rPr>
                <w:rFonts w:cstheme="minorHAnsi"/>
                <w:sz w:val="20"/>
                <w:szCs w:val="20"/>
              </w:rPr>
            </w:pPr>
          </w:p>
        </w:tc>
        <w:tc>
          <w:tcPr>
            <w:tcW w:w="1447" w:type="dxa"/>
            <w:shd w:val="clear" w:color="auto" w:fill="auto"/>
          </w:tcPr>
          <w:p w14:paraId="4D1CA586" w14:textId="77777777" w:rsidR="007D5E58" w:rsidRPr="005A73F9" w:rsidRDefault="007D5E58" w:rsidP="00974425">
            <w:pPr>
              <w:ind w:left="63" w:firstLine="0"/>
              <w:rPr>
                <w:sz w:val="22"/>
              </w:rPr>
            </w:pPr>
            <w:r w:rsidRPr="005A73F9">
              <w:rPr>
                <w:sz w:val="22"/>
              </w:rPr>
              <w:t>No change since November 2020.</w:t>
            </w:r>
          </w:p>
        </w:tc>
      </w:tr>
      <w:tr w:rsidR="007D5E58" w:rsidRPr="005A73F9" w14:paraId="3117A6CD" w14:textId="77777777" w:rsidTr="00974425">
        <w:trPr>
          <w:trHeight w:val="487"/>
        </w:trPr>
        <w:tc>
          <w:tcPr>
            <w:tcW w:w="1634" w:type="dxa"/>
            <w:vMerge w:val="restart"/>
          </w:tcPr>
          <w:p w14:paraId="28602478"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Revamp of Active Labour Market Programmes, labour market and</w:t>
            </w:r>
          </w:p>
          <w:p w14:paraId="0B63DB80"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 xml:space="preserve">training policies </w:t>
            </w:r>
          </w:p>
        </w:tc>
        <w:tc>
          <w:tcPr>
            <w:tcW w:w="3330" w:type="dxa"/>
          </w:tcPr>
          <w:p w14:paraId="10E8710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Review a whole-of-government approach to labour market, training and vocational education (with MSD as an integral partner) with MBIE, Te Puni Kōkiri, Ministry of Pacific Peoples, Tertiary Education Commission, Careers New Zealand, polytechnics, industry training organisations, and regional and local government.</w:t>
            </w:r>
          </w:p>
        </w:tc>
        <w:tc>
          <w:tcPr>
            <w:tcW w:w="1260" w:type="dxa"/>
            <w:vMerge w:val="restart"/>
          </w:tcPr>
          <w:p w14:paraId="4045D85D" w14:textId="77777777" w:rsidR="007D5E58" w:rsidRPr="005C579C" w:rsidRDefault="007D5E58" w:rsidP="00974425">
            <w:pPr>
              <w:ind w:left="32" w:firstLine="0"/>
              <w:rPr>
                <w:rFonts w:cstheme="minorHAnsi"/>
                <w:sz w:val="20"/>
                <w:szCs w:val="20"/>
              </w:rPr>
            </w:pPr>
            <w:r w:rsidRPr="005C579C">
              <w:rPr>
                <w:rFonts w:cstheme="minorHAnsi"/>
                <w:sz w:val="20"/>
                <w:szCs w:val="20"/>
              </w:rPr>
              <w:t>Key Recs 35 and 36; Ch 9</w:t>
            </w:r>
          </w:p>
        </w:tc>
        <w:tc>
          <w:tcPr>
            <w:tcW w:w="3150" w:type="dxa"/>
            <w:vMerge w:val="restart"/>
          </w:tcPr>
          <w:p w14:paraId="528A3D0E" w14:textId="67B1EACD" w:rsidR="007D5E58" w:rsidRPr="005C579C" w:rsidRDefault="007D5E58" w:rsidP="00974425">
            <w:pPr>
              <w:ind w:left="48" w:firstLine="0"/>
              <w:rPr>
                <w:rFonts w:cstheme="minorHAnsi"/>
                <w:sz w:val="20"/>
                <w:szCs w:val="20"/>
              </w:rPr>
            </w:pPr>
            <w:r w:rsidRPr="005C579C">
              <w:rPr>
                <w:rFonts w:cstheme="minorHAnsi"/>
                <w:sz w:val="20"/>
                <w:szCs w:val="20"/>
              </w:rPr>
              <w:t>In response to key recommendations 35 and 36, a 27 September 2021 Cabinet paper, Appendix Three, pointed to Budget 2019 initiatives such as new frontline staff and boosting Mana in Mahi and Oranga Mahi places. The paper states that “Covid-19 affected the planned trajectory of implementing this vision [of supporting people into meaningful and sustainable employment], as demand for income support and employment services drove the need to respond to more New Zealanders who had previously not interacted with MSD and typically only needed short-term assistance to navigate the labour market”</w:t>
            </w:r>
            <w:r w:rsidR="00F312A8">
              <w:rPr>
                <w:rFonts w:cstheme="minorHAnsi"/>
                <w:sz w:val="20"/>
                <w:szCs w:val="20"/>
              </w:rPr>
              <w:t xml:space="preserve"> (MSD, 2021d).</w:t>
            </w:r>
            <w:r w:rsidRPr="005C579C">
              <w:rPr>
                <w:rFonts w:cstheme="minorHAnsi"/>
                <w:sz w:val="20"/>
                <w:szCs w:val="20"/>
              </w:rPr>
              <w:t xml:space="preserve"> The paper stated that in response to Covid-19, MSD received increased funding for employment services including increasing frontline staff and expanding Flexi-Wage over the next two years. </w:t>
            </w:r>
          </w:p>
          <w:p w14:paraId="1C5510B0" w14:textId="77777777" w:rsidR="007D5E58" w:rsidRPr="005C579C" w:rsidRDefault="007D5E58" w:rsidP="00974425">
            <w:pPr>
              <w:ind w:left="48" w:firstLine="0"/>
              <w:rPr>
                <w:rFonts w:cstheme="minorHAnsi"/>
                <w:sz w:val="20"/>
                <w:szCs w:val="20"/>
              </w:rPr>
            </w:pPr>
          </w:p>
          <w:p w14:paraId="066DF82C"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Through Budget 2021, the Government reports that funding was obtained for meeting increased demand for employment products and services, and reinstating the Training Incentive Allowance. </w:t>
            </w:r>
          </w:p>
          <w:p w14:paraId="43D6675B" w14:textId="77777777" w:rsidR="007D5E58" w:rsidRPr="005C579C" w:rsidRDefault="007D5E58" w:rsidP="00974425">
            <w:pPr>
              <w:ind w:left="48" w:firstLine="0"/>
              <w:rPr>
                <w:rFonts w:cstheme="minorHAnsi"/>
                <w:sz w:val="20"/>
                <w:szCs w:val="20"/>
              </w:rPr>
            </w:pPr>
          </w:p>
          <w:p w14:paraId="1347F0D1"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The paper states that several longer-term workstreams are underway including the childcare assistance review, and developing and implementing the Employment Strategy Action Plans. The Government is also undertaking a cross-agency review of active labour market policies. </w:t>
            </w:r>
          </w:p>
        </w:tc>
        <w:tc>
          <w:tcPr>
            <w:tcW w:w="3780" w:type="dxa"/>
            <w:shd w:val="clear" w:color="auto" w:fill="BCE292"/>
          </w:tcPr>
          <w:p w14:paraId="49EE44D6" w14:textId="77777777" w:rsidR="007D5E58" w:rsidRPr="005C579C" w:rsidRDefault="007D5E58" w:rsidP="00974425">
            <w:pPr>
              <w:ind w:left="16" w:firstLine="0"/>
              <w:rPr>
                <w:rFonts w:cstheme="minorHAnsi"/>
                <w:sz w:val="20"/>
                <w:szCs w:val="20"/>
              </w:rPr>
            </w:pPr>
            <w:r w:rsidRPr="005C579C">
              <w:rPr>
                <w:rFonts w:cstheme="minorHAnsi"/>
                <w:sz w:val="20"/>
                <w:szCs w:val="20"/>
              </w:rPr>
              <w:t>Full implementation.</w:t>
            </w:r>
          </w:p>
          <w:p w14:paraId="54D3A773" w14:textId="77777777" w:rsidR="007D5E58" w:rsidRPr="005C579C" w:rsidRDefault="007D5E58" w:rsidP="00974425">
            <w:pPr>
              <w:ind w:left="16" w:firstLine="0"/>
              <w:rPr>
                <w:rFonts w:cstheme="minorHAnsi"/>
                <w:sz w:val="20"/>
                <w:szCs w:val="20"/>
              </w:rPr>
            </w:pPr>
          </w:p>
          <w:p w14:paraId="56CBBB38" w14:textId="3B4E516B" w:rsidR="007D5E58" w:rsidRPr="005C579C" w:rsidRDefault="007D5E58" w:rsidP="00974425">
            <w:pPr>
              <w:ind w:left="16" w:firstLine="0"/>
              <w:rPr>
                <w:rFonts w:cstheme="minorHAnsi"/>
                <w:sz w:val="20"/>
                <w:szCs w:val="20"/>
              </w:rPr>
            </w:pPr>
            <w:r w:rsidRPr="005C579C">
              <w:rPr>
                <w:rFonts w:cstheme="minorHAnsi"/>
                <w:sz w:val="20"/>
                <w:szCs w:val="20"/>
              </w:rPr>
              <w:t>The Government initiated an All-of-Government Employment Strategy in 2019 and a review of Active Labour Market Programmes. It has undertaken a complete review of Vocational Education (RoVE) through the Ministry of Education and Tertiary Education Commission</w:t>
            </w:r>
            <w:r w:rsidR="00F312A8">
              <w:rPr>
                <w:rFonts w:cstheme="minorHAnsi"/>
                <w:sz w:val="20"/>
                <w:szCs w:val="20"/>
              </w:rPr>
              <w:t xml:space="preserve"> (TEC, 2020b)</w:t>
            </w:r>
            <w:r w:rsidRPr="005C579C">
              <w:rPr>
                <w:rFonts w:cstheme="minorHAnsi"/>
                <w:sz w:val="20"/>
                <w:szCs w:val="20"/>
              </w:rPr>
              <w:t>.</w:t>
            </w:r>
          </w:p>
        </w:tc>
        <w:tc>
          <w:tcPr>
            <w:tcW w:w="1447" w:type="dxa"/>
            <w:shd w:val="clear" w:color="auto" w:fill="auto"/>
          </w:tcPr>
          <w:p w14:paraId="60DA4861" w14:textId="77777777" w:rsidR="007D5E58" w:rsidRPr="005A73F9" w:rsidRDefault="007D5E58" w:rsidP="00974425">
            <w:pPr>
              <w:ind w:left="63" w:firstLine="0"/>
              <w:rPr>
                <w:sz w:val="22"/>
              </w:rPr>
            </w:pPr>
            <w:r w:rsidRPr="005A73F9">
              <w:rPr>
                <w:sz w:val="22"/>
              </w:rPr>
              <w:t>No change since November 2020.</w:t>
            </w:r>
          </w:p>
        </w:tc>
      </w:tr>
      <w:tr w:rsidR="007D5E58" w:rsidRPr="005A73F9" w14:paraId="2CCF6580" w14:textId="77777777" w:rsidTr="00974425">
        <w:trPr>
          <w:trHeight w:val="484"/>
        </w:trPr>
        <w:tc>
          <w:tcPr>
            <w:tcW w:w="1634" w:type="dxa"/>
            <w:vMerge/>
          </w:tcPr>
          <w:p w14:paraId="7366E016" w14:textId="77777777" w:rsidR="007D5E58" w:rsidRPr="005C579C" w:rsidRDefault="007D5E58" w:rsidP="00A53840">
            <w:pPr>
              <w:ind w:left="29" w:firstLine="0"/>
              <w:rPr>
                <w:rFonts w:cstheme="minorHAnsi"/>
                <w:bCs/>
                <w:color w:val="000000"/>
                <w:sz w:val="20"/>
                <w:szCs w:val="20"/>
              </w:rPr>
            </w:pPr>
          </w:p>
        </w:tc>
        <w:tc>
          <w:tcPr>
            <w:tcW w:w="3330" w:type="dxa"/>
          </w:tcPr>
          <w:p w14:paraId="4CAF8F1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Establish national and regional advisory groups of the social partners (government-business-union), iwi and regional and local government to implement employment and active labour market policies at a national and regional level.</w:t>
            </w:r>
          </w:p>
        </w:tc>
        <w:tc>
          <w:tcPr>
            <w:tcW w:w="1260" w:type="dxa"/>
            <w:vMerge/>
          </w:tcPr>
          <w:p w14:paraId="06127E18" w14:textId="77777777" w:rsidR="007D5E58" w:rsidRPr="005C579C" w:rsidRDefault="007D5E58" w:rsidP="00974425">
            <w:pPr>
              <w:ind w:left="32" w:firstLine="0"/>
              <w:rPr>
                <w:rFonts w:cstheme="minorHAnsi"/>
                <w:sz w:val="20"/>
                <w:szCs w:val="20"/>
              </w:rPr>
            </w:pPr>
          </w:p>
        </w:tc>
        <w:tc>
          <w:tcPr>
            <w:tcW w:w="3150" w:type="dxa"/>
            <w:vMerge/>
          </w:tcPr>
          <w:p w14:paraId="0E7C0C6E" w14:textId="77777777" w:rsidR="007D5E58" w:rsidRPr="005C579C" w:rsidRDefault="007D5E58" w:rsidP="00974425">
            <w:pPr>
              <w:ind w:left="48" w:firstLine="0"/>
              <w:rPr>
                <w:rFonts w:cstheme="minorHAnsi"/>
                <w:sz w:val="20"/>
                <w:szCs w:val="20"/>
              </w:rPr>
            </w:pPr>
          </w:p>
        </w:tc>
        <w:tc>
          <w:tcPr>
            <w:tcW w:w="3780" w:type="dxa"/>
            <w:shd w:val="clear" w:color="auto" w:fill="BCE292"/>
          </w:tcPr>
          <w:p w14:paraId="47F583CB" w14:textId="77777777" w:rsidR="007D5E58" w:rsidRPr="005C579C" w:rsidRDefault="007D5E58" w:rsidP="00974425">
            <w:pPr>
              <w:ind w:left="16" w:firstLine="0"/>
              <w:rPr>
                <w:rFonts w:cstheme="minorHAnsi"/>
                <w:sz w:val="20"/>
                <w:szCs w:val="20"/>
              </w:rPr>
            </w:pPr>
            <w:r w:rsidRPr="005C579C">
              <w:rPr>
                <w:rFonts w:cstheme="minorHAnsi"/>
                <w:sz w:val="20"/>
                <w:szCs w:val="20"/>
              </w:rPr>
              <w:t>Full implementation.</w:t>
            </w:r>
          </w:p>
          <w:p w14:paraId="30CDE68D" w14:textId="77777777" w:rsidR="007D5E58" w:rsidRPr="005C579C" w:rsidRDefault="007D5E58" w:rsidP="00974425">
            <w:pPr>
              <w:ind w:left="16" w:firstLine="0"/>
              <w:rPr>
                <w:rFonts w:cstheme="minorHAnsi"/>
                <w:sz w:val="20"/>
                <w:szCs w:val="20"/>
              </w:rPr>
            </w:pPr>
          </w:p>
          <w:p w14:paraId="661286F6" w14:textId="77777777" w:rsidR="007D5E58" w:rsidRPr="005C579C" w:rsidRDefault="007D5E58" w:rsidP="00974425">
            <w:pPr>
              <w:ind w:left="16" w:firstLine="0"/>
              <w:rPr>
                <w:rFonts w:cstheme="minorHAnsi"/>
                <w:sz w:val="20"/>
                <w:szCs w:val="20"/>
              </w:rPr>
            </w:pPr>
            <w:r w:rsidRPr="005C579C">
              <w:rPr>
                <w:rFonts w:cstheme="minorHAnsi"/>
                <w:sz w:val="20"/>
                <w:szCs w:val="20"/>
              </w:rPr>
              <w:t>The Government announced Independent Regional Skills Leadership Groups in June 2020.</w:t>
            </w:r>
          </w:p>
        </w:tc>
        <w:tc>
          <w:tcPr>
            <w:tcW w:w="1447" w:type="dxa"/>
            <w:shd w:val="clear" w:color="auto" w:fill="auto"/>
          </w:tcPr>
          <w:p w14:paraId="6FD0801A" w14:textId="77777777" w:rsidR="007D5E58" w:rsidRPr="005A73F9" w:rsidRDefault="007D5E58" w:rsidP="00974425">
            <w:pPr>
              <w:ind w:left="63" w:firstLine="0"/>
              <w:rPr>
                <w:sz w:val="22"/>
              </w:rPr>
            </w:pPr>
            <w:r w:rsidRPr="005A73F9">
              <w:rPr>
                <w:sz w:val="22"/>
              </w:rPr>
              <w:t>No change since November 2020.</w:t>
            </w:r>
          </w:p>
        </w:tc>
      </w:tr>
      <w:tr w:rsidR="007D5E58" w:rsidRPr="005A73F9" w14:paraId="29D5FCEB" w14:textId="77777777" w:rsidTr="00974425">
        <w:trPr>
          <w:trHeight w:val="484"/>
        </w:trPr>
        <w:tc>
          <w:tcPr>
            <w:tcW w:w="1634" w:type="dxa"/>
            <w:vMerge/>
          </w:tcPr>
          <w:p w14:paraId="2B75A350" w14:textId="77777777" w:rsidR="007D5E58" w:rsidRPr="005C579C" w:rsidRDefault="007D5E58" w:rsidP="00A53840">
            <w:pPr>
              <w:ind w:left="29" w:firstLine="0"/>
              <w:rPr>
                <w:rFonts w:cstheme="minorHAnsi"/>
                <w:bCs/>
                <w:color w:val="000000"/>
                <w:sz w:val="20"/>
                <w:szCs w:val="20"/>
              </w:rPr>
            </w:pPr>
          </w:p>
        </w:tc>
        <w:tc>
          <w:tcPr>
            <w:tcW w:w="3330" w:type="dxa"/>
          </w:tcPr>
          <w:p w14:paraId="5B06F64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Resource and develop a portfolio of labour market programmes that is driven by local labour market conditions, evidence based, and informed by all relevant national and local labour market data.</w:t>
            </w:r>
          </w:p>
        </w:tc>
        <w:tc>
          <w:tcPr>
            <w:tcW w:w="1260" w:type="dxa"/>
            <w:vMerge/>
          </w:tcPr>
          <w:p w14:paraId="3523B154" w14:textId="77777777" w:rsidR="007D5E58" w:rsidRPr="005C579C" w:rsidRDefault="007D5E58" w:rsidP="00974425">
            <w:pPr>
              <w:ind w:left="32" w:firstLine="0"/>
              <w:rPr>
                <w:rFonts w:cstheme="minorHAnsi"/>
                <w:sz w:val="20"/>
                <w:szCs w:val="20"/>
              </w:rPr>
            </w:pPr>
          </w:p>
        </w:tc>
        <w:tc>
          <w:tcPr>
            <w:tcW w:w="3150" w:type="dxa"/>
            <w:vMerge/>
          </w:tcPr>
          <w:p w14:paraId="3556B6B0" w14:textId="77777777" w:rsidR="007D5E58" w:rsidRPr="005C579C" w:rsidRDefault="007D5E58" w:rsidP="00974425">
            <w:pPr>
              <w:ind w:left="48" w:firstLine="0"/>
              <w:rPr>
                <w:rFonts w:cstheme="minorHAnsi"/>
                <w:sz w:val="20"/>
                <w:szCs w:val="20"/>
              </w:rPr>
            </w:pPr>
          </w:p>
        </w:tc>
        <w:tc>
          <w:tcPr>
            <w:tcW w:w="3780" w:type="dxa"/>
            <w:shd w:val="clear" w:color="auto" w:fill="FFE599" w:themeFill="accent4" w:themeFillTint="66"/>
          </w:tcPr>
          <w:p w14:paraId="5AAB493D"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7825980D" w14:textId="77777777" w:rsidR="007D5E58" w:rsidRPr="005C579C" w:rsidRDefault="007D5E58" w:rsidP="00974425">
            <w:pPr>
              <w:ind w:left="16" w:firstLine="0"/>
              <w:rPr>
                <w:rFonts w:cstheme="minorHAnsi"/>
                <w:sz w:val="20"/>
                <w:szCs w:val="20"/>
              </w:rPr>
            </w:pPr>
          </w:p>
          <w:p w14:paraId="55472455"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Budget 2019 included the extension of places available through Mana in Mahi for young people to access an apprenticeship or industry training qualification. </w:t>
            </w:r>
          </w:p>
          <w:p w14:paraId="2549A33A" w14:textId="77777777" w:rsidR="007D5E58" w:rsidRPr="005C579C" w:rsidRDefault="007D5E58" w:rsidP="00974425">
            <w:pPr>
              <w:ind w:left="16" w:firstLine="0"/>
              <w:rPr>
                <w:rFonts w:cstheme="minorHAnsi"/>
                <w:sz w:val="20"/>
                <w:szCs w:val="20"/>
              </w:rPr>
            </w:pPr>
          </w:p>
          <w:p w14:paraId="1507B373" w14:textId="77777777" w:rsidR="007D5E58" w:rsidRPr="005C579C" w:rsidRDefault="007D5E58" w:rsidP="00974425">
            <w:pPr>
              <w:ind w:left="16" w:firstLine="0"/>
              <w:rPr>
                <w:rFonts w:cstheme="minorHAnsi"/>
                <w:sz w:val="20"/>
                <w:szCs w:val="20"/>
              </w:rPr>
            </w:pPr>
            <w:r w:rsidRPr="005C579C">
              <w:rPr>
                <w:rFonts w:cstheme="minorHAnsi"/>
                <w:sz w:val="20"/>
                <w:szCs w:val="20"/>
              </w:rPr>
              <w:t>The Government is continuing to develop a portfolio of labour market programmes, especially as a response to Covid-19.</w:t>
            </w:r>
          </w:p>
        </w:tc>
        <w:tc>
          <w:tcPr>
            <w:tcW w:w="1447" w:type="dxa"/>
            <w:shd w:val="clear" w:color="auto" w:fill="auto"/>
          </w:tcPr>
          <w:p w14:paraId="637C1246" w14:textId="77777777" w:rsidR="007D5E58" w:rsidRPr="005A73F9" w:rsidRDefault="007D5E58" w:rsidP="00974425">
            <w:pPr>
              <w:ind w:left="63" w:firstLine="0"/>
              <w:rPr>
                <w:sz w:val="22"/>
              </w:rPr>
            </w:pPr>
            <w:r w:rsidRPr="005A73F9">
              <w:rPr>
                <w:sz w:val="22"/>
              </w:rPr>
              <w:t>No change since November 2020.</w:t>
            </w:r>
          </w:p>
        </w:tc>
      </w:tr>
      <w:tr w:rsidR="007D5E58" w:rsidRPr="005A73F9" w14:paraId="53705451" w14:textId="77777777" w:rsidTr="00974425">
        <w:trPr>
          <w:trHeight w:val="484"/>
        </w:trPr>
        <w:tc>
          <w:tcPr>
            <w:tcW w:w="1634" w:type="dxa"/>
            <w:vMerge/>
          </w:tcPr>
          <w:p w14:paraId="11549605" w14:textId="77777777" w:rsidR="007D5E58" w:rsidRPr="005C579C" w:rsidRDefault="007D5E58" w:rsidP="00A53840">
            <w:pPr>
              <w:ind w:left="29" w:firstLine="0"/>
              <w:rPr>
                <w:rFonts w:cstheme="minorHAnsi"/>
                <w:bCs/>
                <w:color w:val="000000"/>
                <w:sz w:val="20"/>
                <w:szCs w:val="20"/>
              </w:rPr>
            </w:pPr>
          </w:p>
        </w:tc>
        <w:tc>
          <w:tcPr>
            <w:tcW w:w="3330" w:type="dxa"/>
          </w:tcPr>
          <w:p w14:paraId="750BFEB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Access the best international data and programmes so New Zealand is well placed for a future labour market in which more people might more frequently transition in and out of work and where there is a greater need to support workers to re-skill or up-skill due to displacement or moving in or out of casual work.</w:t>
            </w:r>
          </w:p>
        </w:tc>
        <w:tc>
          <w:tcPr>
            <w:tcW w:w="1260" w:type="dxa"/>
            <w:vMerge/>
          </w:tcPr>
          <w:p w14:paraId="683724C4" w14:textId="77777777" w:rsidR="007D5E58" w:rsidRPr="005C579C" w:rsidRDefault="007D5E58" w:rsidP="00974425">
            <w:pPr>
              <w:ind w:left="32" w:firstLine="0"/>
              <w:rPr>
                <w:rFonts w:cstheme="minorHAnsi"/>
                <w:sz w:val="20"/>
                <w:szCs w:val="20"/>
              </w:rPr>
            </w:pPr>
          </w:p>
        </w:tc>
        <w:tc>
          <w:tcPr>
            <w:tcW w:w="3150" w:type="dxa"/>
            <w:vMerge/>
          </w:tcPr>
          <w:p w14:paraId="268A6A44" w14:textId="77777777" w:rsidR="007D5E58" w:rsidRPr="005C579C" w:rsidRDefault="007D5E58" w:rsidP="00974425">
            <w:pPr>
              <w:ind w:left="48" w:firstLine="0"/>
              <w:rPr>
                <w:rFonts w:cstheme="minorHAnsi"/>
                <w:sz w:val="20"/>
                <w:szCs w:val="20"/>
              </w:rPr>
            </w:pPr>
          </w:p>
        </w:tc>
        <w:tc>
          <w:tcPr>
            <w:tcW w:w="3780" w:type="dxa"/>
            <w:shd w:val="clear" w:color="auto" w:fill="FFE599" w:themeFill="accent4" w:themeFillTint="66"/>
          </w:tcPr>
          <w:p w14:paraId="271B7E3C"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Partial implementation. </w:t>
            </w:r>
          </w:p>
          <w:p w14:paraId="64C67ADE" w14:textId="77777777" w:rsidR="007D5E58" w:rsidRPr="005C579C" w:rsidRDefault="007D5E58" w:rsidP="00974425">
            <w:pPr>
              <w:ind w:left="16" w:firstLine="0"/>
              <w:rPr>
                <w:rFonts w:cstheme="minorHAnsi"/>
                <w:sz w:val="20"/>
                <w:szCs w:val="20"/>
              </w:rPr>
            </w:pPr>
          </w:p>
          <w:p w14:paraId="2D6483E5"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Review of active labour market programmes was undertaken and advice was to be provided to Ministers in early 2020 as part of this ‘multi-year work programme’. </w:t>
            </w:r>
          </w:p>
          <w:p w14:paraId="0424BB97" w14:textId="77777777" w:rsidR="007D5E58" w:rsidRPr="005C579C" w:rsidRDefault="007D5E58" w:rsidP="00974425">
            <w:pPr>
              <w:ind w:left="16" w:firstLine="0"/>
              <w:rPr>
                <w:rFonts w:cstheme="minorHAnsi"/>
                <w:sz w:val="20"/>
                <w:szCs w:val="20"/>
              </w:rPr>
            </w:pPr>
          </w:p>
          <w:p w14:paraId="103D49B4" w14:textId="63727BA8" w:rsidR="007D5E58" w:rsidRPr="005C579C" w:rsidRDefault="007D5E58" w:rsidP="00974425">
            <w:pPr>
              <w:ind w:left="16" w:firstLine="0"/>
              <w:rPr>
                <w:rFonts w:cstheme="minorHAnsi"/>
                <w:sz w:val="20"/>
                <w:szCs w:val="20"/>
              </w:rPr>
            </w:pPr>
            <w:r w:rsidRPr="005C579C">
              <w:rPr>
                <w:rFonts w:cstheme="minorHAnsi"/>
                <w:sz w:val="20"/>
                <w:szCs w:val="20"/>
              </w:rPr>
              <w:t>The Government is making progress on accessing the best international data and programmes for people more frequently transitioning in and out of work, and has established a Just Transition Unit within MBIE</w:t>
            </w:r>
            <w:r w:rsidR="00F312A8">
              <w:rPr>
                <w:rFonts w:cstheme="minorHAnsi"/>
                <w:sz w:val="20"/>
                <w:szCs w:val="20"/>
              </w:rPr>
              <w:t xml:space="preserve"> (MBIE, 2020)</w:t>
            </w:r>
            <w:r w:rsidRPr="005C579C">
              <w:rPr>
                <w:rFonts w:cstheme="minorHAnsi"/>
                <w:sz w:val="20"/>
                <w:szCs w:val="20"/>
              </w:rPr>
              <w:t>, as well as a tripartite Future of Work programme supported by the Treasury</w:t>
            </w:r>
            <w:r w:rsidR="00F312A8">
              <w:rPr>
                <w:rFonts w:cstheme="minorHAnsi"/>
                <w:sz w:val="20"/>
                <w:szCs w:val="20"/>
              </w:rPr>
              <w:t xml:space="preserve"> (Treasury, 2020)</w:t>
            </w:r>
            <w:r w:rsidRPr="005C579C">
              <w:rPr>
                <w:rFonts w:cstheme="minorHAnsi"/>
                <w:sz w:val="20"/>
                <w:szCs w:val="20"/>
              </w:rPr>
              <w:t>.</w:t>
            </w:r>
          </w:p>
        </w:tc>
        <w:tc>
          <w:tcPr>
            <w:tcW w:w="1447" w:type="dxa"/>
            <w:shd w:val="clear" w:color="auto" w:fill="auto"/>
          </w:tcPr>
          <w:p w14:paraId="1A413A90" w14:textId="77777777" w:rsidR="007D5E58" w:rsidRPr="005A73F9" w:rsidRDefault="007D5E58" w:rsidP="00974425">
            <w:pPr>
              <w:ind w:left="63" w:firstLine="0"/>
              <w:rPr>
                <w:sz w:val="22"/>
              </w:rPr>
            </w:pPr>
            <w:r w:rsidRPr="005A73F9">
              <w:rPr>
                <w:sz w:val="22"/>
              </w:rPr>
              <w:t>No change since November 2020.</w:t>
            </w:r>
          </w:p>
        </w:tc>
      </w:tr>
      <w:tr w:rsidR="007D5E58" w:rsidRPr="005A73F9" w14:paraId="14CACD9B" w14:textId="77777777" w:rsidTr="00974425">
        <w:trPr>
          <w:trHeight w:val="484"/>
        </w:trPr>
        <w:tc>
          <w:tcPr>
            <w:tcW w:w="1634" w:type="dxa"/>
            <w:vMerge/>
          </w:tcPr>
          <w:p w14:paraId="175F9580" w14:textId="77777777" w:rsidR="007D5E58" w:rsidRPr="005C579C" w:rsidRDefault="007D5E58" w:rsidP="00A53840">
            <w:pPr>
              <w:ind w:left="29" w:firstLine="0"/>
              <w:rPr>
                <w:rFonts w:cstheme="minorHAnsi"/>
                <w:bCs/>
                <w:color w:val="000000"/>
                <w:sz w:val="20"/>
                <w:szCs w:val="20"/>
              </w:rPr>
            </w:pPr>
          </w:p>
        </w:tc>
        <w:tc>
          <w:tcPr>
            <w:tcW w:w="3330" w:type="dxa"/>
          </w:tcPr>
          <w:p w14:paraId="48F6FC75"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Make labour market programmes and work far more accessible for disabled people.</w:t>
            </w:r>
          </w:p>
        </w:tc>
        <w:tc>
          <w:tcPr>
            <w:tcW w:w="1260" w:type="dxa"/>
            <w:vMerge/>
          </w:tcPr>
          <w:p w14:paraId="463FEDBE" w14:textId="77777777" w:rsidR="007D5E58" w:rsidRPr="005C579C" w:rsidRDefault="007D5E58" w:rsidP="00974425">
            <w:pPr>
              <w:ind w:left="32" w:firstLine="0"/>
              <w:rPr>
                <w:rFonts w:cstheme="minorHAnsi"/>
                <w:sz w:val="20"/>
                <w:szCs w:val="20"/>
              </w:rPr>
            </w:pPr>
          </w:p>
        </w:tc>
        <w:tc>
          <w:tcPr>
            <w:tcW w:w="3150" w:type="dxa"/>
            <w:vMerge/>
          </w:tcPr>
          <w:p w14:paraId="1D9078AD" w14:textId="77777777" w:rsidR="007D5E58" w:rsidRPr="005C579C" w:rsidRDefault="007D5E58" w:rsidP="00974425">
            <w:pPr>
              <w:ind w:left="48" w:firstLine="0"/>
              <w:rPr>
                <w:rFonts w:cstheme="minorHAnsi"/>
                <w:sz w:val="20"/>
                <w:szCs w:val="20"/>
              </w:rPr>
            </w:pPr>
          </w:p>
        </w:tc>
        <w:tc>
          <w:tcPr>
            <w:tcW w:w="3780" w:type="dxa"/>
            <w:shd w:val="clear" w:color="auto" w:fill="F7CAAC" w:themeFill="accent2" w:themeFillTint="66"/>
          </w:tcPr>
          <w:p w14:paraId="4A7258D8" w14:textId="77777777" w:rsidR="007D5E58" w:rsidRPr="005C579C" w:rsidRDefault="007D5E58" w:rsidP="00974425">
            <w:pPr>
              <w:ind w:left="16" w:firstLine="0"/>
              <w:rPr>
                <w:rFonts w:cstheme="minorHAnsi"/>
                <w:sz w:val="20"/>
                <w:szCs w:val="20"/>
              </w:rPr>
            </w:pPr>
            <w:r w:rsidRPr="005C579C">
              <w:rPr>
                <w:rFonts w:cstheme="minorHAnsi"/>
                <w:sz w:val="20"/>
                <w:szCs w:val="20"/>
              </w:rPr>
              <w:t>Minimal implementation.</w:t>
            </w:r>
          </w:p>
          <w:p w14:paraId="1FC721B3" w14:textId="77777777" w:rsidR="007D5E58" w:rsidRPr="005C579C" w:rsidRDefault="007D5E58" w:rsidP="00974425">
            <w:pPr>
              <w:ind w:left="16" w:firstLine="0"/>
              <w:rPr>
                <w:rFonts w:cstheme="minorHAnsi"/>
                <w:sz w:val="20"/>
                <w:szCs w:val="20"/>
              </w:rPr>
            </w:pPr>
          </w:p>
          <w:p w14:paraId="35649197" w14:textId="1286BD7B" w:rsidR="007D5E58" w:rsidRPr="005C579C" w:rsidRDefault="007D5E58" w:rsidP="00974425">
            <w:pPr>
              <w:ind w:left="16" w:firstLine="0"/>
              <w:rPr>
                <w:rFonts w:cstheme="minorHAnsi"/>
                <w:sz w:val="20"/>
                <w:szCs w:val="20"/>
              </w:rPr>
            </w:pPr>
            <w:r w:rsidRPr="005C579C">
              <w:rPr>
                <w:rFonts w:cstheme="minorHAnsi"/>
                <w:sz w:val="20"/>
                <w:szCs w:val="20"/>
              </w:rPr>
              <w:t>Budget 2019 initiatives suggest minimal implementation, including additional funding to support people with health conditions and disabled people into employment through Oranga Mahi, disability Employment Services and Support Funds. However, this falls short of making labour market programmes and work</w:t>
            </w:r>
            <w:r w:rsidRPr="00F312A8">
              <w:rPr>
                <w:rFonts w:cstheme="minorHAnsi"/>
                <w:sz w:val="20"/>
                <w:szCs w:val="20"/>
              </w:rPr>
              <w:t xml:space="preserve"> </w:t>
            </w:r>
            <w:r w:rsidR="00F312A8" w:rsidRPr="00F312A8">
              <w:rPr>
                <w:rFonts w:cstheme="minorHAnsi"/>
                <w:sz w:val="20"/>
                <w:szCs w:val="20"/>
              </w:rPr>
              <w:t>‘</w:t>
            </w:r>
            <w:r w:rsidRPr="00F312A8">
              <w:rPr>
                <w:rFonts w:cstheme="minorHAnsi"/>
                <w:sz w:val="20"/>
                <w:szCs w:val="20"/>
              </w:rPr>
              <w:t>far more accessible</w:t>
            </w:r>
            <w:r w:rsidR="00F312A8" w:rsidRPr="00F312A8">
              <w:rPr>
                <w:rFonts w:cstheme="minorHAnsi"/>
                <w:sz w:val="20"/>
                <w:szCs w:val="20"/>
              </w:rPr>
              <w:t>’</w:t>
            </w:r>
            <w:r w:rsidRPr="00F312A8">
              <w:rPr>
                <w:rFonts w:cstheme="minorHAnsi"/>
                <w:sz w:val="20"/>
                <w:szCs w:val="20"/>
              </w:rPr>
              <w:t xml:space="preserve"> </w:t>
            </w:r>
            <w:r w:rsidRPr="005C579C">
              <w:rPr>
                <w:rFonts w:cstheme="minorHAnsi"/>
                <w:sz w:val="20"/>
                <w:szCs w:val="20"/>
              </w:rPr>
              <w:t>for disabled people. The gap in the unemployment rate for disabled people compared to non-disabled people has grown between June 2020 and June 2021</w:t>
            </w:r>
            <w:r w:rsidR="008D597E">
              <w:rPr>
                <w:rFonts w:cstheme="minorHAnsi"/>
                <w:sz w:val="20"/>
                <w:szCs w:val="20"/>
              </w:rPr>
              <w:t xml:space="preserve"> (Stats NZ, 2020, 2021b)</w:t>
            </w:r>
            <w:r w:rsidRPr="005C579C">
              <w:rPr>
                <w:rFonts w:cstheme="minorHAnsi"/>
                <w:sz w:val="20"/>
                <w:szCs w:val="20"/>
              </w:rPr>
              <w:t>.</w:t>
            </w:r>
          </w:p>
        </w:tc>
        <w:tc>
          <w:tcPr>
            <w:tcW w:w="1447" w:type="dxa"/>
            <w:shd w:val="clear" w:color="auto" w:fill="auto"/>
          </w:tcPr>
          <w:p w14:paraId="6E322538" w14:textId="77777777" w:rsidR="007D5E58" w:rsidRPr="005A73F9" w:rsidRDefault="007D5E58" w:rsidP="00974425">
            <w:pPr>
              <w:ind w:left="63" w:firstLine="0"/>
              <w:rPr>
                <w:sz w:val="22"/>
              </w:rPr>
            </w:pPr>
            <w:r w:rsidRPr="005A73F9">
              <w:rPr>
                <w:sz w:val="22"/>
              </w:rPr>
              <w:t>No change since November 2020.</w:t>
            </w:r>
          </w:p>
        </w:tc>
      </w:tr>
      <w:tr w:rsidR="007D5E58" w:rsidRPr="005A73F9" w14:paraId="5111B438" w14:textId="77777777" w:rsidTr="00974425">
        <w:trPr>
          <w:trHeight w:val="204"/>
        </w:trPr>
        <w:tc>
          <w:tcPr>
            <w:tcW w:w="1634" w:type="dxa"/>
            <w:vMerge w:val="restart"/>
          </w:tcPr>
          <w:p w14:paraId="433E7B51"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Loss of employment</w:t>
            </w:r>
          </w:p>
        </w:tc>
        <w:tc>
          <w:tcPr>
            <w:tcW w:w="3330" w:type="dxa"/>
          </w:tcPr>
          <w:p w14:paraId="4F0D9B4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Establish a short-term (for example, 6 months) benefit for partnered people who lose their jobs or incomes (for example, due to redundancy) through an earnings disregard of their partner’s income (up to a cap) for this period (see the Detailed Recommendations table in chapter 7).</w:t>
            </w:r>
          </w:p>
        </w:tc>
        <w:tc>
          <w:tcPr>
            <w:tcW w:w="1260" w:type="dxa"/>
            <w:vMerge w:val="restart"/>
          </w:tcPr>
          <w:p w14:paraId="5809FBBB" w14:textId="77777777" w:rsidR="007D5E58" w:rsidRPr="005C579C" w:rsidRDefault="007D5E58" w:rsidP="00974425">
            <w:pPr>
              <w:ind w:left="32" w:firstLine="0"/>
              <w:rPr>
                <w:rFonts w:cstheme="minorHAnsi"/>
                <w:sz w:val="20"/>
                <w:szCs w:val="20"/>
              </w:rPr>
            </w:pPr>
            <w:r w:rsidRPr="005C579C">
              <w:rPr>
                <w:rFonts w:cstheme="minorHAnsi"/>
                <w:sz w:val="20"/>
                <w:szCs w:val="20"/>
              </w:rPr>
              <w:t>Key Rec 37; Ch 9</w:t>
            </w:r>
          </w:p>
        </w:tc>
        <w:tc>
          <w:tcPr>
            <w:tcW w:w="3150" w:type="dxa"/>
            <w:vMerge w:val="restart"/>
          </w:tcPr>
          <w:p w14:paraId="120B1D16"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In a 27 September 2021Cabinet paper, Appendix Three, the Government highlighted various Covid-19 responses including the </w:t>
            </w:r>
          </w:p>
          <w:p w14:paraId="4F679AE6" w14:textId="56DF9634" w:rsidR="007D5E58" w:rsidRPr="005C579C" w:rsidRDefault="007D5E58" w:rsidP="00974425">
            <w:pPr>
              <w:ind w:left="48" w:firstLine="0"/>
              <w:rPr>
                <w:rFonts w:cstheme="minorHAnsi"/>
                <w:sz w:val="20"/>
                <w:szCs w:val="20"/>
              </w:rPr>
            </w:pPr>
            <w:r w:rsidRPr="005C579C">
              <w:rPr>
                <w:rFonts w:cstheme="minorHAnsi"/>
                <w:sz w:val="20"/>
                <w:szCs w:val="20"/>
              </w:rPr>
              <w:t>removal of stand-down periods for those eligible for a benefit between 23 March 2020 and 24 July 2021, and introducing the Covid-19 Income Relief Payment</w:t>
            </w:r>
            <w:r w:rsidR="008D597E">
              <w:rPr>
                <w:rFonts w:cstheme="minorHAnsi"/>
                <w:sz w:val="20"/>
                <w:szCs w:val="20"/>
              </w:rPr>
              <w:t xml:space="preserve"> (MSD, 2021d)</w:t>
            </w:r>
            <w:r w:rsidRPr="005C579C">
              <w:rPr>
                <w:rFonts w:cstheme="minorHAnsi"/>
                <w:sz w:val="20"/>
                <w:szCs w:val="20"/>
              </w:rPr>
              <w:t>. The Cabinet paper appendix stated that “The Government has also undertaken work to explore whether a Social Unemployment Insurance Scheme should be introduced for New Zealanders, to better support displaced workers long-term (MSD, TSY, IRD, MBIE, DPMC).</w:t>
            </w:r>
            <w:r w:rsidR="000B69B5">
              <w:rPr>
                <w:rFonts w:cstheme="minorHAnsi"/>
                <w:sz w:val="20"/>
                <w:szCs w:val="20"/>
              </w:rPr>
              <w:t>”</w:t>
            </w:r>
          </w:p>
          <w:p w14:paraId="54AE5573" w14:textId="77777777" w:rsidR="007D5E58" w:rsidRPr="005C579C" w:rsidRDefault="007D5E58" w:rsidP="00974425">
            <w:pPr>
              <w:ind w:left="48" w:firstLine="0"/>
              <w:rPr>
                <w:rFonts w:cstheme="minorHAnsi"/>
                <w:sz w:val="20"/>
                <w:szCs w:val="20"/>
              </w:rPr>
            </w:pPr>
          </w:p>
          <w:p w14:paraId="3F110C32" w14:textId="77777777" w:rsidR="007D5E58" w:rsidRPr="005C579C" w:rsidRDefault="007D5E58" w:rsidP="00974425">
            <w:pPr>
              <w:ind w:left="48" w:firstLine="0"/>
              <w:rPr>
                <w:rFonts w:cstheme="minorHAnsi"/>
                <w:sz w:val="20"/>
                <w:szCs w:val="20"/>
              </w:rPr>
            </w:pPr>
          </w:p>
        </w:tc>
        <w:tc>
          <w:tcPr>
            <w:tcW w:w="3780" w:type="dxa"/>
            <w:shd w:val="clear" w:color="auto" w:fill="F7CAAC" w:themeFill="accent2" w:themeFillTint="66"/>
          </w:tcPr>
          <w:p w14:paraId="0C0DB7D4" w14:textId="77777777" w:rsidR="007D5E58" w:rsidRPr="005C579C" w:rsidRDefault="007D5E58" w:rsidP="00974425">
            <w:pPr>
              <w:ind w:left="16" w:firstLine="0"/>
              <w:rPr>
                <w:rFonts w:cstheme="minorHAnsi"/>
                <w:sz w:val="20"/>
                <w:szCs w:val="20"/>
              </w:rPr>
            </w:pPr>
            <w:r w:rsidRPr="005C579C">
              <w:rPr>
                <w:rFonts w:cstheme="minorHAnsi"/>
                <w:sz w:val="20"/>
                <w:szCs w:val="20"/>
              </w:rPr>
              <w:t>Minimal implementation.</w:t>
            </w:r>
          </w:p>
          <w:p w14:paraId="0551F572" w14:textId="77777777" w:rsidR="007D5E58" w:rsidRPr="005C579C" w:rsidRDefault="007D5E58" w:rsidP="00974425">
            <w:pPr>
              <w:ind w:left="16" w:firstLine="0"/>
              <w:rPr>
                <w:rFonts w:cstheme="minorHAnsi"/>
                <w:sz w:val="20"/>
                <w:szCs w:val="20"/>
              </w:rPr>
            </w:pPr>
          </w:p>
          <w:p w14:paraId="659B9255" w14:textId="08DA614C" w:rsidR="007D5E58" w:rsidRPr="005C579C" w:rsidRDefault="007D5E58" w:rsidP="00974425">
            <w:pPr>
              <w:ind w:left="16" w:firstLine="0"/>
              <w:rPr>
                <w:rFonts w:cstheme="minorHAnsi"/>
                <w:sz w:val="20"/>
                <w:szCs w:val="20"/>
              </w:rPr>
            </w:pPr>
            <w:r w:rsidRPr="005C579C">
              <w:rPr>
                <w:rFonts w:cstheme="minorHAnsi"/>
                <w:sz w:val="20"/>
                <w:szCs w:val="20"/>
              </w:rPr>
              <w:t>The 12-week Covid Income Relief Payment partially fulfilled this recommendation for those who lost work on or after 1 March 2020, by disregarding partner income up to a high cap, however this measure was only temporary and was not extended to all on core benefits</w:t>
            </w:r>
            <w:r w:rsidR="008D597E">
              <w:rPr>
                <w:rFonts w:cstheme="minorHAnsi"/>
                <w:sz w:val="20"/>
                <w:szCs w:val="20"/>
              </w:rPr>
              <w:t xml:space="preserve"> (Cardwell, 2020)</w:t>
            </w:r>
            <w:r w:rsidRPr="005C579C">
              <w:rPr>
                <w:rFonts w:cstheme="minorHAnsi"/>
                <w:sz w:val="20"/>
                <w:szCs w:val="20"/>
              </w:rPr>
              <w:t xml:space="preserve">. </w:t>
            </w:r>
          </w:p>
        </w:tc>
        <w:tc>
          <w:tcPr>
            <w:tcW w:w="1447" w:type="dxa"/>
            <w:shd w:val="clear" w:color="auto" w:fill="auto"/>
          </w:tcPr>
          <w:p w14:paraId="1C49AA29" w14:textId="77777777" w:rsidR="007D5E58" w:rsidRPr="005A73F9" w:rsidRDefault="007D5E58" w:rsidP="00974425">
            <w:pPr>
              <w:ind w:left="63" w:firstLine="0"/>
              <w:rPr>
                <w:sz w:val="22"/>
              </w:rPr>
            </w:pPr>
            <w:r w:rsidRPr="005A73F9">
              <w:rPr>
                <w:sz w:val="22"/>
              </w:rPr>
              <w:t>No change since November 2020.</w:t>
            </w:r>
          </w:p>
        </w:tc>
      </w:tr>
      <w:tr w:rsidR="007D5E58" w:rsidRPr="005A73F9" w14:paraId="77778102" w14:textId="77777777" w:rsidTr="00974425">
        <w:trPr>
          <w:trHeight w:val="203"/>
        </w:trPr>
        <w:tc>
          <w:tcPr>
            <w:tcW w:w="1634" w:type="dxa"/>
            <w:vMerge/>
          </w:tcPr>
          <w:p w14:paraId="2F3BB391" w14:textId="77777777" w:rsidR="007D5E58" w:rsidRPr="005C579C" w:rsidRDefault="007D5E58" w:rsidP="00A53840">
            <w:pPr>
              <w:ind w:left="29" w:firstLine="0"/>
              <w:rPr>
                <w:rFonts w:cstheme="minorHAnsi"/>
                <w:bCs/>
                <w:color w:val="000000"/>
                <w:sz w:val="20"/>
                <w:szCs w:val="20"/>
              </w:rPr>
            </w:pPr>
          </w:p>
        </w:tc>
        <w:tc>
          <w:tcPr>
            <w:tcW w:w="3330" w:type="dxa"/>
            <w:tcBorders>
              <w:bottom w:val="single" w:sz="4" w:space="0" w:color="auto"/>
            </w:tcBorders>
          </w:tcPr>
          <w:p w14:paraId="206498B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Adequately fund redundancy support programmes, which include a suite of free or subsidised training and education courses, for workers who experience redundancy.</w:t>
            </w:r>
          </w:p>
        </w:tc>
        <w:tc>
          <w:tcPr>
            <w:tcW w:w="1260" w:type="dxa"/>
            <w:vMerge/>
            <w:tcBorders>
              <w:bottom w:val="nil"/>
            </w:tcBorders>
          </w:tcPr>
          <w:p w14:paraId="4E448D69" w14:textId="77777777" w:rsidR="007D5E58" w:rsidRPr="005C579C" w:rsidRDefault="007D5E58" w:rsidP="00974425">
            <w:pPr>
              <w:ind w:left="32" w:firstLine="0"/>
              <w:rPr>
                <w:rFonts w:cstheme="minorHAnsi"/>
                <w:sz w:val="20"/>
                <w:szCs w:val="20"/>
              </w:rPr>
            </w:pPr>
          </w:p>
        </w:tc>
        <w:tc>
          <w:tcPr>
            <w:tcW w:w="3150" w:type="dxa"/>
            <w:vMerge/>
            <w:tcBorders>
              <w:bottom w:val="nil"/>
            </w:tcBorders>
          </w:tcPr>
          <w:p w14:paraId="36F1CD90" w14:textId="77777777" w:rsidR="007D5E58" w:rsidRPr="005C579C" w:rsidRDefault="007D5E58" w:rsidP="00974425">
            <w:pPr>
              <w:ind w:left="48" w:firstLine="0"/>
              <w:rPr>
                <w:rFonts w:cstheme="minorHAnsi"/>
                <w:sz w:val="20"/>
                <w:szCs w:val="20"/>
              </w:rPr>
            </w:pPr>
          </w:p>
        </w:tc>
        <w:tc>
          <w:tcPr>
            <w:tcW w:w="3780" w:type="dxa"/>
            <w:tcBorders>
              <w:bottom w:val="single" w:sz="4" w:space="0" w:color="auto"/>
            </w:tcBorders>
            <w:shd w:val="clear" w:color="auto" w:fill="F8CA9C"/>
          </w:tcPr>
          <w:p w14:paraId="7567CDAC" w14:textId="77777777" w:rsidR="007D5E58" w:rsidRPr="005C579C" w:rsidRDefault="007D5E58" w:rsidP="00974425">
            <w:pPr>
              <w:ind w:left="16" w:firstLine="0"/>
              <w:rPr>
                <w:rFonts w:cstheme="minorHAnsi"/>
                <w:sz w:val="20"/>
                <w:szCs w:val="20"/>
              </w:rPr>
            </w:pPr>
            <w:r w:rsidRPr="005C579C">
              <w:rPr>
                <w:rFonts w:cstheme="minorHAnsi"/>
                <w:sz w:val="20"/>
                <w:szCs w:val="20"/>
              </w:rPr>
              <w:t>Minimal implementation.</w:t>
            </w:r>
          </w:p>
          <w:p w14:paraId="2A4A40D0" w14:textId="77777777" w:rsidR="007D5E58" w:rsidRPr="005C579C" w:rsidRDefault="007D5E58" w:rsidP="00974425">
            <w:pPr>
              <w:ind w:left="16" w:firstLine="0"/>
              <w:rPr>
                <w:rFonts w:cstheme="minorHAnsi"/>
                <w:sz w:val="20"/>
                <w:szCs w:val="20"/>
              </w:rPr>
            </w:pPr>
          </w:p>
          <w:p w14:paraId="7DA532D1" w14:textId="1AF45A3D" w:rsidR="007D5E58" w:rsidRPr="005C579C" w:rsidRDefault="007D5E58" w:rsidP="00974425">
            <w:pPr>
              <w:ind w:left="16" w:firstLine="0"/>
              <w:rPr>
                <w:rFonts w:cstheme="minorHAnsi"/>
                <w:sz w:val="20"/>
                <w:szCs w:val="20"/>
              </w:rPr>
            </w:pPr>
            <w:r w:rsidRPr="005C579C">
              <w:rPr>
                <w:rFonts w:cstheme="minorHAnsi"/>
                <w:sz w:val="20"/>
                <w:szCs w:val="20"/>
              </w:rPr>
              <w:t>The Government announced a Targeted Training and Apprenticeship fund in 2020 in response to Covid-19 which enables people to access sub-degree level training for free in growing industries; however, this scheme is temporary, and is scheduled to finish on 31 December 2022</w:t>
            </w:r>
            <w:r w:rsidR="008D597E">
              <w:rPr>
                <w:rFonts w:cstheme="minorHAnsi"/>
                <w:sz w:val="20"/>
                <w:szCs w:val="20"/>
              </w:rPr>
              <w:t xml:space="preserve"> (TEC, 2020a)</w:t>
            </w:r>
            <w:r w:rsidRPr="005C579C">
              <w:rPr>
                <w:rFonts w:cstheme="minorHAnsi"/>
                <w:sz w:val="20"/>
                <w:szCs w:val="20"/>
              </w:rPr>
              <w:t xml:space="preserve">. </w:t>
            </w:r>
          </w:p>
        </w:tc>
        <w:tc>
          <w:tcPr>
            <w:tcW w:w="1447" w:type="dxa"/>
            <w:shd w:val="clear" w:color="auto" w:fill="auto"/>
          </w:tcPr>
          <w:p w14:paraId="459B722A" w14:textId="77777777" w:rsidR="007D5E58" w:rsidRPr="005A73F9" w:rsidRDefault="007D5E58" w:rsidP="00974425">
            <w:pPr>
              <w:ind w:left="63" w:firstLine="0"/>
              <w:rPr>
                <w:sz w:val="22"/>
              </w:rPr>
            </w:pPr>
            <w:r w:rsidRPr="005A73F9">
              <w:rPr>
                <w:sz w:val="22"/>
              </w:rPr>
              <w:t>No change since November 2020.</w:t>
            </w:r>
          </w:p>
        </w:tc>
      </w:tr>
      <w:tr w:rsidR="007D5E58" w:rsidRPr="005A73F9" w14:paraId="4AFE3C5A" w14:textId="77777777" w:rsidTr="00974425">
        <w:trPr>
          <w:trHeight w:val="203"/>
        </w:trPr>
        <w:tc>
          <w:tcPr>
            <w:tcW w:w="1634" w:type="dxa"/>
            <w:vMerge/>
          </w:tcPr>
          <w:p w14:paraId="3E9D1C11" w14:textId="77777777" w:rsidR="007D5E58" w:rsidRPr="005C579C" w:rsidRDefault="007D5E58" w:rsidP="00A53840">
            <w:pPr>
              <w:ind w:left="29" w:firstLine="0"/>
              <w:rPr>
                <w:rFonts w:cstheme="minorHAnsi"/>
                <w:bCs/>
                <w:color w:val="000000"/>
                <w:sz w:val="20"/>
                <w:szCs w:val="20"/>
              </w:rPr>
            </w:pPr>
          </w:p>
        </w:tc>
        <w:tc>
          <w:tcPr>
            <w:tcW w:w="3330" w:type="dxa"/>
            <w:tcBorders>
              <w:top w:val="single" w:sz="4" w:space="0" w:color="auto"/>
            </w:tcBorders>
          </w:tcPr>
          <w:p w14:paraId="2C4A993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Ensure people can resume benefits readily (to allow for unpredictable changes in income and to provide people with confidence to take up employment), including removal of income stand-down periods.</w:t>
            </w:r>
          </w:p>
        </w:tc>
        <w:tc>
          <w:tcPr>
            <w:tcW w:w="1260" w:type="dxa"/>
            <w:vMerge/>
            <w:tcBorders>
              <w:top w:val="nil"/>
            </w:tcBorders>
          </w:tcPr>
          <w:p w14:paraId="44E468B6" w14:textId="77777777" w:rsidR="007D5E58" w:rsidRPr="005C579C" w:rsidRDefault="007D5E58" w:rsidP="00974425">
            <w:pPr>
              <w:ind w:left="32" w:firstLine="0"/>
              <w:rPr>
                <w:rFonts w:cstheme="minorHAnsi"/>
                <w:sz w:val="20"/>
                <w:szCs w:val="20"/>
              </w:rPr>
            </w:pPr>
          </w:p>
        </w:tc>
        <w:tc>
          <w:tcPr>
            <w:tcW w:w="3150" w:type="dxa"/>
            <w:vMerge/>
            <w:tcBorders>
              <w:top w:val="nil"/>
            </w:tcBorders>
          </w:tcPr>
          <w:p w14:paraId="0991DB86" w14:textId="77777777" w:rsidR="007D5E58" w:rsidRPr="005C579C" w:rsidRDefault="007D5E58" w:rsidP="00974425">
            <w:pPr>
              <w:ind w:left="48" w:firstLine="0"/>
              <w:rPr>
                <w:rFonts w:cstheme="minorHAnsi"/>
                <w:sz w:val="20"/>
                <w:szCs w:val="20"/>
              </w:rPr>
            </w:pPr>
          </w:p>
        </w:tc>
        <w:tc>
          <w:tcPr>
            <w:tcW w:w="3780" w:type="dxa"/>
            <w:tcBorders>
              <w:top w:val="single" w:sz="4" w:space="0" w:color="auto"/>
            </w:tcBorders>
            <w:shd w:val="clear" w:color="auto" w:fill="F8CA9C"/>
          </w:tcPr>
          <w:p w14:paraId="3B9F4925" w14:textId="77777777" w:rsidR="007D5E58" w:rsidRPr="005C579C" w:rsidRDefault="007D5E58" w:rsidP="00974425">
            <w:pPr>
              <w:ind w:left="16" w:firstLine="0"/>
              <w:rPr>
                <w:rFonts w:cstheme="minorHAnsi"/>
                <w:sz w:val="20"/>
                <w:szCs w:val="20"/>
              </w:rPr>
            </w:pPr>
            <w:r w:rsidRPr="005C579C">
              <w:rPr>
                <w:rFonts w:cstheme="minorHAnsi"/>
                <w:sz w:val="20"/>
                <w:szCs w:val="20"/>
              </w:rPr>
              <w:t>Minimal implementation.</w:t>
            </w:r>
          </w:p>
          <w:p w14:paraId="68C5E363" w14:textId="77777777" w:rsidR="007D5E58" w:rsidRPr="005C579C" w:rsidRDefault="007D5E58" w:rsidP="00974425">
            <w:pPr>
              <w:ind w:left="16" w:firstLine="0"/>
              <w:rPr>
                <w:rFonts w:cstheme="minorHAnsi"/>
                <w:sz w:val="20"/>
                <w:szCs w:val="20"/>
              </w:rPr>
            </w:pPr>
          </w:p>
          <w:p w14:paraId="0AB129BB" w14:textId="460F3314" w:rsidR="007D5E58" w:rsidRPr="005C579C" w:rsidRDefault="007D5E58" w:rsidP="00974425">
            <w:pPr>
              <w:ind w:left="16" w:firstLine="0"/>
              <w:rPr>
                <w:rFonts w:cstheme="minorHAnsi"/>
                <w:sz w:val="20"/>
                <w:szCs w:val="20"/>
              </w:rPr>
            </w:pPr>
            <w:r w:rsidRPr="005C579C">
              <w:rPr>
                <w:rFonts w:cstheme="minorHAnsi"/>
                <w:sz w:val="20"/>
                <w:szCs w:val="20"/>
              </w:rPr>
              <w:t>The Government’s removal of stand-down periods as part of the Covid-19 response was a temporary measure</w:t>
            </w:r>
            <w:r w:rsidR="008D597E">
              <w:rPr>
                <w:rFonts w:cstheme="minorHAnsi"/>
                <w:sz w:val="20"/>
                <w:szCs w:val="20"/>
              </w:rPr>
              <w:t xml:space="preserve"> (Devlin, 2020).</w:t>
            </w:r>
          </w:p>
        </w:tc>
        <w:tc>
          <w:tcPr>
            <w:tcW w:w="1447" w:type="dxa"/>
            <w:shd w:val="clear" w:color="auto" w:fill="auto"/>
          </w:tcPr>
          <w:p w14:paraId="499A9977" w14:textId="77777777" w:rsidR="007D5E58" w:rsidRPr="005A73F9" w:rsidRDefault="007D5E58" w:rsidP="00974425">
            <w:pPr>
              <w:ind w:left="63" w:firstLine="0"/>
              <w:rPr>
                <w:sz w:val="22"/>
              </w:rPr>
            </w:pPr>
            <w:r w:rsidRPr="005A73F9">
              <w:rPr>
                <w:sz w:val="22"/>
              </w:rPr>
              <w:t>No change since November 2020.</w:t>
            </w:r>
          </w:p>
        </w:tc>
      </w:tr>
      <w:tr w:rsidR="007D5E58" w:rsidRPr="005A73F9" w14:paraId="7D5C0496" w14:textId="77777777" w:rsidTr="00974425">
        <w:trPr>
          <w:trHeight w:val="88"/>
        </w:trPr>
        <w:tc>
          <w:tcPr>
            <w:tcW w:w="1634" w:type="dxa"/>
            <w:vMerge w:val="restart"/>
          </w:tcPr>
          <w:p w14:paraId="165E2589"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Young people supported</w:t>
            </w:r>
          </w:p>
          <w:p w14:paraId="34D2AE45"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to be earning, learning</w:t>
            </w:r>
          </w:p>
          <w:p w14:paraId="11745B12"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and, where they are parents, caring</w:t>
            </w:r>
          </w:p>
        </w:tc>
        <w:tc>
          <w:tcPr>
            <w:tcW w:w="3330" w:type="dxa"/>
          </w:tcPr>
          <w:p w14:paraId="37D67863"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investment in well-coordinated and youth development-focused programmes to help young people into education, training, alternative employment opportunities or volunteering.</w:t>
            </w:r>
          </w:p>
          <w:p w14:paraId="39D5464E" w14:textId="77777777" w:rsidR="007D5E58" w:rsidRPr="005C579C" w:rsidRDefault="007D5E58" w:rsidP="00974425">
            <w:pPr>
              <w:ind w:left="96" w:firstLine="0"/>
              <w:rPr>
                <w:rFonts w:cstheme="minorHAnsi"/>
                <w:sz w:val="20"/>
                <w:szCs w:val="20"/>
              </w:rPr>
            </w:pPr>
          </w:p>
        </w:tc>
        <w:tc>
          <w:tcPr>
            <w:tcW w:w="1260" w:type="dxa"/>
            <w:vMerge w:val="restart"/>
          </w:tcPr>
          <w:p w14:paraId="45F6FE18" w14:textId="77777777" w:rsidR="007D5E58" w:rsidRPr="005C579C" w:rsidRDefault="007D5E58" w:rsidP="00974425">
            <w:pPr>
              <w:ind w:left="32" w:firstLine="0"/>
              <w:rPr>
                <w:rFonts w:cstheme="minorHAnsi"/>
                <w:sz w:val="20"/>
                <w:szCs w:val="20"/>
              </w:rPr>
            </w:pPr>
            <w:r w:rsidRPr="005C579C">
              <w:rPr>
                <w:rFonts w:cstheme="minorHAnsi"/>
                <w:sz w:val="20"/>
                <w:szCs w:val="20"/>
              </w:rPr>
              <w:t>Key Recs 38 and 39; Ch 9</w:t>
            </w:r>
          </w:p>
        </w:tc>
        <w:tc>
          <w:tcPr>
            <w:tcW w:w="3150" w:type="dxa"/>
            <w:vMerge w:val="restart"/>
          </w:tcPr>
          <w:p w14:paraId="2F7EBDCE" w14:textId="4C73EDC3"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stated that “MSD has several programmes that support youth development, including He Poutama Rangatahi, Mana in Mahi and Apprenticeship Boost (the latter two are open to all groups, with relatively high take up among young people). Further work is being progressed on reviewing the expanded Mana in Mahi offering, implementing the Youth Action Plan … and developing the cross-agency long-term insights briefing on youth at risk of limited employment”</w:t>
            </w:r>
            <w:r w:rsidR="008D597E">
              <w:rPr>
                <w:rFonts w:cstheme="minorHAnsi"/>
                <w:sz w:val="20"/>
                <w:szCs w:val="20"/>
              </w:rPr>
              <w:t xml:space="preserve"> (MSD, 2021d).</w:t>
            </w:r>
          </w:p>
        </w:tc>
        <w:tc>
          <w:tcPr>
            <w:tcW w:w="3780" w:type="dxa"/>
            <w:shd w:val="clear" w:color="auto" w:fill="F7CAAC" w:themeFill="accent2" w:themeFillTint="66"/>
          </w:tcPr>
          <w:p w14:paraId="2C444E92"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Minimal implementation. </w:t>
            </w:r>
          </w:p>
          <w:p w14:paraId="5386FC7F" w14:textId="77777777" w:rsidR="007D5E58" w:rsidRPr="005C579C" w:rsidRDefault="007D5E58" w:rsidP="00974425">
            <w:pPr>
              <w:ind w:left="16" w:firstLine="0"/>
              <w:rPr>
                <w:rFonts w:cstheme="minorHAnsi"/>
                <w:sz w:val="20"/>
                <w:szCs w:val="20"/>
              </w:rPr>
            </w:pPr>
          </w:p>
          <w:p w14:paraId="7C917C95" w14:textId="03A5B021" w:rsidR="007D5E58" w:rsidRPr="005C579C" w:rsidRDefault="007D5E58" w:rsidP="00974425">
            <w:pPr>
              <w:ind w:left="16" w:firstLine="0"/>
              <w:rPr>
                <w:rFonts w:cstheme="minorHAnsi"/>
                <w:sz w:val="20"/>
                <w:szCs w:val="20"/>
              </w:rPr>
            </w:pPr>
            <w:r w:rsidRPr="005C579C">
              <w:rPr>
                <w:rFonts w:cstheme="minorHAnsi"/>
                <w:sz w:val="20"/>
                <w:szCs w:val="20"/>
              </w:rPr>
              <w:t>After initial investments in Budget 2020, the Government has since rolled out further funding to support rangatahi into employment, most recently in August 2021</w:t>
            </w:r>
            <w:r w:rsidR="007348DA">
              <w:rPr>
                <w:rFonts w:cstheme="minorHAnsi"/>
                <w:sz w:val="20"/>
                <w:szCs w:val="20"/>
              </w:rPr>
              <w:t xml:space="preserve"> (RNZ, 2021c)</w:t>
            </w:r>
            <w:r w:rsidRPr="005C579C">
              <w:rPr>
                <w:rFonts w:cstheme="minorHAnsi"/>
                <w:sz w:val="20"/>
                <w:szCs w:val="20"/>
              </w:rPr>
              <w:t xml:space="preserve">. While some of this funding is for the Māori Trades Training initiative, which is not exclusively for rangatahi, the funding has also expanded He Poutama Rangatahi – a cross-agency initiative specifically aimed at rangatahi at risk of long-term unemployment. The extra funding has meant the programme, initially piloted in provincial areas, can expand into urban areas, where the largest numbers of rangatahi not in education, training or employment live. </w:t>
            </w:r>
          </w:p>
          <w:p w14:paraId="74656845" w14:textId="77777777" w:rsidR="007D5E58" w:rsidRPr="005C579C" w:rsidRDefault="007D5E58" w:rsidP="00974425">
            <w:pPr>
              <w:ind w:left="16" w:firstLine="0"/>
              <w:rPr>
                <w:rFonts w:cstheme="minorHAnsi"/>
                <w:sz w:val="20"/>
                <w:szCs w:val="20"/>
              </w:rPr>
            </w:pPr>
          </w:p>
          <w:p w14:paraId="715E20EA" w14:textId="47099169" w:rsidR="007D5E58" w:rsidRPr="005C579C" w:rsidRDefault="007D5E58" w:rsidP="00974425">
            <w:pPr>
              <w:ind w:left="16" w:firstLine="0"/>
              <w:rPr>
                <w:rFonts w:cstheme="minorHAnsi"/>
                <w:sz w:val="20"/>
                <w:szCs w:val="20"/>
              </w:rPr>
            </w:pPr>
            <w:r w:rsidRPr="005C579C">
              <w:rPr>
                <w:rFonts w:cstheme="minorHAnsi"/>
                <w:sz w:val="20"/>
                <w:szCs w:val="20"/>
              </w:rPr>
              <w:t>However, WEAG</w:t>
            </w:r>
            <w:r w:rsidR="007348DA">
              <w:rPr>
                <w:rFonts w:cstheme="minorHAnsi"/>
                <w:sz w:val="20"/>
                <w:szCs w:val="20"/>
              </w:rPr>
              <w:t xml:space="preserve"> (2019, p.132)</w:t>
            </w:r>
            <w:r w:rsidRPr="005C579C">
              <w:rPr>
                <w:rFonts w:cstheme="minorHAnsi"/>
                <w:sz w:val="20"/>
                <w:szCs w:val="20"/>
              </w:rPr>
              <w:t xml:space="preserve"> described youth employment initiatives as “uncoordinated, scattered across many agencies and patchy throughout the country”, describing many instances of initiatives not achieving their desired results. While He Poutama Rangatahi has been scaled up, it does not appear that this approach to youth employment initiatives has substantially changed beyond the patchwork approach that WEAG described.</w:t>
            </w:r>
          </w:p>
        </w:tc>
        <w:tc>
          <w:tcPr>
            <w:tcW w:w="1447" w:type="dxa"/>
            <w:shd w:val="clear" w:color="auto" w:fill="auto"/>
          </w:tcPr>
          <w:p w14:paraId="4321A8F8" w14:textId="77777777" w:rsidR="007D5E58" w:rsidRPr="005A73F9" w:rsidRDefault="007D5E58" w:rsidP="00974425">
            <w:pPr>
              <w:ind w:left="63" w:firstLine="0"/>
              <w:rPr>
                <w:sz w:val="22"/>
              </w:rPr>
            </w:pPr>
            <w:r w:rsidRPr="005A73F9">
              <w:rPr>
                <w:sz w:val="22"/>
              </w:rPr>
              <w:t>Progressed from no evidence to minimal implementation.</w:t>
            </w:r>
          </w:p>
        </w:tc>
      </w:tr>
      <w:tr w:rsidR="007D5E58" w:rsidRPr="005A73F9" w14:paraId="5C63FCE9" w14:textId="77777777" w:rsidTr="00974425">
        <w:trPr>
          <w:trHeight w:val="87"/>
        </w:trPr>
        <w:tc>
          <w:tcPr>
            <w:tcW w:w="1634" w:type="dxa"/>
            <w:vMerge/>
          </w:tcPr>
          <w:p w14:paraId="4E28EE2B" w14:textId="77777777" w:rsidR="007D5E58" w:rsidRPr="005C579C" w:rsidRDefault="007D5E58" w:rsidP="00A53840">
            <w:pPr>
              <w:ind w:left="29" w:firstLine="0"/>
              <w:rPr>
                <w:rFonts w:cstheme="minorHAnsi"/>
                <w:bCs/>
                <w:color w:val="000000"/>
                <w:sz w:val="20"/>
                <w:szCs w:val="20"/>
              </w:rPr>
            </w:pPr>
          </w:p>
        </w:tc>
        <w:tc>
          <w:tcPr>
            <w:tcW w:w="3330" w:type="dxa"/>
          </w:tcPr>
          <w:p w14:paraId="1345D53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Tailor youth initiatives to their communities.</w:t>
            </w:r>
          </w:p>
          <w:p w14:paraId="79127B65" w14:textId="77777777" w:rsidR="007D5E58" w:rsidRPr="005C579C" w:rsidRDefault="007D5E58" w:rsidP="00974425">
            <w:pPr>
              <w:ind w:left="96" w:firstLine="0"/>
              <w:rPr>
                <w:rFonts w:cstheme="minorHAnsi"/>
                <w:sz w:val="20"/>
                <w:szCs w:val="20"/>
              </w:rPr>
            </w:pPr>
          </w:p>
        </w:tc>
        <w:tc>
          <w:tcPr>
            <w:tcW w:w="1260" w:type="dxa"/>
            <w:vMerge/>
          </w:tcPr>
          <w:p w14:paraId="5514C3A8" w14:textId="77777777" w:rsidR="007D5E58" w:rsidRPr="005C579C" w:rsidRDefault="007D5E58" w:rsidP="00974425">
            <w:pPr>
              <w:ind w:left="32" w:firstLine="0"/>
              <w:rPr>
                <w:rFonts w:cstheme="minorHAnsi"/>
                <w:sz w:val="20"/>
                <w:szCs w:val="20"/>
              </w:rPr>
            </w:pPr>
          </w:p>
        </w:tc>
        <w:tc>
          <w:tcPr>
            <w:tcW w:w="3150" w:type="dxa"/>
            <w:vMerge/>
          </w:tcPr>
          <w:p w14:paraId="18A2E883" w14:textId="77777777" w:rsidR="007D5E58" w:rsidRPr="005C579C" w:rsidRDefault="007D5E58" w:rsidP="00974425">
            <w:pPr>
              <w:ind w:left="48" w:firstLine="0"/>
              <w:rPr>
                <w:rFonts w:cstheme="minorHAnsi"/>
                <w:sz w:val="20"/>
                <w:szCs w:val="20"/>
              </w:rPr>
            </w:pPr>
          </w:p>
        </w:tc>
        <w:tc>
          <w:tcPr>
            <w:tcW w:w="3780" w:type="dxa"/>
            <w:shd w:val="clear" w:color="auto" w:fill="FFD966" w:themeFill="accent4" w:themeFillTint="99"/>
          </w:tcPr>
          <w:p w14:paraId="3CBEB352"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7AF2206F" w14:textId="77777777" w:rsidR="007D5E58" w:rsidRPr="005C579C" w:rsidRDefault="007D5E58" w:rsidP="00974425">
            <w:pPr>
              <w:ind w:left="16" w:firstLine="0"/>
              <w:rPr>
                <w:rFonts w:cstheme="minorHAnsi"/>
                <w:sz w:val="20"/>
                <w:szCs w:val="20"/>
              </w:rPr>
            </w:pPr>
          </w:p>
          <w:p w14:paraId="35D345C0" w14:textId="2420483E" w:rsidR="007D5E58" w:rsidRPr="005C579C" w:rsidRDefault="007D5E58" w:rsidP="00974425">
            <w:pPr>
              <w:ind w:left="16" w:firstLine="0"/>
              <w:rPr>
                <w:rFonts w:cstheme="minorHAnsi"/>
                <w:sz w:val="20"/>
                <w:szCs w:val="20"/>
              </w:rPr>
            </w:pPr>
            <w:r w:rsidRPr="005C579C">
              <w:rPr>
                <w:rFonts w:cstheme="minorHAnsi"/>
                <w:sz w:val="20"/>
                <w:szCs w:val="20"/>
              </w:rPr>
              <w:t>The scaling up of He Poutama Rangatahi has enabled more coverage in different areas, both regional and urban, throughout the country. Projects are local initiatives that are then funded by MSD which enables them to be tailored to communities</w:t>
            </w:r>
            <w:r w:rsidR="007348DA">
              <w:rPr>
                <w:rFonts w:cstheme="minorHAnsi"/>
                <w:sz w:val="20"/>
                <w:szCs w:val="20"/>
              </w:rPr>
              <w:t xml:space="preserve"> (Work and Income, n.d.)</w:t>
            </w:r>
            <w:r w:rsidRPr="005C579C">
              <w:rPr>
                <w:rFonts w:cstheme="minorHAnsi"/>
                <w:sz w:val="20"/>
                <w:szCs w:val="20"/>
              </w:rPr>
              <w:t>.</w:t>
            </w:r>
          </w:p>
        </w:tc>
        <w:tc>
          <w:tcPr>
            <w:tcW w:w="1447" w:type="dxa"/>
            <w:shd w:val="clear" w:color="auto" w:fill="DEEAF6" w:themeFill="accent5" w:themeFillTint="33"/>
          </w:tcPr>
          <w:p w14:paraId="0527A14F" w14:textId="77777777" w:rsidR="007D5E58" w:rsidRPr="005A73F9" w:rsidRDefault="007D5E58" w:rsidP="00974425">
            <w:pPr>
              <w:ind w:left="63" w:firstLine="0"/>
              <w:rPr>
                <w:sz w:val="22"/>
              </w:rPr>
            </w:pPr>
            <w:r w:rsidRPr="005A73F9">
              <w:rPr>
                <w:sz w:val="22"/>
              </w:rPr>
              <w:t>Progressed from no evidence to partial implementation.</w:t>
            </w:r>
          </w:p>
        </w:tc>
      </w:tr>
      <w:tr w:rsidR="007D5E58" w:rsidRPr="005A73F9" w14:paraId="332C7AF7" w14:textId="77777777" w:rsidTr="00974425">
        <w:trPr>
          <w:trHeight w:val="87"/>
        </w:trPr>
        <w:tc>
          <w:tcPr>
            <w:tcW w:w="1634" w:type="dxa"/>
            <w:vMerge/>
          </w:tcPr>
          <w:p w14:paraId="02EA4CBE" w14:textId="77777777" w:rsidR="007D5E58" w:rsidRPr="005C579C" w:rsidRDefault="007D5E58" w:rsidP="00A53840">
            <w:pPr>
              <w:ind w:left="29" w:firstLine="0"/>
              <w:rPr>
                <w:rFonts w:cstheme="minorHAnsi"/>
                <w:bCs/>
                <w:color w:val="000000"/>
                <w:sz w:val="20"/>
                <w:szCs w:val="20"/>
              </w:rPr>
            </w:pPr>
          </w:p>
        </w:tc>
        <w:tc>
          <w:tcPr>
            <w:tcW w:w="3330" w:type="dxa"/>
          </w:tcPr>
          <w:p w14:paraId="718EBD2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Take an evidence-based approach, informed by the voices of young people and building on the strengths of young people, and provide a basis for their long-term engagement with the changing world of work.</w:t>
            </w:r>
          </w:p>
          <w:p w14:paraId="0BFC9BB5" w14:textId="77777777" w:rsidR="007D5E58" w:rsidRPr="005C579C" w:rsidRDefault="007D5E58" w:rsidP="00974425">
            <w:pPr>
              <w:ind w:left="96" w:firstLine="0"/>
              <w:rPr>
                <w:rFonts w:cstheme="minorHAnsi"/>
                <w:sz w:val="20"/>
                <w:szCs w:val="20"/>
              </w:rPr>
            </w:pPr>
          </w:p>
        </w:tc>
        <w:tc>
          <w:tcPr>
            <w:tcW w:w="1260" w:type="dxa"/>
            <w:vMerge/>
          </w:tcPr>
          <w:p w14:paraId="74EE1AE2" w14:textId="77777777" w:rsidR="007D5E58" w:rsidRPr="005C579C" w:rsidRDefault="007D5E58" w:rsidP="00974425">
            <w:pPr>
              <w:ind w:left="32" w:firstLine="0"/>
              <w:rPr>
                <w:rFonts w:cstheme="minorHAnsi"/>
                <w:sz w:val="20"/>
                <w:szCs w:val="20"/>
              </w:rPr>
            </w:pPr>
          </w:p>
        </w:tc>
        <w:tc>
          <w:tcPr>
            <w:tcW w:w="3150" w:type="dxa"/>
            <w:vMerge/>
          </w:tcPr>
          <w:p w14:paraId="6D8A4FC7" w14:textId="77777777" w:rsidR="007D5E58" w:rsidRPr="005C579C" w:rsidRDefault="007D5E58" w:rsidP="00974425">
            <w:pPr>
              <w:ind w:left="48" w:firstLine="0"/>
              <w:rPr>
                <w:rFonts w:cstheme="minorHAnsi"/>
                <w:sz w:val="20"/>
                <w:szCs w:val="20"/>
              </w:rPr>
            </w:pPr>
          </w:p>
        </w:tc>
        <w:tc>
          <w:tcPr>
            <w:tcW w:w="3780" w:type="dxa"/>
            <w:shd w:val="clear" w:color="auto" w:fill="FFA5A5"/>
          </w:tcPr>
          <w:p w14:paraId="6E2372E9"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60FC4AF4" w14:textId="77777777" w:rsidR="007D5E58" w:rsidRPr="005C579C" w:rsidRDefault="007D5E58" w:rsidP="00974425">
            <w:pPr>
              <w:ind w:left="16" w:firstLine="0"/>
              <w:rPr>
                <w:rFonts w:cstheme="minorHAnsi"/>
                <w:sz w:val="20"/>
                <w:szCs w:val="20"/>
              </w:rPr>
            </w:pPr>
          </w:p>
          <w:p w14:paraId="49D46BA6" w14:textId="1EA5ACA3" w:rsidR="007D5E58" w:rsidRPr="005C579C" w:rsidRDefault="007D5E58" w:rsidP="00974425">
            <w:pPr>
              <w:ind w:left="16" w:firstLine="0"/>
              <w:rPr>
                <w:rFonts w:cstheme="minorHAnsi"/>
                <w:sz w:val="20"/>
                <w:szCs w:val="20"/>
              </w:rPr>
            </w:pPr>
            <w:r w:rsidRPr="005C579C">
              <w:rPr>
                <w:rFonts w:cstheme="minorHAnsi"/>
                <w:sz w:val="20"/>
                <w:szCs w:val="20"/>
              </w:rPr>
              <w:t xml:space="preserve">WEAG </w:t>
            </w:r>
            <w:r w:rsidR="00C738F1">
              <w:rPr>
                <w:rFonts w:cstheme="minorHAnsi"/>
                <w:sz w:val="20"/>
                <w:szCs w:val="20"/>
              </w:rPr>
              <w:t xml:space="preserve">(2019, p.132) </w:t>
            </w:r>
            <w:r w:rsidRPr="005C579C">
              <w:rPr>
                <w:rFonts w:cstheme="minorHAnsi"/>
                <w:sz w:val="20"/>
                <w:szCs w:val="20"/>
              </w:rPr>
              <w:t>described youth employment initiatives as “uncoordinated, scattered across many agencies and patchy throughout the country”, describing many instances of initiatives not achieving their desired results. It does not appear that this approach to youth employment initiatives has substantially changed beyond the patchwork that WEAG described.</w:t>
            </w:r>
          </w:p>
        </w:tc>
        <w:tc>
          <w:tcPr>
            <w:tcW w:w="1447" w:type="dxa"/>
            <w:shd w:val="clear" w:color="auto" w:fill="auto"/>
          </w:tcPr>
          <w:p w14:paraId="7532A68E" w14:textId="77777777" w:rsidR="007D5E58" w:rsidRPr="005A73F9" w:rsidRDefault="007D5E58" w:rsidP="00974425">
            <w:pPr>
              <w:ind w:left="63" w:firstLine="0"/>
              <w:rPr>
                <w:sz w:val="22"/>
              </w:rPr>
            </w:pPr>
            <w:r w:rsidRPr="005A73F9">
              <w:rPr>
                <w:sz w:val="22"/>
              </w:rPr>
              <w:t>No change since November 2020.</w:t>
            </w:r>
          </w:p>
        </w:tc>
      </w:tr>
      <w:tr w:rsidR="007D5E58" w:rsidRPr="005A73F9" w14:paraId="79BA02D5" w14:textId="77777777" w:rsidTr="00974425">
        <w:trPr>
          <w:trHeight w:val="1104"/>
        </w:trPr>
        <w:tc>
          <w:tcPr>
            <w:tcW w:w="1634" w:type="dxa"/>
            <w:vMerge/>
          </w:tcPr>
          <w:p w14:paraId="4C76266E" w14:textId="77777777" w:rsidR="007D5E58" w:rsidRPr="005C579C" w:rsidRDefault="007D5E58" w:rsidP="00A53840">
            <w:pPr>
              <w:ind w:left="29" w:firstLine="0"/>
              <w:rPr>
                <w:rFonts w:cstheme="minorHAnsi"/>
                <w:bCs/>
                <w:color w:val="000000"/>
                <w:sz w:val="20"/>
                <w:szCs w:val="20"/>
              </w:rPr>
            </w:pPr>
          </w:p>
        </w:tc>
        <w:tc>
          <w:tcPr>
            <w:tcW w:w="3330" w:type="dxa"/>
          </w:tcPr>
          <w:p w14:paraId="6BAD157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Provide assistance with a specific focus on the needs of rangatahi Māori, Pacific youth and young people with health conditions or disabilities, to provide more equitable outcomes and success for these groups of young people.</w:t>
            </w:r>
          </w:p>
        </w:tc>
        <w:tc>
          <w:tcPr>
            <w:tcW w:w="1260" w:type="dxa"/>
            <w:vMerge/>
          </w:tcPr>
          <w:p w14:paraId="6A1E39D8" w14:textId="77777777" w:rsidR="007D5E58" w:rsidRPr="005C579C" w:rsidRDefault="007D5E58" w:rsidP="00974425">
            <w:pPr>
              <w:ind w:left="32" w:firstLine="0"/>
              <w:rPr>
                <w:rFonts w:cstheme="minorHAnsi"/>
                <w:sz w:val="20"/>
                <w:szCs w:val="20"/>
              </w:rPr>
            </w:pPr>
          </w:p>
        </w:tc>
        <w:tc>
          <w:tcPr>
            <w:tcW w:w="3150" w:type="dxa"/>
            <w:vMerge/>
          </w:tcPr>
          <w:p w14:paraId="249E00CB" w14:textId="77777777" w:rsidR="007D5E58" w:rsidRPr="005C579C" w:rsidRDefault="007D5E58" w:rsidP="00974425">
            <w:pPr>
              <w:ind w:left="48" w:firstLine="0"/>
              <w:rPr>
                <w:rFonts w:cstheme="minorHAnsi"/>
                <w:sz w:val="20"/>
                <w:szCs w:val="20"/>
              </w:rPr>
            </w:pPr>
          </w:p>
        </w:tc>
        <w:tc>
          <w:tcPr>
            <w:tcW w:w="3780" w:type="dxa"/>
            <w:shd w:val="clear" w:color="auto" w:fill="F4B083" w:themeFill="accent2" w:themeFillTint="99"/>
          </w:tcPr>
          <w:p w14:paraId="5C911FBF" w14:textId="77777777" w:rsidR="007D5E58" w:rsidRPr="005C579C" w:rsidRDefault="007D5E58" w:rsidP="00974425">
            <w:pPr>
              <w:ind w:left="16" w:firstLine="0"/>
              <w:rPr>
                <w:rFonts w:cstheme="minorHAnsi"/>
                <w:sz w:val="20"/>
                <w:szCs w:val="20"/>
              </w:rPr>
            </w:pPr>
            <w:r w:rsidRPr="005C579C">
              <w:rPr>
                <w:rFonts w:cstheme="minorHAnsi"/>
                <w:sz w:val="20"/>
                <w:szCs w:val="20"/>
              </w:rPr>
              <w:t>Minimal evidence of implementation.</w:t>
            </w:r>
          </w:p>
          <w:p w14:paraId="467BBE79" w14:textId="77777777" w:rsidR="007D5E58" w:rsidRPr="005C579C" w:rsidRDefault="007D5E58" w:rsidP="00974425">
            <w:pPr>
              <w:ind w:left="16" w:firstLine="0"/>
              <w:rPr>
                <w:rFonts w:cstheme="minorHAnsi"/>
                <w:sz w:val="20"/>
                <w:szCs w:val="20"/>
              </w:rPr>
            </w:pPr>
          </w:p>
          <w:p w14:paraId="14470ADE" w14:textId="12B12E47" w:rsidR="007D5E58" w:rsidRPr="005C579C" w:rsidRDefault="007D5E58" w:rsidP="00974425">
            <w:pPr>
              <w:ind w:left="16" w:firstLine="0"/>
              <w:rPr>
                <w:rFonts w:cstheme="minorHAnsi"/>
                <w:sz w:val="20"/>
                <w:szCs w:val="20"/>
              </w:rPr>
            </w:pPr>
            <w:r w:rsidRPr="005C579C">
              <w:rPr>
                <w:rFonts w:cstheme="minorHAnsi"/>
                <w:sz w:val="20"/>
                <w:szCs w:val="20"/>
              </w:rPr>
              <w:t>Initiatives such as the reinstatement of the Training Incentive Allowance will benefit some rangatahi Māori, Pacific youth and young people with health conditions or disabilities, but are not specifically targeted to those groups per se</w:t>
            </w:r>
            <w:r w:rsidR="00C738F1">
              <w:rPr>
                <w:rFonts w:cstheme="minorHAnsi"/>
                <w:sz w:val="20"/>
                <w:szCs w:val="20"/>
              </w:rPr>
              <w:t xml:space="preserve"> (NZ Government, 2021d)</w:t>
            </w:r>
            <w:r w:rsidRPr="005C579C">
              <w:rPr>
                <w:rFonts w:cstheme="minorHAnsi"/>
                <w:sz w:val="20"/>
                <w:szCs w:val="20"/>
              </w:rPr>
              <w:t>.</w:t>
            </w:r>
          </w:p>
          <w:p w14:paraId="04789123" w14:textId="77777777" w:rsidR="007D5E58" w:rsidRPr="005C579C" w:rsidRDefault="007D5E58" w:rsidP="00974425">
            <w:pPr>
              <w:ind w:left="16" w:firstLine="0"/>
              <w:rPr>
                <w:rFonts w:cstheme="minorHAnsi"/>
                <w:sz w:val="20"/>
                <w:szCs w:val="20"/>
              </w:rPr>
            </w:pPr>
          </w:p>
          <w:p w14:paraId="20649ED1" w14:textId="1B62B19B" w:rsidR="007D5E58" w:rsidRPr="005C579C" w:rsidRDefault="007D5E58" w:rsidP="00974425">
            <w:pPr>
              <w:ind w:left="16" w:firstLine="0"/>
              <w:rPr>
                <w:rFonts w:cstheme="minorHAnsi"/>
                <w:sz w:val="20"/>
                <w:szCs w:val="20"/>
              </w:rPr>
            </w:pPr>
            <w:r w:rsidRPr="005C579C">
              <w:rPr>
                <w:rFonts w:cstheme="minorHAnsi"/>
                <w:sz w:val="20"/>
                <w:szCs w:val="20"/>
              </w:rPr>
              <w:t>The Māori Trades Training Fund, while not youth specific, will benefit some rangatahi Māori through community-led employment and training programmes that are by Māori for Māori (though despite $50 million ring-fenced over two years from August 2020, as at May 2021, only $3.26 million had been paid out, with $11.4 million in funding approved</w:t>
            </w:r>
            <w:r w:rsidR="00C738F1">
              <w:rPr>
                <w:rFonts w:cstheme="minorHAnsi"/>
                <w:sz w:val="20"/>
                <w:szCs w:val="20"/>
              </w:rPr>
              <w:t>; Johnsen, 2020</w:t>
            </w:r>
            <w:r w:rsidRPr="005C579C">
              <w:rPr>
                <w:rFonts w:cstheme="minorHAnsi"/>
                <w:sz w:val="20"/>
                <w:szCs w:val="20"/>
              </w:rPr>
              <w:t>).</w:t>
            </w:r>
          </w:p>
          <w:p w14:paraId="4F2D8D1E" w14:textId="77777777" w:rsidR="007D5E58" w:rsidRPr="005C579C" w:rsidRDefault="007D5E58" w:rsidP="00974425">
            <w:pPr>
              <w:ind w:left="16" w:firstLine="0"/>
              <w:rPr>
                <w:rFonts w:cstheme="minorHAnsi"/>
                <w:sz w:val="20"/>
                <w:szCs w:val="20"/>
              </w:rPr>
            </w:pPr>
          </w:p>
          <w:p w14:paraId="218BA5E5" w14:textId="25EE09D5" w:rsidR="007D5E58" w:rsidRPr="005C579C" w:rsidRDefault="007D5E58" w:rsidP="00974425">
            <w:pPr>
              <w:ind w:left="16" w:firstLine="0"/>
              <w:rPr>
                <w:rFonts w:cstheme="minorHAnsi"/>
                <w:sz w:val="20"/>
                <w:szCs w:val="20"/>
              </w:rPr>
            </w:pPr>
            <w:r w:rsidRPr="005C579C">
              <w:rPr>
                <w:rFonts w:cstheme="minorHAnsi"/>
                <w:sz w:val="20"/>
                <w:szCs w:val="20"/>
              </w:rPr>
              <w:t>While initiatives such as Tupu Aotearoa, formerly Pacific Employment Support Service, are available to support Pacific youth with connecting to employment or study, this service is not youth-specific and existed at the time of WEAG’s assessment</w:t>
            </w:r>
            <w:r w:rsidR="00476DCC">
              <w:rPr>
                <w:rFonts w:cstheme="minorHAnsi"/>
                <w:sz w:val="20"/>
                <w:szCs w:val="20"/>
              </w:rPr>
              <w:t xml:space="preserve"> (Ministry for Pacific Peoples, n.d.)</w:t>
            </w:r>
            <w:r w:rsidRPr="005C579C">
              <w:rPr>
                <w:rFonts w:cstheme="minorHAnsi"/>
                <w:sz w:val="20"/>
                <w:szCs w:val="20"/>
              </w:rPr>
              <w:t>.</w:t>
            </w:r>
          </w:p>
          <w:p w14:paraId="05680E8C" w14:textId="77777777" w:rsidR="007D5E58" w:rsidRPr="005C579C" w:rsidRDefault="007D5E58" w:rsidP="00974425">
            <w:pPr>
              <w:ind w:left="16" w:firstLine="0"/>
              <w:rPr>
                <w:rFonts w:cstheme="minorHAnsi"/>
                <w:sz w:val="20"/>
                <w:szCs w:val="20"/>
              </w:rPr>
            </w:pPr>
          </w:p>
        </w:tc>
        <w:tc>
          <w:tcPr>
            <w:tcW w:w="1447" w:type="dxa"/>
            <w:shd w:val="clear" w:color="auto" w:fill="DEEAF6" w:themeFill="accent5" w:themeFillTint="33"/>
          </w:tcPr>
          <w:p w14:paraId="0402C7DC" w14:textId="77777777" w:rsidR="007D5E58" w:rsidRPr="005A73F9" w:rsidRDefault="007D5E58" w:rsidP="00974425">
            <w:pPr>
              <w:ind w:left="63" w:firstLine="0"/>
              <w:rPr>
                <w:sz w:val="22"/>
              </w:rPr>
            </w:pPr>
            <w:r w:rsidRPr="005A73F9">
              <w:rPr>
                <w:sz w:val="22"/>
              </w:rPr>
              <w:t>Progress from no evidence to minimal implementation.</w:t>
            </w:r>
          </w:p>
        </w:tc>
      </w:tr>
      <w:tr w:rsidR="007D5E58" w:rsidRPr="005A73F9" w14:paraId="00DCBD55" w14:textId="77777777" w:rsidTr="00974425">
        <w:trPr>
          <w:trHeight w:val="1104"/>
        </w:trPr>
        <w:tc>
          <w:tcPr>
            <w:tcW w:w="14601" w:type="dxa"/>
            <w:gridSpan w:val="6"/>
            <w:shd w:val="clear" w:color="auto" w:fill="E7E6E6" w:themeFill="background2"/>
          </w:tcPr>
          <w:p w14:paraId="700BA341" w14:textId="77777777" w:rsidR="007D5E58" w:rsidRDefault="007D5E58" w:rsidP="00974425">
            <w:pPr>
              <w:ind w:left="32" w:firstLine="0"/>
              <w:jc w:val="center"/>
              <w:rPr>
                <w:b/>
                <w:sz w:val="22"/>
              </w:rPr>
            </w:pPr>
          </w:p>
          <w:p w14:paraId="0982FAD0" w14:textId="77777777" w:rsidR="007D5E58" w:rsidRPr="005A73F9" w:rsidRDefault="007D5E58" w:rsidP="00974425">
            <w:pPr>
              <w:ind w:left="32" w:firstLine="0"/>
              <w:jc w:val="center"/>
              <w:rPr>
                <w:sz w:val="22"/>
              </w:rPr>
            </w:pPr>
            <w:r w:rsidRPr="005A73F9">
              <w:rPr>
                <w:b/>
                <w:sz w:val="22"/>
              </w:rPr>
              <w:t>CREATING A FAIRER DEAL FOR PEOPLE WITH HEALTH CONDITIONS OR DISABILITIES AND CARERS</w:t>
            </w:r>
          </w:p>
        </w:tc>
      </w:tr>
      <w:tr w:rsidR="007D5E58" w:rsidRPr="005C579C" w14:paraId="39525596" w14:textId="77777777" w:rsidTr="00974425">
        <w:trPr>
          <w:trHeight w:val="392"/>
        </w:trPr>
        <w:tc>
          <w:tcPr>
            <w:tcW w:w="1634" w:type="dxa"/>
            <w:vMerge w:val="restart"/>
          </w:tcPr>
          <w:p w14:paraId="2F580919"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Improving income</w:t>
            </w:r>
          </w:p>
          <w:p w14:paraId="5F61C5CB"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support for people in</w:t>
            </w:r>
          </w:p>
          <w:p w14:paraId="44EDED8D"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the welfare system with</w:t>
            </w:r>
          </w:p>
          <w:p w14:paraId="76BF127C"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health conditions or</w:t>
            </w:r>
          </w:p>
          <w:p w14:paraId="1B351E34"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disabilities and carers</w:t>
            </w:r>
          </w:p>
          <w:p w14:paraId="5FD46DCE"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of people with health</w:t>
            </w:r>
          </w:p>
          <w:p w14:paraId="73856B86"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conditions or disabilities</w:t>
            </w:r>
          </w:p>
        </w:tc>
        <w:tc>
          <w:tcPr>
            <w:tcW w:w="3330" w:type="dxa"/>
          </w:tcPr>
          <w:p w14:paraId="607ADEE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For main benefits, consider increasing financial support for people affected by health conditions and disabilities not due to an accident to be equivalent to that provided by the accident compensation scheme. Treat people with similar levels of disability – whether caused by illness or injury – similarly. Link this support to relevant employment support where work is a possibility.</w:t>
            </w:r>
          </w:p>
        </w:tc>
        <w:tc>
          <w:tcPr>
            <w:tcW w:w="1260" w:type="dxa"/>
            <w:vMerge w:val="restart"/>
          </w:tcPr>
          <w:p w14:paraId="64C61B0F" w14:textId="77777777" w:rsidR="007D5E58" w:rsidRPr="005C579C" w:rsidRDefault="007D5E58" w:rsidP="00974425">
            <w:pPr>
              <w:ind w:left="32" w:firstLine="0"/>
              <w:rPr>
                <w:rFonts w:cstheme="minorHAnsi"/>
                <w:sz w:val="20"/>
                <w:szCs w:val="20"/>
              </w:rPr>
            </w:pPr>
            <w:r w:rsidRPr="005C579C">
              <w:rPr>
                <w:rFonts w:cstheme="minorHAnsi"/>
                <w:sz w:val="20"/>
                <w:szCs w:val="20"/>
              </w:rPr>
              <w:t>Key Recs 40 and 41; Ch 10</w:t>
            </w:r>
          </w:p>
        </w:tc>
        <w:tc>
          <w:tcPr>
            <w:tcW w:w="3150" w:type="dxa"/>
            <w:vMerge w:val="restart"/>
          </w:tcPr>
          <w:p w14:paraId="1F08F1CE" w14:textId="77777777" w:rsidR="007D5E58" w:rsidRPr="005C579C" w:rsidRDefault="007D5E58" w:rsidP="00974425">
            <w:pPr>
              <w:ind w:left="48" w:firstLine="0"/>
              <w:rPr>
                <w:rFonts w:cstheme="minorHAnsi"/>
                <w:sz w:val="20"/>
                <w:szCs w:val="20"/>
              </w:rPr>
            </w:pPr>
            <w:r w:rsidRPr="005C579C">
              <w:rPr>
                <w:rFonts w:cstheme="minorHAnsi"/>
                <w:sz w:val="20"/>
                <w:szCs w:val="20"/>
              </w:rPr>
              <w:t>In a 27 September 2021 Cabinet paper, Appendix Three, the Government stated that “Funding for the disability sector was significantly increased in Budget 2020, specifically with the intent of improving access to services and alleviating financial pressure on them. Further work is required.”</w:t>
            </w:r>
          </w:p>
          <w:p w14:paraId="35314022" w14:textId="77777777" w:rsidR="007D5E58" w:rsidRPr="005C579C" w:rsidRDefault="007D5E58" w:rsidP="00974425">
            <w:pPr>
              <w:ind w:left="48" w:firstLine="0"/>
              <w:rPr>
                <w:rFonts w:cstheme="minorHAnsi"/>
                <w:sz w:val="20"/>
                <w:szCs w:val="20"/>
              </w:rPr>
            </w:pPr>
          </w:p>
          <w:p w14:paraId="3D761917" w14:textId="77777777" w:rsidR="007D5E58" w:rsidRPr="005C579C" w:rsidRDefault="007D5E58" w:rsidP="00974425">
            <w:pPr>
              <w:ind w:left="48" w:firstLine="0"/>
              <w:rPr>
                <w:rFonts w:cstheme="minorHAnsi"/>
                <w:sz w:val="20"/>
                <w:szCs w:val="20"/>
              </w:rPr>
            </w:pPr>
            <w:r w:rsidRPr="005C579C">
              <w:rPr>
                <w:rFonts w:cstheme="minorHAnsi"/>
                <w:sz w:val="20"/>
                <w:szCs w:val="20"/>
              </w:rPr>
              <w:t>The Cabinet paper appendix also pointed to the subsequent work capacity medical certificate change to be implemented in January 2022, and more general changes to improve income adequacy that will benefit people with health conditions and disabilities accessing support from the welfare system.</w:t>
            </w:r>
          </w:p>
          <w:p w14:paraId="76AD5ECB" w14:textId="77777777" w:rsidR="007D5E58" w:rsidRPr="005C579C" w:rsidRDefault="007D5E58" w:rsidP="00974425">
            <w:pPr>
              <w:ind w:left="48" w:firstLine="0"/>
              <w:rPr>
                <w:rFonts w:cstheme="minorHAnsi"/>
                <w:sz w:val="20"/>
                <w:szCs w:val="20"/>
              </w:rPr>
            </w:pPr>
          </w:p>
          <w:p w14:paraId="741A90F9" w14:textId="59267A9F" w:rsidR="007D5E58" w:rsidRPr="005C579C" w:rsidRDefault="007D5E58" w:rsidP="00974425">
            <w:pPr>
              <w:ind w:left="48" w:firstLine="0"/>
              <w:rPr>
                <w:rFonts w:cstheme="minorHAnsi"/>
                <w:sz w:val="20"/>
                <w:szCs w:val="20"/>
              </w:rPr>
            </w:pPr>
            <w:r w:rsidRPr="005C579C">
              <w:rPr>
                <w:rFonts w:cstheme="minorHAnsi"/>
                <w:sz w:val="20"/>
                <w:szCs w:val="20"/>
              </w:rPr>
              <w:t>The Cabinet paper appendix also stated that “MSD is reviewing financial support and eligibility settings for current benefit payments for disabled people, people with health conditions and their carers”</w:t>
            </w:r>
            <w:r w:rsidR="00476DCC">
              <w:rPr>
                <w:rFonts w:cstheme="minorHAnsi"/>
                <w:sz w:val="20"/>
                <w:szCs w:val="20"/>
              </w:rPr>
              <w:t xml:space="preserve"> (MSD, 2021d).</w:t>
            </w:r>
          </w:p>
          <w:p w14:paraId="3A388AC8" w14:textId="77777777" w:rsidR="007D5E58" w:rsidRPr="005C579C" w:rsidRDefault="007D5E58" w:rsidP="00974425">
            <w:pPr>
              <w:ind w:left="48" w:firstLine="0"/>
              <w:rPr>
                <w:rFonts w:cstheme="minorHAnsi"/>
                <w:sz w:val="20"/>
                <w:szCs w:val="20"/>
              </w:rPr>
            </w:pPr>
          </w:p>
        </w:tc>
        <w:tc>
          <w:tcPr>
            <w:tcW w:w="3780" w:type="dxa"/>
            <w:shd w:val="clear" w:color="auto" w:fill="FFA5A5"/>
          </w:tcPr>
          <w:p w14:paraId="2630EAE8"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No evidence of implementation. </w:t>
            </w:r>
          </w:p>
        </w:tc>
        <w:tc>
          <w:tcPr>
            <w:tcW w:w="1447" w:type="dxa"/>
            <w:shd w:val="clear" w:color="auto" w:fill="auto"/>
          </w:tcPr>
          <w:p w14:paraId="3DB08E5D"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1EFFE1D6" w14:textId="77777777" w:rsidTr="00974425">
        <w:trPr>
          <w:trHeight w:val="386"/>
        </w:trPr>
        <w:tc>
          <w:tcPr>
            <w:tcW w:w="1634" w:type="dxa"/>
            <w:vMerge/>
          </w:tcPr>
          <w:p w14:paraId="26AA2021" w14:textId="77777777" w:rsidR="007D5E58" w:rsidRPr="005C579C" w:rsidRDefault="007D5E58" w:rsidP="00A53840">
            <w:pPr>
              <w:ind w:left="29" w:firstLine="0"/>
              <w:rPr>
                <w:rFonts w:cstheme="minorHAnsi"/>
                <w:bCs/>
                <w:color w:val="000000"/>
                <w:sz w:val="20"/>
                <w:szCs w:val="20"/>
              </w:rPr>
            </w:pPr>
          </w:p>
        </w:tc>
        <w:tc>
          <w:tcPr>
            <w:tcW w:w="3330" w:type="dxa"/>
          </w:tcPr>
          <w:p w14:paraId="679F542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Introduce time-limited individual entitlement for income and employment support for low-income families suffering from health shocks (see the eligibility section of the detailed income support recommendations, page 118).</w:t>
            </w:r>
          </w:p>
        </w:tc>
        <w:tc>
          <w:tcPr>
            <w:tcW w:w="1260" w:type="dxa"/>
            <w:vMerge/>
          </w:tcPr>
          <w:p w14:paraId="666C1E8D" w14:textId="77777777" w:rsidR="007D5E58" w:rsidRPr="005C579C" w:rsidRDefault="007D5E58" w:rsidP="00974425">
            <w:pPr>
              <w:ind w:left="32" w:firstLine="0"/>
              <w:rPr>
                <w:rFonts w:cstheme="minorHAnsi"/>
                <w:sz w:val="20"/>
                <w:szCs w:val="20"/>
              </w:rPr>
            </w:pPr>
          </w:p>
        </w:tc>
        <w:tc>
          <w:tcPr>
            <w:tcW w:w="3150" w:type="dxa"/>
            <w:vMerge/>
          </w:tcPr>
          <w:p w14:paraId="5CDD04E0" w14:textId="77777777" w:rsidR="007D5E58" w:rsidRPr="005C579C" w:rsidRDefault="007D5E58" w:rsidP="00974425">
            <w:pPr>
              <w:ind w:left="48" w:firstLine="0"/>
              <w:rPr>
                <w:rFonts w:cstheme="minorHAnsi"/>
                <w:sz w:val="20"/>
                <w:szCs w:val="20"/>
              </w:rPr>
            </w:pPr>
          </w:p>
        </w:tc>
        <w:tc>
          <w:tcPr>
            <w:tcW w:w="3780" w:type="dxa"/>
            <w:shd w:val="clear" w:color="auto" w:fill="FFA5A5"/>
          </w:tcPr>
          <w:p w14:paraId="2610F6A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73D3CA2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56677BCB" w14:textId="77777777" w:rsidTr="00974425">
        <w:trPr>
          <w:trHeight w:val="386"/>
        </w:trPr>
        <w:tc>
          <w:tcPr>
            <w:tcW w:w="1634" w:type="dxa"/>
            <w:vMerge/>
          </w:tcPr>
          <w:p w14:paraId="59879F4A" w14:textId="77777777" w:rsidR="007D5E58" w:rsidRPr="005C579C" w:rsidRDefault="007D5E58" w:rsidP="00A53840">
            <w:pPr>
              <w:ind w:left="29" w:firstLine="0"/>
              <w:rPr>
                <w:rFonts w:cstheme="minorHAnsi"/>
                <w:bCs/>
                <w:color w:val="000000"/>
                <w:sz w:val="20"/>
                <w:szCs w:val="20"/>
              </w:rPr>
            </w:pPr>
          </w:p>
        </w:tc>
        <w:tc>
          <w:tcPr>
            <w:tcW w:w="3330" w:type="dxa"/>
          </w:tcPr>
          <w:p w14:paraId="42F6BDD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Consider transferring to New Zealand Superannuation people on Supported Living Payment who are so unwell or disabled that there is no foreseeable chance they will come off the benefit during their life.</w:t>
            </w:r>
          </w:p>
        </w:tc>
        <w:tc>
          <w:tcPr>
            <w:tcW w:w="1260" w:type="dxa"/>
            <w:vMerge/>
          </w:tcPr>
          <w:p w14:paraId="0EDDA06C" w14:textId="77777777" w:rsidR="007D5E58" w:rsidRPr="005C579C" w:rsidRDefault="007D5E58" w:rsidP="00974425">
            <w:pPr>
              <w:ind w:left="32" w:firstLine="0"/>
              <w:rPr>
                <w:rFonts w:cstheme="minorHAnsi"/>
                <w:sz w:val="20"/>
                <w:szCs w:val="20"/>
              </w:rPr>
            </w:pPr>
          </w:p>
        </w:tc>
        <w:tc>
          <w:tcPr>
            <w:tcW w:w="3150" w:type="dxa"/>
            <w:vMerge/>
          </w:tcPr>
          <w:p w14:paraId="6760155D" w14:textId="77777777" w:rsidR="007D5E58" w:rsidRPr="005C579C" w:rsidRDefault="007D5E58" w:rsidP="00974425">
            <w:pPr>
              <w:ind w:left="48" w:firstLine="0"/>
              <w:rPr>
                <w:rFonts w:cstheme="minorHAnsi"/>
                <w:sz w:val="20"/>
                <w:szCs w:val="20"/>
              </w:rPr>
            </w:pPr>
          </w:p>
        </w:tc>
        <w:tc>
          <w:tcPr>
            <w:tcW w:w="3780" w:type="dxa"/>
            <w:shd w:val="clear" w:color="auto" w:fill="FFA5A5"/>
          </w:tcPr>
          <w:p w14:paraId="6C209196"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387E0A8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40FE7FC0" w14:textId="77777777" w:rsidTr="00974425">
        <w:trPr>
          <w:trHeight w:val="386"/>
        </w:trPr>
        <w:tc>
          <w:tcPr>
            <w:tcW w:w="1634" w:type="dxa"/>
            <w:vMerge/>
          </w:tcPr>
          <w:p w14:paraId="5B04F9E7" w14:textId="77777777" w:rsidR="007D5E58" w:rsidRPr="005C579C" w:rsidRDefault="007D5E58" w:rsidP="00A53840">
            <w:pPr>
              <w:ind w:left="29" w:firstLine="0"/>
              <w:rPr>
                <w:rFonts w:cstheme="minorHAnsi"/>
                <w:bCs/>
                <w:color w:val="000000"/>
                <w:sz w:val="20"/>
                <w:szCs w:val="20"/>
              </w:rPr>
            </w:pPr>
          </w:p>
        </w:tc>
        <w:tc>
          <w:tcPr>
            <w:tcW w:w="3330" w:type="dxa"/>
          </w:tcPr>
          <w:p w14:paraId="68F406FB"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Align the abatement rate of non-blind disabled people receiving Supported Living Payment with that of the blind, to address the current inequity.</w:t>
            </w:r>
          </w:p>
        </w:tc>
        <w:tc>
          <w:tcPr>
            <w:tcW w:w="1260" w:type="dxa"/>
            <w:vMerge/>
          </w:tcPr>
          <w:p w14:paraId="74BCB2E2" w14:textId="77777777" w:rsidR="007D5E58" w:rsidRPr="005C579C" w:rsidRDefault="007D5E58" w:rsidP="00974425">
            <w:pPr>
              <w:ind w:left="32" w:firstLine="0"/>
              <w:rPr>
                <w:rFonts w:cstheme="minorHAnsi"/>
                <w:sz w:val="20"/>
                <w:szCs w:val="20"/>
              </w:rPr>
            </w:pPr>
          </w:p>
        </w:tc>
        <w:tc>
          <w:tcPr>
            <w:tcW w:w="3150" w:type="dxa"/>
            <w:vMerge/>
          </w:tcPr>
          <w:p w14:paraId="062770EE" w14:textId="77777777" w:rsidR="007D5E58" w:rsidRPr="005C579C" w:rsidRDefault="007D5E58" w:rsidP="00974425">
            <w:pPr>
              <w:ind w:left="48" w:firstLine="0"/>
              <w:rPr>
                <w:rFonts w:cstheme="minorHAnsi"/>
                <w:sz w:val="20"/>
                <w:szCs w:val="20"/>
              </w:rPr>
            </w:pPr>
          </w:p>
        </w:tc>
        <w:tc>
          <w:tcPr>
            <w:tcW w:w="3780" w:type="dxa"/>
            <w:shd w:val="clear" w:color="auto" w:fill="FFA5A5"/>
          </w:tcPr>
          <w:p w14:paraId="3224126F"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CE3FA1A"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D7466C1" w14:textId="77777777" w:rsidTr="00974425">
        <w:trPr>
          <w:trHeight w:val="386"/>
        </w:trPr>
        <w:tc>
          <w:tcPr>
            <w:tcW w:w="1634" w:type="dxa"/>
            <w:vMerge/>
          </w:tcPr>
          <w:p w14:paraId="7E77CD73" w14:textId="77777777" w:rsidR="007D5E58" w:rsidRPr="005C579C" w:rsidRDefault="007D5E58" w:rsidP="00A53840">
            <w:pPr>
              <w:ind w:left="29" w:firstLine="0"/>
              <w:rPr>
                <w:rFonts w:cstheme="minorHAnsi"/>
                <w:bCs/>
                <w:color w:val="000000"/>
                <w:sz w:val="20"/>
                <w:szCs w:val="20"/>
              </w:rPr>
            </w:pPr>
          </w:p>
        </w:tc>
        <w:tc>
          <w:tcPr>
            <w:tcW w:w="3330" w:type="dxa"/>
          </w:tcPr>
          <w:p w14:paraId="5511B9C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Redesign supplementary assistance for people with health conditions or disabilities, so it is easier to access and more accurately covers the costs of having the health condition or disability.</w:t>
            </w:r>
          </w:p>
        </w:tc>
        <w:tc>
          <w:tcPr>
            <w:tcW w:w="1260" w:type="dxa"/>
            <w:vMerge/>
          </w:tcPr>
          <w:p w14:paraId="2410CAA8" w14:textId="77777777" w:rsidR="007D5E58" w:rsidRPr="005C579C" w:rsidRDefault="007D5E58" w:rsidP="00974425">
            <w:pPr>
              <w:ind w:left="32" w:firstLine="0"/>
              <w:rPr>
                <w:rFonts w:cstheme="minorHAnsi"/>
                <w:sz w:val="20"/>
                <w:szCs w:val="20"/>
              </w:rPr>
            </w:pPr>
          </w:p>
        </w:tc>
        <w:tc>
          <w:tcPr>
            <w:tcW w:w="3150" w:type="dxa"/>
            <w:vMerge/>
          </w:tcPr>
          <w:p w14:paraId="333B4DD3" w14:textId="77777777" w:rsidR="007D5E58" w:rsidRPr="005C579C" w:rsidRDefault="007D5E58" w:rsidP="00974425">
            <w:pPr>
              <w:ind w:left="48" w:firstLine="0"/>
              <w:rPr>
                <w:rFonts w:cstheme="minorHAnsi"/>
                <w:sz w:val="20"/>
                <w:szCs w:val="20"/>
              </w:rPr>
            </w:pPr>
          </w:p>
        </w:tc>
        <w:tc>
          <w:tcPr>
            <w:tcW w:w="3780" w:type="dxa"/>
            <w:shd w:val="clear" w:color="auto" w:fill="FFA5A5"/>
          </w:tcPr>
          <w:p w14:paraId="05255360"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3FC3470"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41F9D544" w14:textId="77777777" w:rsidTr="00974425">
        <w:trPr>
          <w:trHeight w:val="386"/>
        </w:trPr>
        <w:tc>
          <w:tcPr>
            <w:tcW w:w="1634" w:type="dxa"/>
            <w:vMerge/>
          </w:tcPr>
          <w:p w14:paraId="7596F18C" w14:textId="77777777" w:rsidR="007D5E58" w:rsidRPr="005C579C" w:rsidRDefault="007D5E58" w:rsidP="00A53840">
            <w:pPr>
              <w:ind w:left="29" w:firstLine="0"/>
              <w:rPr>
                <w:rFonts w:cstheme="minorHAnsi"/>
                <w:bCs/>
                <w:color w:val="000000"/>
                <w:sz w:val="20"/>
                <w:szCs w:val="20"/>
              </w:rPr>
            </w:pPr>
          </w:p>
        </w:tc>
        <w:tc>
          <w:tcPr>
            <w:tcW w:w="3330" w:type="dxa"/>
          </w:tcPr>
          <w:p w14:paraId="3ABD766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the level of income support provided by Disability Allowance with three rates (low, medium and high) related to the degree of burden of disability or care needed.</w:t>
            </w:r>
          </w:p>
        </w:tc>
        <w:tc>
          <w:tcPr>
            <w:tcW w:w="1260" w:type="dxa"/>
            <w:vMerge/>
          </w:tcPr>
          <w:p w14:paraId="11733E15" w14:textId="77777777" w:rsidR="007D5E58" w:rsidRPr="005C579C" w:rsidRDefault="007D5E58" w:rsidP="00974425">
            <w:pPr>
              <w:ind w:left="32" w:firstLine="0"/>
              <w:rPr>
                <w:rFonts w:cstheme="minorHAnsi"/>
                <w:sz w:val="20"/>
                <w:szCs w:val="20"/>
              </w:rPr>
            </w:pPr>
          </w:p>
        </w:tc>
        <w:tc>
          <w:tcPr>
            <w:tcW w:w="3150" w:type="dxa"/>
            <w:vMerge/>
          </w:tcPr>
          <w:p w14:paraId="0D21731D" w14:textId="77777777" w:rsidR="007D5E58" w:rsidRPr="005C579C" w:rsidRDefault="007D5E58" w:rsidP="00974425">
            <w:pPr>
              <w:ind w:left="48" w:firstLine="0"/>
              <w:rPr>
                <w:rFonts w:cstheme="minorHAnsi"/>
                <w:sz w:val="20"/>
                <w:szCs w:val="20"/>
              </w:rPr>
            </w:pPr>
          </w:p>
        </w:tc>
        <w:tc>
          <w:tcPr>
            <w:tcW w:w="3780" w:type="dxa"/>
            <w:shd w:val="clear" w:color="auto" w:fill="FFA5A5"/>
          </w:tcPr>
          <w:p w14:paraId="5749DDF3"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7D498E1"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074772F8" w14:textId="77777777" w:rsidTr="00974425">
        <w:trPr>
          <w:trHeight w:val="386"/>
        </w:trPr>
        <w:tc>
          <w:tcPr>
            <w:tcW w:w="1634" w:type="dxa"/>
            <w:vMerge/>
          </w:tcPr>
          <w:p w14:paraId="28777044" w14:textId="77777777" w:rsidR="007D5E58" w:rsidRPr="005C579C" w:rsidRDefault="007D5E58" w:rsidP="00A53840">
            <w:pPr>
              <w:ind w:left="29" w:firstLine="0"/>
              <w:rPr>
                <w:rFonts w:cstheme="minorHAnsi"/>
                <w:bCs/>
                <w:color w:val="000000"/>
                <w:sz w:val="20"/>
                <w:szCs w:val="20"/>
              </w:rPr>
            </w:pPr>
          </w:p>
        </w:tc>
        <w:tc>
          <w:tcPr>
            <w:tcW w:w="3330" w:type="dxa"/>
          </w:tcPr>
          <w:p w14:paraId="091A9D06"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Increase the level of income support provided by Child Disability Allowance, and introduce three rates (low, medium and high) related to the degree of burden of disability or care needed.</w:t>
            </w:r>
          </w:p>
          <w:p w14:paraId="5D06AB1F" w14:textId="77777777" w:rsidR="007D5E58" w:rsidRPr="005C579C" w:rsidRDefault="007D5E58" w:rsidP="00974425">
            <w:pPr>
              <w:ind w:left="96" w:firstLine="0"/>
              <w:rPr>
                <w:rFonts w:cstheme="minorHAnsi"/>
                <w:sz w:val="20"/>
                <w:szCs w:val="20"/>
              </w:rPr>
            </w:pPr>
          </w:p>
        </w:tc>
        <w:tc>
          <w:tcPr>
            <w:tcW w:w="1260" w:type="dxa"/>
            <w:vMerge/>
          </w:tcPr>
          <w:p w14:paraId="63DFAA16" w14:textId="77777777" w:rsidR="007D5E58" w:rsidRPr="005C579C" w:rsidRDefault="007D5E58" w:rsidP="00974425">
            <w:pPr>
              <w:ind w:left="32" w:firstLine="0"/>
              <w:rPr>
                <w:rFonts w:cstheme="minorHAnsi"/>
                <w:sz w:val="20"/>
                <w:szCs w:val="20"/>
              </w:rPr>
            </w:pPr>
          </w:p>
        </w:tc>
        <w:tc>
          <w:tcPr>
            <w:tcW w:w="3150" w:type="dxa"/>
            <w:vMerge/>
          </w:tcPr>
          <w:p w14:paraId="168D086E" w14:textId="77777777" w:rsidR="007D5E58" w:rsidRPr="005C579C" w:rsidRDefault="007D5E58" w:rsidP="00974425">
            <w:pPr>
              <w:ind w:left="48" w:firstLine="0"/>
              <w:rPr>
                <w:rFonts w:cstheme="minorHAnsi"/>
                <w:sz w:val="20"/>
                <w:szCs w:val="20"/>
              </w:rPr>
            </w:pPr>
          </w:p>
        </w:tc>
        <w:tc>
          <w:tcPr>
            <w:tcW w:w="3780" w:type="dxa"/>
            <w:shd w:val="clear" w:color="auto" w:fill="FFA5A5"/>
          </w:tcPr>
          <w:p w14:paraId="3B890FC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42FC28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6235CDDF" w14:textId="77777777" w:rsidTr="00974425">
        <w:trPr>
          <w:trHeight w:val="386"/>
        </w:trPr>
        <w:tc>
          <w:tcPr>
            <w:tcW w:w="1634" w:type="dxa"/>
            <w:vMerge/>
          </w:tcPr>
          <w:p w14:paraId="5B123C1B" w14:textId="77777777" w:rsidR="007D5E58" w:rsidRPr="005C579C" w:rsidRDefault="007D5E58" w:rsidP="00A53840">
            <w:pPr>
              <w:ind w:left="29" w:firstLine="0"/>
              <w:rPr>
                <w:rFonts w:cstheme="minorHAnsi"/>
                <w:bCs/>
                <w:color w:val="000000"/>
                <w:sz w:val="20"/>
                <w:szCs w:val="20"/>
              </w:rPr>
            </w:pPr>
          </w:p>
        </w:tc>
        <w:tc>
          <w:tcPr>
            <w:tcW w:w="3330" w:type="dxa"/>
          </w:tcPr>
          <w:p w14:paraId="6598B17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Direct the Ministry of Social Development and Ministry of Health to clarify where responsibility for covering the cost to individuals of health conditions and disabilities should lie and make this transparent, known to the public, and accessible.</w:t>
            </w:r>
          </w:p>
        </w:tc>
        <w:tc>
          <w:tcPr>
            <w:tcW w:w="1260" w:type="dxa"/>
            <w:vMerge/>
          </w:tcPr>
          <w:p w14:paraId="2DDE3F3D" w14:textId="77777777" w:rsidR="007D5E58" w:rsidRPr="005C579C" w:rsidRDefault="007D5E58" w:rsidP="00974425">
            <w:pPr>
              <w:ind w:left="32" w:firstLine="0"/>
              <w:rPr>
                <w:rFonts w:cstheme="minorHAnsi"/>
                <w:sz w:val="20"/>
                <w:szCs w:val="20"/>
              </w:rPr>
            </w:pPr>
          </w:p>
        </w:tc>
        <w:tc>
          <w:tcPr>
            <w:tcW w:w="3150" w:type="dxa"/>
            <w:vMerge/>
          </w:tcPr>
          <w:p w14:paraId="422CC26E" w14:textId="77777777" w:rsidR="007D5E58" w:rsidRPr="005C579C" w:rsidRDefault="007D5E58" w:rsidP="00974425">
            <w:pPr>
              <w:ind w:left="48" w:firstLine="0"/>
              <w:rPr>
                <w:rFonts w:cstheme="minorHAnsi"/>
                <w:sz w:val="20"/>
                <w:szCs w:val="20"/>
              </w:rPr>
            </w:pPr>
          </w:p>
        </w:tc>
        <w:tc>
          <w:tcPr>
            <w:tcW w:w="3780" w:type="dxa"/>
            <w:shd w:val="clear" w:color="auto" w:fill="FFA5A5"/>
          </w:tcPr>
          <w:p w14:paraId="4A2BC370"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0BF5727D"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109E1BA" w14:textId="77777777" w:rsidTr="00974425">
        <w:trPr>
          <w:trHeight w:val="386"/>
        </w:trPr>
        <w:tc>
          <w:tcPr>
            <w:tcW w:w="1634" w:type="dxa"/>
            <w:vMerge/>
          </w:tcPr>
          <w:p w14:paraId="4527C126" w14:textId="77777777" w:rsidR="007D5E58" w:rsidRPr="005C579C" w:rsidRDefault="007D5E58" w:rsidP="00A53840">
            <w:pPr>
              <w:ind w:left="29" w:firstLine="0"/>
              <w:rPr>
                <w:rFonts w:cstheme="minorHAnsi"/>
                <w:bCs/>
                <w:color w:val="000000"/>
                <w:sz w:val="20"/>
                <w:szCs w:val="20"/>
              </w:rPr>
            </w:pPr>
          </w:p>
        </w:tc>
        <w:tc>
          <w:tcPr>
            <w:tcW w:w="3330" w:type="dxa"/>
          </w:tcPr>
          <w:p w14:paraId="2129A02E"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Include in the New Zealand Health and Disability System Review how cost and other barriers can be reduced so people on low incomes can access primary care, dental care, alcohol and other drug services, mental healthcare, secondary care, and vision and hearing services.</w:t>
            </w:r>
          </w:p>
        </w:tc>
        <w:tc>
          <w:tcPr>
            <w:tcW w:w="1260" w:type="dxa"/>
            <w:vMerge/>
          </w:tcPr>
          <w:p w14:paraId="54F2C23A" w14:textId="77777777" w:rsidR="007D5E58" w:rsidRPr="005C579C" w:rsidRDefault="007D5E58" w:rsidP="00974425">
            <w:pPr>
              <w:ind w:left="32" w:firstLine="0"/>
              <w:rPr>
                <w:rFonts w:cstheme="minorHAnsi"/>
                <w:sz w:val="20"/>
                <w:szCs w:val="20"/>
              </w:rPr>
            </w:pPr>
          </w:p>
        </w:tc>
        <w:tc>
          <w:tcPr>
            <w:tcW w:w="3150" w:type="dxa"/>
            <w:vMerge/>
          </w:tcPr>
          <w:p w14:paraId="001209C9" w14:textId="77777777" w:rsidR="007D5E58" w:rsidRPr="005C579C" w:rsidRDefault="007D5E58" w:rsidP="00974425">
            <w:pPr>
              <w:ind w:left="48" w:firstLine="0"/>
              <w:rPr>
                <w:rFonts w:cstheme="minorHAnsi"/>
                <w:sz w:val="20"/>
                <w:szCs w:val="20"/>
              </w:rPr>
            </w:pPr>
          </w:p>
        </w:tc>
        <w:tc>
          <w:tcPr>
            <w:tcW w:w="3780" w:type="dxa"/>
            <w:shd w:val="clear" w:color="auto" w:fill="FC9C9C"/>
          </w:tcPr>
          <w:p w14:paraId="4F0E07E9"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No evidence of implementation. </w:t>
            </w:r>
          </w:p>
          <w:p w14:paraId="68524FB5" w14:textId="77777777" w:rsidR="007D5E58" w:rsidRPr="005C579C" w:rsidRDefault="007D5E58" w:rsidP="00974425">
            <w:pPr>
              <w:ind w:left="16" w:firstLine="0"/>
              <w:rPr>
                <w:rFonts w:cstheme="minorHAnsi"/>
                <w:sz w:val="20"/>
                <w:szCs w:val="20"/>
              </w:rPr>
            </w:pPr>
          </w:p>
          <w:p w14:paraId="38C8C6F8" w14:textId="77777777" w:rsidR="007D5E58" w:rsidRPr="005C579C" w:rsidRDefault="007D5E58" w:rsidP="00974425">
            <w:pPr>
              <w:ind w:left="16" w:firstLine="0"/>
              <w:rPr>
                <w:rFonts w:cstheme="minorHAnsi"/>
                <w:sz w:val="20"/>
                <w:szCs w:val="20"/>
              </w:rPr>
            </w:pPr>
            <w:r w:rsidRPr="005C579C">
              <w:rPr>
                <w:rFonts w:cstheme="minorHAnsi"/>
                <w:sz w:val="20"/>
                <w:szCs w:val="20"/>
              </w:rPr>
              <w:t>Costs were discussed in the Review but no in-depth discussion of how these cost-related barriers can be reduced.</w:t>
            </w:r>
          </w:p>
        </w:tc>
        <w:tc>
          <w:tcPr>
            <w:tcW w:w="1447" w:type="dxa"/>
            <w:shd w:val="clear" w:color="auto" w:fill="auto"/>
          </w:tcPr>
          <w:p w14:paraId="0985E75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17EEA2A6" w14:textId="77777777" w:rsidTr="00974425">
        <w:trPr>
          <w:trHeight w:val="386"/>
        </w:trPr>
        <w:tc>
          <w:tcPr>
            <w:tcW w:w="1634" w:type="dxa"/>
            <w:vMerge/>
          </w:tcPr>
          <w:p w14:paraId="2325A1F2" w14:textId="77777777" w:rsidR="007D5E58" w:rsidRPr="005C579C" w:rsidRDefault="007D5E58" w:rsidP="00A53840">
            <w:pPr>
              <w:ind w:left="29" w:firstLine="0"/>
              <w:rPr>
                <w:rFonts w:cstheme="minorHAnsi"/>
                <w:bCs/>
                <w:color w:val="000000"/>
                <w:sz w:val="20"/>
                <w:szCs w:val="20"/>
              </w:rPr>
            </w:pPr>
          </w:p>
        </w:tc>
        <w:tc>
          <w:tcPr>
            <w:tcW w:w="3330" w:type="dxa"/>
          </w:tcPr>
          <w:p w14:paraId="75C280A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De-couple Supported Living Payment Carer from Supported Living Payment, and create a carers benefit that continues to be paid at the same rate as Supported Living Payment. This allows more flexibility in the provision of non-financial support.</w:t>
            </w:r>
          </w:p>
        </w:tc>
        <w:tc>
          <w:tcPr>
            <w:tcW w:w="1260" w:type="dxa"/>
            <w:vMerge/>
          </w:tcPr>
          <w:p w14:paraId="41CF5CCA" w14:textId="77777777" w:rsidR="007D5E58" w:rsidRPr="005C579C" w:rsidRDefault="007D5E58" w:rsidP="00974425">
            <w:pPr>
              <w:ind w:left="32" w:firstLine="0"/>
              <w:rPr>
                <w:rFonts w:cstheme="minorHAnsi"/>
                <w:sz w:val="20"/>
                <w:szCs w:val="20"/>
              </w:rPr>
            </w:pPr>
          </w:p>
        </w:tc>
        <w:tc>
          <w:tcPr>
            <w:tcW w:w="3150" w:type="dxa"/>
            <w:vMerge/>
          </w:tcPr>
          <w:p w14:paraId="4B27999C" w14:textId="77777777" w:rsidR="007D5E58" w:rsidRPr="005C579C" w:rsidRDefault="007D5E58" w:rsidP="00974425">
            <w:pPr>
              <w:ind w:left="48" w:firstLine="0"/>
              <w:rPr>
                <w:rFonts w:cstheme="minorHAnsi"/>
                <w:sz w:val="20"/>
                <w:szCs w:val="20"/>
              </w:rPr>
            </w:pPr>
          </w:p>
        </w:tc>
        <w:tc>
          <w:tcPr>
            <w:tcW w:w="3780" w:type="dxa"/>
            <w:shd w:val="clear" w:color="auto" w:fill="FFA5A5"/>
          </w:tcPr>
          <w:p w14:paraId="493CC28C"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3B005CA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085D4166" w14:textId="77777777" w:rsidTr="00974425">
        <w:trPr>
          <w:trHeight w:val="386"/>
        </w:trPr>
        <w:tc>
          <w:tcPr>
            <w:tcW w:w="1634" w:type="dxa"/>
            <w:vMerge/>
          </w:tcPr>
          <w:p w14:paraId="38E26E15" w14:textId="77777777" w:rsidR="007D5E58" w:rsidRPr="005C579C" w:rsidRDefault="007D5E58" w:rsidP="00A53840">
            <w:pPr>
              <w:ind w:left="29" w:firstLine="0"/>
              <w:rPr>
                <w:rFonts w:cstheme="minorHAnsi"/>
                <w:bCs/>
                <w:color w:val="000000"/>
                <w:sz w:val="20"/>
                <w:szCs w:val="20"/>
              </w:rPr>
            </w:pPr>
          </w:p>
        </w:tc>
        <w:tc>
          <w:tcPr>
            <w:tcW w:w="3330" w:type="dxa"/>
          </w:tcPr>
          <w:p w14:paraId="61A5E2CF"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Introduce an annual carers payment to help meet the additional costs associated with care.</w:t>
            </w:r>
          </w:p>
        </w:tc>
        <w:tc>
          <w:tcPr>
            <w:tcW w:w="1260" w:type="dxa"/>
            <w:vMerge/>
          </w:tcPr>
          <w:p w14:paraId="33FB0E78" w14:textId="77777777" w:rsidR="007D5E58" w:rsidRPr="005C579C" w:rsidRDefault="007D5E58" w:rsidP="00974425">
            <w:pPr>
              <w:ind w:left="32" w:firstLine="0"/>
              <w:rPr>
                <w:rFonts w:cstheme="minorHAnsi"/>
                <w:sz w:val="20"/>
                <w:szCs w:val="20"/>
              </w:rPr>
            </w:pPr>
          </w:p>
        </w:tc>
        <w:tc>
          <w:tcPr>
            <w:tcW w:w="3150" w:type="dxa"/>
            <w:vMerge/>
          </w:tcPr>
          <w:p w14:paraId="4166E151" w14:textId="77777777" w:rsidR="007D5E58" w:rsidRPr="005C579C" w:rsidRDefault="007D5E58" w:rsidP="00974425">
            <w:pPr>
              <w:ind w:left="48" w:firstLine="0"/>
              <w:rPr>
                <w:rFonts w:cstheme="minorHAnsi"/>
                <w:sz w:val="20"/>
                <w:szCs w:val="20"/>
              </w:rPr>
            </w:pPr>
          </w:p>
        </w:tc>
        <w:tc>
          <w:tcPr>
            <w:tcW w:w="3780" w:type="dxa"/>
            <w:shd w:val="clear" w:color="auto" w:fill="FFA5A5"/>
          </w:tcPr>
          <w:p w14:paraId="22DEC475"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572382C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5EC91FE7" w14:textId="77777777" w:rsidTr="00974425">
        <w:trPr>
          <w:trHeight w:val="764"/>
        </w:trPr>
        <w:tc>
          <w:tcPr>
            <w:tcW w:w="1634" w:type="dxa"/>
            <w:vMerge w:val="restart"/>
          </w:tcPr>
          <w:p w14:paraId="7CA29A80" w14:textId="77777777" w:rsidR="007D5E58" w:rsidRPr="005C579C" w:rsidRDefault="007D5E58" w:rsidP="00A53840">
            <w:pPr>
              <w:pStyle w:val="Pa3"/>
              <w:spacing w:after="160"/>
              <w:ind w:left="29" w:firstLine="0"/>
              <w:rPr>
                <w:rFonts w:asciiTheme="minorHAnsi" w:hAnsiTheme="minorHAnsi" w:cstheme="minorHAnsi"/>
                <w:color w:val="000000"/>
                <w:sz w:val="20"/>
                <w:szCs w:val="20"/>
              </w:rPr>
            </w:pPr>
            <w:r w:rsidRPr="005C579C">
              <w:rPr>
                <w:rFonts w:asciiTheme="minorHAnsi" w:hAnsiTheme="minorHAnsi" w:cstheme="minorHAnsi"/>
                <w:bCs/>
                <w:color w:val="000000"/>
                <w:sz w:val="20"/>
                <w:szCs w:val="20"/>
              </w:rPr>
              <w:t xml:space="preserve">Implementing in the welfare system a comprehensive approach to support the suitable employment of people with health conditions and disabilities and carers of people with health conditions and disabilities  </w:t>
            </w:r>
          </w:p>
        </w:tc>
        <w:tc>
          <w:tcPr>
            <w:tcW w:w="3330" w:type="dxa"/>
          </w:tcPr>
          <w:p w14:paraId="050E2667"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Support the suitable employment of people with health conditions and disabilities, and carers, through early intervention with the right level of support</w:t>
            </w:r>
          </w:p>
        </w:tc>
        <w:tc>
          <w:tcPr>
            <w:tcW w:w="1260" w:type="dxa"/>
            <w:vMerge w:val="restart"/>
          </w:tcPr>
          <w:p w14:paraId="0AE3E150" w14:textId="77777777" w:rsidR="007D5E58" w:rsidRPr="005C579C" w:rsidRDefault="007D5E58" w:rsidP="00974425">
            <w:pPr>
              <w:ind w:left="32" w:firstLine="0"/>
              <w:rPr>
                <w:rFonts w:cstheme="minorHAnsi"/>
                <w:sz w:val="20"/>
                <w:szCs w:val="20"/>
              </w:rPr>
            </w:pPr>
            <w:r w:rsidRPr="005C579C">
              <w:rPr>
                <w:rFonts w:cstheme="minorHAnsi"/>
                <w:sz w:val="20"/>
                <w:szCs w:val="20"/>
              </w:rPr>
              <w:t>Key Recs 40 and 41; Ch10</w:t>
            </w:r>
          </w:p>
        </w:tc>
        <w:tc>
          <w:tcPr>
            <w:tcW w:w="3150" w:type="dxa"/>
            <w:vMerge w:val="restart"/>
          </w:tcPr>
          <w:p w14:paraId="63476DC3" w14:textId="1C27263E" w:rsidR="007D5E58" w:rsidRPr="005C579C" w:rsidRDefault="007D5E58" w:rsidP="00974425">
            <w:pPr>
              <w:ind w:left="48" w:firstLine="0"/>
              <w:rPr>
                <w:rFonts w:cstheme="minorHAnsi"/>
                <w:sz w:val="20"/>
                <w:szCs w:val="20"/>
              </w:rPr>
            </w:pPr>
            <w:r w:rsidRPr="005C579C">
              <w:rPr>
                <w:rFonts w:cstheme="minorHAnsi"/>
                <w:sz w:val="20"/>
                <w:szCs w:val="20"/>
              </w:rPr>
              <w:t>A 27 September 2021 Cabinet paper, Appendix Three, pointed to Budget 2019 funding to support disabled people and people with health conditions into employment through Oranga Mahi, disability Employment Services and Support Funds</w:t>
            </w:r>
            <w:r w:rsidR="00476DCC">
              <w:rPr>
                <w:rFonts w:cstheme="minorHAnsi"/>
                <w:sz w:val="20"/>
                <w:szCs w:val="20"/>
              </w:rPr>
              <w:t xml:space="preserve"> (MSD, 2021d)</w:t>
            </w:r>
            <w:r w:rsidRPr="005C579C">
              <w:rPr>
                <w:rFonts w:cstheme="minorHAnsi"/>
                <w:sz w:val="20"/>
                <w:szCs w:val="20"/>
              </w:rPr>
              <w:t xml:space="preserve">. It also reiterated that clients with health conditions and disabilities will benefit from the generic funding provided to MSD employment supports and services. </w:t>
            </w:r>
          </w:p>
        </w:tc>
        <w:tc>
          <w:tcPr>
            <w:tcW w:w="3780" w:type="dxa"/>
            <w:shd w:val="clear" w:color="auto" w:fill="FFA5A5"/>
          </w:tcPr>
          <w:p w14:paraId="464AB86B"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3B91ADE6"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D216A45" w14:textId="77777777" w:rsidTr="00974425">
        <w:trPr>
          <w:trHeight w:val="762"/>
        </w:trPr>
        <w:tc>
          <w:tcPr>
            <w:tcW w:w="1634" w:type="dxa"/>
            <w:vMerge/>
          </w:tcPr>
          <w:p w14:paraId="64D9C878" w14:textId="77777777" w:rsidR="007D5E58" w:rsidRPr="005C579C" w:rsidRDefault="007D5E58" w:rsidP="00A53840">
            <w:pPr>
              <w:pStyle w:val="Pa3"/>
              <w:spacing w:after="160"/>
              <w:ind w:left="29" w:firstLine="0"/>
              <w:rPr>
                <w:rFonts w:asciiTheme="minorHAnsi" w:hAnsiTheme="minorHAnsi" w:cstheme="minorHAnsi"/>
                <w:bCs/>
                <w:color w:val="000000"/>
                <w:sz w:val="20"/>
                <w:szCs w:val="20"/>
              </w:rPr>
            </w:pPr>
          </w:p>
        </w:tc>
        <w:tc>
          <w:tcPr>
            <w:tcW w:w="3330" w:type="dxa"/>
          </w:tcPr>
          <w:p w14:paraId="11EC7E7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Support the suitable employment of people with health conditions and disabilities, and carers, through support for part-time work</w:t>
            </w:r>
          </w:p>
        </w:tc>
        <w:tc>
          <w:tcPr>
            <w:tcW w:w="1260" w:type="dxa"/>
            <w:vMerge/>
          </w:tcPr>
          <w:p w14:paraId="38BD1B30" w14:textId="77777777" w:rsidR="007D5E58" w:rsidRPr="005C579C" w:rsidRDefault="007D5E58" w:rsidP="00974425">
            <w:pPr>
              <w:ind w:left="32" w:firstLine="0"/>
              <w:rPr>
                <w:rFonts w:cstheme="minorHAnsi"/>
                <w:sz w:val="20"/>
                <w:szCs w:val="20"/>
              </w:rPr>
            </w:pPr>
          </w:p>
        </w:tc>
        <w:tc>
          <w:tcPr>
            <w:tcW w:w="3150" w:type="dxa"/>
            <w:vMerge/>
          </w:tcPr>
          <w:p w14:paraId="49C8C67F" w14:textId="77777777" w:rsidR="007D5E58" w:rsidRPr="005C579C" w:rsidRDefault="007D5E58" w:rsidP="00974425">
            <w:pPr>
              <w:ind w:left="48" w:firstLine="0"/>
              <w:rPr>
                <w:rFonts w:cstheme="minorHAnsi"/>
                <w:sz w:val="20"/>
                <w:szCs w:val="20"/>
              </w:rPr>
            </w:pPr>
          </w:p>
        </w:tc>
        <w:tc>
          <w:tcPr>
            <w:tcW w:w="3780" w:type="dxa"/>
            <w:shd w:val="clear" w:color="auto" w:fill="F7CAAC" w:themeFill="accent2" w:themeFillTint="66"/>
          </w:tcPr>
          <w:p w14:paraId="3673C99C" w14:textId="77777777" w:rsidR="007D5E58" w:rsidRPr="005C579C" w:rsidRDefault="007D5E58" w:rsidP="00974425">
            <w:pPr>
              <w:ind w:left="16" w:firstLine="0"/>
              <w:rPr>
                <w:rFonts w:cstheme="minorHAnsi"/>
                <w:sz w:val="20"/>
                <w:szCs w:val="20"/>
              </w:rPr>
            </w:pPr>
            <w:r w:rsidRPr="005C579C">
              <w:rPr>
                <w:rFonts w:cstheme="minorHAnsi"/>
                <w:sz w:val="20"/>
                <w:szCs w:val="20"/>
              </w:rPr>
              <w:t>Minimal implementation.</w:t>
            </w:r>
          </w:p>
          <w:p w14:paraId="130A267D" w14:textId="77777777" w:rsidR="007D5E58" w:rsidRPr="005C579C" w:rsidRDefault="007D5E58" w:rsidP="00974425">
            <w:pPr>
              <w:ind w:left="16" w:firstLine="0"/>
              <w:rPr>
                <w:rFonts w:cstheme="minorHAnsi"/>
                <w:sz w:val="20"/>
                <w:szCs w:val="20"/>
              </w:rPr>
            </w:pPr>
          </w:p>
          <w:p w14:paraId="07734176" w14:textId="21EEEA7B" w:rsidR="007D5E58" w:rsidRPr="005C579C" w:rsidRDefault="007D5E58" w:rsidP="00974425">
            <w:pPr>
              <w:ind w:left="16" w:firstLine="0"/>
              <w:rPr>
                <w:rFonts w:cstheme="minorHAnsi"/>
                <w:sz w:val="20"/>
                <w:szCs w:val="20"/>
              </w:rPr>
            </w:pPr>
            <w:r w:rsidRPr="005C579C">
              <w:rPr>
                <w:rFonts w:cstheme="minorHAnsi"/>
                <w:sz w:val="20"/>
                <w:szCs w:val="20"/>
              </w:rPr>
              <w:t>Increase in abatement thresholds of Supported Living Payment recipients will enable some people with health conditions and disabilities, and carers, to engage in more part-time work without their benefit abating</w:t>
            </w:r>
            <w:r w:rsidR="00476DCC">
              <w:rPr>
                <w:rFonts w:cstheme="minorHAnsi"/>
                <w:sz w:val="20"/>
                <w:szCs w:val="20"/>
              </w:rPr>
              <w:t xml:space="preserve"> (Work and Income, 2021)</w:t>
            </w:r>
            <w:r w:rsidRPr="005C579C">
              <w:rPr>
                <w:rFonts w:cstheme="minorHAnsi"/>
                <w:sz w:val="20"/>
                <w:szCs w:val="20"/>
              </w:rPr>
              <w:t xml:space="preserve">. However, more active support is needed to enable carers and those with health conditions and disabilities to engage in the paid workforce when circumstances permit. </w:t>
            </w:r>
          </w:p>
          <w:p w14:paraId="6BA2FA3F" w14:textId="77777777" w:rsidR="007D5E58" w:rsidRPr="005C579C" w:rsidRDefault="007D5E58" w:rsidP="00974425">
            <w:pPr>
              <w:ind w:left="16" w:firstLine="0"/>
              <w:rPr>
                <w:rFonts w:cstheme="minorHAnsi"/>
                <w:sz w:val="20"/>
                <w:szCs w:val="20"/>
              </w:rPr>
            </w:pPr>
          </w:p>
          <w:p w14:paraId="66672D6F" w14:textId="1FE5F44A" w:rsidR="007D5E58" w:rsidRPr="005C579C" w:rsidRDefault="007D5E58" w:rsidP="00974425">
            <w:pPr>
              <w:ind w:left="16" w:firstLine="0"/>
              <w:rPr>
                <w:rFonts w:cstheme="minorHAnsi"/>
                <w:sz w:val="20"/>
                <w:szCs w:val="20"/>
              </w:rPr>
            </w:pPr>
            <w:r w:rsidRPr="005C579C">
              <w:rPr>
                <w:rFonts w:cstheme="minorHAnsi"/>
                <w:sz w:val="20"/>
                <w:szCs w:val="20"/>
              </w:rPr>
              <w:t>The Oranga Mahi programme was introduced in 2016, and funding was ring-fenced in Budget 2019 for the extension of trials of the programme</w:t>
            </w:r>
            <w:r w:rsidR="00476DCC">
              <w:rPr>
                <w:rFonts w:cstheme="minorHAnsi"/>
                <w:sz w:val="20"/>
                <w:szCs w:val="20"/>
              </w:rPr>
              <w:t xml:space="preserve"> (NZ Government, 2019)</w:t>
            </w:r>
            <w:r w:rsidRPr="005C579C">
              <w:rPr>
                <w:rFonts w:cstheme="minorHAnsi"/>
                <w:sz w:val="20"/>
                <w:szCs w:val="20"/>
              </w:rPr>
              <w:t>. However the programme does not appear to have yet progressed beyond the prototype stage</w:t>
            </w:r>
            <w:r w:rsidR="00476DCC">
              <w:rPr>
                <w:rFonts w:cstheme="minorHAnsi"/>
                <w:sz w:val="20"/>
                <w:szCs w:val="20"/>
              </w:rPr>
              <w:t xml:space="preserve"> (MSD, 2021j)</w:t>
            </w:r>
            <w:r w:rsidRPr="005C579C">
              <w:rPr>
                <w:rFonts w:cstheme="minorHAnsi"/>
                <w:sz w:val="20"/>
                <w:szCs w:val="20"/>
              </w:rPr>
              <w:t>.</w:t>
            </w:r>
          </w:p>
        </w:tc>
        <w:tc>
          <w:tcPr>
            <w:tcW w:w="1447" w:type="dxa"/>
            <w:shd w:val="clear" w:color="auto" w:fill="auto"/>
          </w:tcPr>
          <w:p w14:paraId="1F46E08E" w14:textId="77777777" w:rsidR="007D5E58" w:rsidRPr="005C579C" w:rsidRDefault="007D5E58" w:rsidP="00974425">
            <w:pPr>
              <w:ind w:left="63" w:firstLine="0"/>
              <w:rPr>
                <w:rFonts w:cstheme="minorHAnsi"/>
                <w:sz w:val="20"/>
                <w:szCs w:val="20"/>
              </w:rPr>
            </w:pPr>
            <w:r w:rsidRPr="005C579C">
              <w:rPr>
                <w:rFonts w:cstheme="minorHAnsi"/>
                <w:sz w:val="20"/>
                <w:szCs w:val="20"/>
              </w:rPr>
              <w:t>Progressed from no evidence to minimal implementation.</w:t>
            </w:r>
          </w:p>
        </w:tc>
      </w:tr>
      <w:tr w:rsidR="007D5E58" w:rsidRPr="005C579C" w14:paraId="4E9AF804" w14:textId="77777777" w:rsidTr="00974425">
        <w:trPr>
          <w:trHeight w:val="762"/>
        </w:trPr>
        <w:tc>
          <w:tcPr>
            <w:tcW w:w="1634" w:type="dxa"/>
            <w:vMerge/>
          </w:tcPr>
          <w:p w14:paraId="05F6CC3C" w14:textId="77777777" w:rsidR="007D5E58" w:rsidRPr="005C579C" w:rsidRDefault="007D5E58" w:rsidP="00A53840">
            <w:pPr>
              <w:pStyle w:val="Pa3"/>
              <w:spacing w:after="160"/>
              <w:ind w:left="29" w:firstLine="0"/>
              <w:rPr>
                <w:rFonts w:asciiTheme="minorHAnsi" w:hAnsiTheme="minorHAnsi" w:cstheme="minorHAnsi"/>
                <w:bCs/>
                <w:color w:val="000000"/>
                <w:sz w:val="20"/>
                <w:szCs w:val="20"/>
              </w:rPr>
            </w:pPr>
          </w:p>
        </w:tc>
        <w:tc>
          <w:tcPr>
            <w:tcW w:w="3330" w:type="dxa"/>
          </w:tcPr>
          <w:p w14:paraId="6805D45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Support the suitable employment of people with health conditions and disabilities, and carers, through evidence-based integrated employment and health supports and services</w:t>
            </w:r>
          </w:p>
        </w:tc>
        <w:tc>
          <w:tcPr>
            <w:tcW w:w="1260" w:type="dxa"/>
            <w:vMerge/>
          </w:tcPr>
          <w:p w14:paraId="42AEFBF2" w14:textId="77777777" w:rsidR="007D5E58" w:rsidRPr="005C579C" w:rsidRDefault="007D5E58" w:rsidP="00974425">
            <w:pPr>
              <w:ind w:left="32" w:firstLine="0"/>
              <w:rPr>
                <w:rFonts w:cstheme="minorHAnsi"/>
                <w:sz w:val="20"/>
                <w:szCs w:val="20"/>
              </w:rPr>
            </w:pPr>
          </w:p>
        </w:tc>
        <w:tc>
          <w:tcPr>
            <w:tcW w:w="3150" w:type="dxa"/>
            <w:vMerge/>
          </w:tcPr>
          <w:p w14:paraId="4E04488E" w14:textId="77777777" w:rsidR="007D5E58" w:rsidRPr="005C579C" w:rsidRDefault="007D5E58" w:rsidP="00974425">
            <w:pPr>
              <w:ind w:left="48" w:firstLine="0"/>
              <w:rPr>
                <w:rFonts w:cstheme="minorHAnsi"/>
                <w:sz w:val="20"/>
                <w:szCs w:val="20"/>
              </w:rPr>
            </w:pPr>
          </w:p>
        </w:tc>
        <w:tc>
          <w:tcPr>
            <w:tcW w:w="3780" w:type="dxa"/>
            <w:shd w:val="clear" w:color="auto" w:fill="FFA5A5"/>
          </w:tcPr>
          <w:p w14:paraId="15606108"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2D772389"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AF9D63E" w14:textId="77777777" w:rsidTr="00974425">
        <w:trPr>
          <w:trHeight w:val="762"/>
        </w:trPr>
        <w:tc>
          <w:tcPr>
            <w:tcW w:w="1634" w:type="dxa"/>
            <w:vMerge/>
          </w:tcPr>
          <w:p w14:paraId="2A29829A" w14:textId="77777777" w:rsidR="007D5E58" w:rsidRPr="005C579C" w:rsidRDefault="007D5E58" w:rsidP="00A53840">
            <w:pPr>
              <w:pStyle w:val="Pa3"/>
              <w:spacing w:after="160"/>
              <w:ind w:left="29" w:firstLine="0"/>
              <w:rPr>
                <w:rFonts w:asciiTheme="minorHAnsi" w:hAnsiTheme="minorHAnsi" w:cstheme="minorHAnsi"/>
                <w:bCs/>
                <w:color w:val="000000"/>
                <w:sz w:val="20"/>
                <w:szCs w:val="20"/>
              </w:rPr>
            </w:pPr>
          </w:p>
        </w:tc>
        <w:tc>
          <w:tcPr>
            <w:tcW w:w="3330" w:type="dxa"/>
          </w:tcPr>
          <w:p w14:paraId="15841CEC"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Support the suitable employment of people with health conditions and disabilities, and carers, through improved access to health supports and services to support return to work, with particular support for people with mental health problems or chronic conditions</w:t>
            </w:r>
          </w:p>
        </w:tc>
        <w:tc>
          <w:tcPr>
            <w:tcW w:w="1260" w:type="dxa"/>
            <w:vMerge/>
          </w:tcPr>
          <w:p w14:paraId="08564E73" w14:textId="77777777" w:rsidR="007D5E58" w:rsidRPr="005C579C" w:rsidRDefault="007D5E58" w:rsidP="00974425">
            <w:pPr>
              <w:ind w:left="32" w:firstLine="0"/>
              <w:rPr>
                <w:rFonts w:cstheme="minorHAnsi"/>
                <w:sz w:val="20"/>
                <w:szCs w:val="20"/>
              </w:rPr>
            </w:pPr>
          </w:p>
        </w:tc>
        <w:tc>
          <w:tcPr>
            <w:tcW w:w="3150" w:type="dxa"/>
            <w:vMerge/>
          </w:tcPr>
          <w:p w14:paraId="720C348B" w14:textId="77777777" w:rsidR="007D5E58" w:rsidRPr="005C579C" w:rsidRDefault="007D5E58" w:rsidP="00974425">
            <w:pPr>
              <w:ind w:left="48" w:firstLine="0"/>
              <w:rPr>
                <w:rFonts w:cstheme="minorHAnsi"/>
                <w:sz w:val="20"/>
                <w:szCs w:val="20"/>
              </w:rPr>
            </w:pPr>
          </w:p>
        </w:tc>
        <w:tc>
          <w:tcPr>
            <w:tcW w:w="3780" w:type="dxa"/>
            <w:shd w:val="clear" w:color="auto" w:fill="FFE599" w:themeFill="accent4" w:themeFillTint="66"/>
          </w:tcPr>
          <w:p w14:paraId="59489D20" w14:textId="77777777" w:rsidR="007D5E58" w:rsidRPr="005C579C" w:rsidRDefault="007D5E58" w:rsidP="00974425">
            <w:pPr>
              <w:ind w:left="16" w:firstLine="0"/>
              <w:rPr>
                <w:rFonts w:cstheme="minorHAnsi"/>
                <w:sz w:val="20"/>
                <w:szCs w:val="20"/>
              </w:rPr>
            </w:pPr>
            <w:r w:rsidRPr="005C579C">
              <w:rPr>
                <w:rFonts w:cstheme="minorHAnsi"/>
                <w:sz w:val="20"/>
                <w:szCs w:val="20"/>
              </w:rPr>
              <w:t>Partial implementation.</w:t>
            </w:r>
          </w:p>
          <w:p w14:paraId="51C0AC5E" w14:textId="77777777" w:rsidR="007D5E58" w:rsidRPr="005C579C" w:rsidRDefault="007D5E58" w:rsidP="00974425">
            <w:pPr>
              <w:ind w:left="16" w:firstLine="0"/>
              <w:rPr>
                <w:rFonts w:cstheme="minorHAnsi"/>
                <w:sz w:val="20"/>
                <w:szCs w:val="20"/>
              </w:rPr>
            </w:pPr>
          </w:p>
          <w:p w14:paraId="67A16085"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Funding was increased for supporting employment for those with health conditions and disabilities in Budget 2019 through Oranga Mahi, disability Employment Services and Support Funds. </w:t>
            </w:r>
          </w:p>
        </w:tc>
        <w:tc>
          <w:tcPr>
            <w:tcW w:w="1447" w:type="dxa"/>
            <w:shd w:val="clear" w:color="auto" w:fill="auto"/>
          </w:tcPr>
          <w:p w14:paraId="3500CE5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74EF5C8" w14:textId="77777777" w:rsidTr="00974425">
        <w:trPr>
          <w:trHeight w:val="762"/>
        </w:trPr>
        <w:tc>
          <w:tcPr>
            <w:tcW w:w="1634" w:type="dxa"/>
            <w:vMerge/>
          </w:tcPr>
          <w:p w14:paraId="5D9D1084" w14:textId="77777777" w:rsidR="007D5E58" w:rsidRPr="005C579C" w:rsidRDefault="007D5E58" w:rsidP="00A53840">
            <w:pPr>
              <w:pStyle w:val="Pa3"/>
              <w:spacing w:after="160"/>
              <w:ind w:left="29" w:firstLine="0"/>
              <w:rPr>
                <w:rFonts w:asciiTheme="minorHAnsi" w:hAnsiTheme="minorHAnsi" w:cstheme="minorHAnsi"/>
                <w:bCs/>
                <w:color w:val="000000"/>
                <w:sz w:val="20"/>
                <w:szCs w:val="20"/>
              </w:rPr>
            </w:pPr>
          </w:p>
        </w:tc>
        <w:tc>
          <w:tcPr>
            <w:tcW w:w="3330" w:type="dxa"/>
          </w:tcPr>
          <w:p w14:paraId="6D8F8BDD"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 xml:space="preserve"> Support the suitable employment of people with health conditions and disabilities, and carers, through easy re-entry to a benefit if employment ends</w:t>
            </w:r>
          </w:p>
        </w:tc>
        <w:tc>
          <w:tcPr>
            <w:tcW w:w="1260" w:type="dxa"/>
            <w:vMerge/>
          </w:tcPr>
          <w:p w14:paraId="36F59D6A" w14:textId="77777777" w:rsidR="007D5E58" w:rsidRPr="005C579C" w:rsidRDefault="007D5E58" w:rsidP="00974425">
            <w:pPr>
              <w:ind w:left="32" w:firstLine="0"/>
              <w:rPr>
                <w:rFonts w:cstheme="minorHAnsi"/>
                <w:sz w:val="20"/>
                <w:szCs w:val="20"/>
              </w:rPr>
            </w:pPr>
          </w:p>
        </w:tc>
        <w:tc>
          <w:tcPr>
            <w:tcW w:w="3150" w:type="dxa"/>
            <w:vMerge/>
          </w:tcPr>
          <w:p w14:paraId="07A4B65D" w14:textId="77777777" w:rsidR="007D5E58" w:rsidRPr="005C579C" w:rsidRDefault="007D5E58" w:rsidP="00974425">
            <w:pPr>
              <w:ind w:left="48" w:firstLine="0"/>
              <w:rPr>
                <w:rFonts w:cstheme="minorHAnsi"/>
                <w:sz w:val="20"/>
                <w:szCs w:val="20"/>
              </w:rPr>
            </w:pPr>
          </w:p>
        </w:tc>
        <w:tc>
          <w:tcPr>
            <w:tcW w:w="3780" w:type="dxa"/>
            <w:shd w:val="clear" w:color="auto" w:fill="FFA5A5"/>
          </w:tcPr>
          <w:p w14:paraId="54F4D2DE"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4F4A7A9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5AAC7104" w14:textId="77777777" w:rsidTr="00974425">
        <w:trPr>
          <w:trHeight w:val="762"/>
        </w:trPr>
        <w:tc>
          <w:tcPr>
            <w:tcW w:w="1634" w:type="dxa"/>
            <w:vMerge/>
          </w:tcPr>
          <w:p w14:paraId="2B37F98F" w14:textId="77777777" w:rsidR="007D5E58" w:rsidRPr="005C579C" w:rsidRDefault="007D5E58" w:rsidP="00A53840">
            <w:pPr>
              <w:pStyle w:val="Pa3"/>
              <w:spacing w:after="160"/>
              <w:ind w:left="29" w:firstLine="0"/>
              <w:rPr>
                <w:rFonts w:asciiTheme="minorHAnsi" w:hAnsiTheme="minorHAnsi" w:cstheme="minorHAnsi"/>
                <w:bCs/>
                <w:color w:val="000000"/>
                <w:sz w:val="20"/>
                <w:szCs w:val="20"/>
              </w:rPr>
            </w:pPr>
          </w:p>
        </w:tc>
        <w:tc>
          <w:tcPr>
            <w:tcW w:w="3330" w:type="dxa"/>
          </w:tcPr>
          <w:p w14:paraId="1D6DBF30"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Support the suitable employment of people with health conditions and disabilities, and carers, through support for employers to take on or retain people with health conditions and disabilities and carers (for example, wage subsidies and workplace accommodations).</w:t>
            </w:r>
          </w:p>
        </w:tc>
        <w:tc>
          <w:tcPr>
            <w:tcW w:w="1260" w:type="dxa"/>
            <w:vMerge/>
          </w:tcPr>
          <w:p w14:paraId="164C5EEB" w14:textId="77777777" w:rsidR="007D5E58" w:rsidRPr="005C579C" w:rsidRDefault="007D5E58" w:rsidP="00974425">
            <w:pPr>
              <w:ind w:left="32" w:firstLine="0"/>
              <w:rPr>
                <w:rFonts w:cstheme="minorHAnsi"/>
                <w:sz w:val="20"/>
                <w:szCs w:val="20"/>
              </w:rPr>
            </w:pPr>
          </w:p>
        </w:tc>
        <w:tc>
          <w:tcPr>
            <w:tcW w:w="3150" w:type="dxa"/>
            <w:vMerge/>
          </w:tcPr>
          <w:p w14:paraId="0AE225FB" w14:textId="77777777" w:rsidR="007D5E58" w:rsidRPr="005C579C" w:rsidRDefault="007D5E58" w:rsidP="00974425">
            <w:pPr>
              <w:ind w:left="48" w:firstLine="0"/>
              <w:rPr>
                <w:rFonts w:cstheme="minorHAnsi"/>
                <w:sz w:val="20"/>
                <w:szCs w:val="20"/>
              </w:rPr>
            </w:pPr>
          </w:p>
        </w:tc>
        <w:tc>
          <w:tcPr>
            <w:tcW w:w="3780" w:type="dxa"/>
            <w:shd w:val="clear" w:color="auto" w:fill="FFA5A5"/>
          </w:tcPr>
          <w:p w14:paraId="20D7C209"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103BA16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13C4A25E" w14:textId="77777777" w:rsidTr="00974425">
        <w:trPr>
          <w:trHeight w:val="762"/>
        </w:trPr>
        <w:tc>
          <w:tcPr>
            <w:tcW w:w="1634" w:type="dxa"/>
            <w:vMerge/>
          </w:tcPr>
          <w:p w14:paraId="24789CEB" w14:textId="77777777" w:rsidR="007D5E58" w:rsidRPr="005C579C" w:rsidRDefault="007D5E58" w:rsidP="00A53840">
            <w:pPr>
              <w:pStyle w:val="Pa3"/>
              <w:spacing w:after="160"/>
              <w:ind w:left="29" w:firstLine="0"/>
              <w:rPr>
                <w:rFonts w:asciiTheme="minorHAnsi" w:hAnsiTheme="minorHAnsi" w:cstheme="minorHAnsi"/>
                <w:bCs/>
                <w:color w:val="000000"/>
                <w:sz w:val="20"/>
                <w:szCs w:val="20"/>
              </w:rPr>
            </w:pPr>
          </w:p>
        </w:tc>
        <w:tc>
          <w:tcPr>
            <w:tcW w:w="3330" w:type="dxa"/>
          </w:tcPr>
          <w:p w14:paraId="42289D84"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Support the recommendations of the Government Inquiry into Mental Health and Addiction and the 2018 OECD report Mental Health and Work: New Zealand, because of the large proportion of people receiving health and disability benefits whose primary barrier to work is a mental health condition.</w:t>
            </w:r>
          </w:p>
        </w:tc>
        <w:tc>
          <w:tcPr>
            <w:tcW w:w="1260" w:type="dxa"/>
            <w:vMerge/>
          </w:tcPr>
          <w:p w14:paraId="2B2FA8FF" w14:textId="77777777" w:rsidR="007D5E58" w:rsidRPr="005C579C" w:rsidRDefault="007D5E58" w:rsidP="00974425">
            <w:pPr>
              <w:ind w:left="32" w:firstLine="0"/>
              <w:rPr>
                <w:rFonts w:cstheme="minorHAnsi"/>
                <w:sz w:val="20"/>
                <w:szCs w:val="20"/>
              </w:rPr>
            </w:pPr>
          </w:p>
        </w:tc>
        <w:tc>
          <w:tcPr>
            <w:tcW w:w="3150" w:type="dxa"/>
            <w:vMerge/>
          </w:tcPr>
          <w:p w14:paraId="5E730285" w14:textId="77777777" w:rsidR="007D5E58" w:rsidRPr="005C579C" w:rsidRDefault="007D5E58" w:rsidP="00974425">
            <w:pPr>
              <w:ind w:left="48" w:firstLine="0"/>
              <w:rPr>
                <w:rFonts w:cstheme="minorHAnsi"/>
                <w:sz w:val="20"/>
                <w:szCs w:val="20"/>
              </w:rPr>
            </w:pPr>
          </w:p>
        </w:tc>
        <w:tc>
          <w:tcPr>
            <w:tcW w:w="3780" w:type="dxa"/>
            <w:shd w:val="clear" w:color="auto" w:fill="BCE292"/>
          </w:tcPr>
          <w:p w14:paraId="7D3497E2" w14:textId="77777777" w:rsidR="007D5E58" w:rsidRPr="005C579C" w:rsidRDefault="007D5E58" w:rsidP="00974425">
            <w:pPr>
              <w:ind w:left="16" w:firstLine="0"/>
              <w:rPr>
                <w:rFonts w:cstheme="minorHAnsi"/>
                <w:sz w:val="20"/>
                <w:szCs w:val="20"/>
              </w:rPr>
            </w:pPr>
            <w:r w:rsidRPr="005C579C">
              <w:rPr>
                <w:rFonts w:cstheme="minorHAnsi"/>
                <w:sz w:val="20"/>
                <w:szCs w:val="20"/>
              </w:rPr>
              <w:t>Full implementation.</w:t>
            </w:r>
          </w:p>
          <w:p w14:paraId="65B3A4B2" w14:textId="77777777" w:rsidR="007D5E58" w:rsidRPr="005C579C" w:rsidRDefault="007D5E58" w:rsidP="00974425">
            <w:pPr>
              <w:ind w:left="16" w:firstLine="0"/>
              <w:rPr>
                <w:rFonts w:cstheme="minorHAnsi"/>
                <w:sz w:val="20"/>
                <w:szCs w:val="20"/>
              </w:rPr>
            </w:pPr>
          </w:p>
          <w:p w14:paraId="37C23A93" w14:textId="1C39C1B1" w:rsidR="007D5E58" w:rsidRPr="005C579C" w:rsidRDefault="007D5E58" w:rsidP="00974425">
            <w:pPr>
              <w:ind w:left="16" w:firstLine="0"/>
              <w:rPr>
                <w:rFonts w:cstheme="minorHAnsi"/>
                <w:sz w:val="20"/>
                <w:szCs w:val="20"/>
              </w:rPr>
            </w:pPr>
            <w:r w:rsidRPr="005C579C">
              <w:rPr>
                <w:rFonts w:cstheme="minorHAnsi"/>
                <w:sz w:val="20"/>
                <w:szCs w:val="20"/>
              </w:rPr>
              <w:t>The Government has committed to transform the mental health system as recommended in He Ara Oranga – Report of the Government Inquiry into Mental Health and Addiction</w:t>
            </w:r>
            <w:r w:rsidR="00476DCC">
              <w:rPr>
                <w:rFonts w:cstheme="minorHAnsi"/>
                <w:sz w:val="20"/>
                <w:szCs w:val="20"/>
              </w:rPr>
              <w:t xml:space="preserve"> (Mental Health and Wellbeing Commission, 2020)</w:t>
            </w:r>
            <w:r w:rsidRPr="005C579C">
              <w:rPr>
                <w:rFonts w:cstheme="minorHAnsi"/>
                <w:sz w:val="20"/>
                <w:szCs w:val="20"/>
              </w:rPr>
              <w:t>. It has also supported the need to improve outcomes for people with mental health and addiction needs according to the findings of the OECD’s Mental Health and Work report</w:t>
            </w:r>
            <w:r w:rsidR="00476DCC">
              <w:rPr>
                <w:rFonts w:cstheme="minorHAnsi"/>
                <w:sz w:val="20"/>
                <w:szCs w:val="20"/>
              </w:rPr>
              <w:t xml:space="preserve"> (MSD, 2019a)</w:t>
            </w:r>
            <w:r w:rsidRPr="005C579C">
              <w:rPr>
                <w:rFonts w:cstheme="minorHAnsi"/>
                <w:sz w:val="20"/>
                <w:szCs w:val="20"/>
              </w:rPr>
              <w:t>.</w:t>
            </w:r>
          </w:p>
        </w:tc>
        <w:tc>
          <w:tcPr>
            <w:tcW w:w="1447" w:type="dxa"/>
            <w:shd w:val="clear" w:color="auto" w:fill="auto"/>
          </w:tcPr>
          <w:p w14:paraId="314DE12F"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0A1DF2CD" w14:textId="77777777" w:rsidTr="00974425">
        <w:trPr>
          <w:trHeight w:val="183"/>
        </w:trPr>
        <w:tc>
          <w:tcPr>
            <w:tcW w:w="1634" w:type="dxa"/>
          </w:tcPr>
          <w:p w14:paraId="79959EE7"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Meaningful community participation to promote wellbeing</w:t>
            </w:r>
          </w:p>
        </w:tc>
        <w:tc>
          <w:tcPr>
            <w:tcW w:w="3330" w:type="dxa"/>
          </w:tcPr>
          <w:p w14:paraId="7BFDEAF1" w14:textId="77777777" w:rsidR="007D5E58" w:rsidRPr="005C579C" w:rsidRDefault="007D5E58" w:rsidP="00974425">
            <w:pPr>
              <w:pStyle w:val="ListParagraph"/>
              <w:numPr>
                <w:ilvl w:val="0"/>
                <w:numId w:val="15"/>
              </w:numPr>
              <w:ind w:left="96" w:firstLine="0"/>
              <w:rPr>
                <w:rFonts w:cstheme="minorHAnsi"/>
                <w:sz w:val="20"/>
                <w:szCs w:val="20"/>
              </w:rPr>
            </w:pPr>
            <w:r w:rsidRPr="005C579C">
              <w:rPr>
                <w:rFonts w:cstheme="minorHAnsi"/>
                <w:sz w:val="20"/>
                <w:szCs w:val="20"/>
              </w:rPr>
              <w:t xml:space="preserve">Work with the Ministry of Health to ensure those who are unlikely to ever engage in paid work are supported to participate meaningfully in their communities. </w:t>
            </w:r>
          </w:p>
        </w:tc>
        <w:tc>
          <w:tcPr>
            <w:tcW w:w="1260" w:type="dxa"/>
          </w:tcPr>
          <w:p w14:paraId="572B1676" w14:textId="77777777" w:rsidR="007D5E58" w:rsidRPr="005C579C" w:rsidRDefault="007D5E58" w:rsidP="00974425">
            <w:pPr>
              <w:ind w:left="32" w:firstLine="0"/>
              <w:rPr>
                <w:rFonts w:cstheme="minorHAnsi"/>
                <w:sz w:val="20"/>
                <w:szCs w:val="20"/>
              </w:rPr>
            </w:pPr>
            <w:r w:rsidRPr="005C579C">
              <w:rPr>
                <w:rFonts w:cstheme="minorHAnsi"/>
                <w:sz w:val="20"/>
                <w:szCs w:val="20"/>
              </w:rPr>
              <w:t>Key Rec 42; Chapter 10</w:t>
            </w:r>
          </w:p>
        </w:tc>
        <w:tc>
          <w:tcPr>
            <w:tcW w:w="3150" w:type="dxa"/>
          </w:tcPr>
          <w:p w14:paraId="2B0990E6" w14:textId="77777777" w:rsidR="007D5E58" w:rsidRPr="005C579C" w:rsidRDefault="007D5E58" w:rsidP="00974425">
            <w:pPr>
              <w:ind w:left="48" w:firstLine="0"/>
              <w:rPr>
                <w:rFonts w:cstheme="minorHAnsi"/>
                <w:sz w:val="20"/>
                <w:szCs w:val="20"/>
              </w:rPr>
            </w:pPr>
            <w:r w:rsidRPr="005C579C">
              <w:rPr>
                <w:rFonts w:cstheme="minorHAnsi"/>
                <w:sz w:val="20"/>
                <w:szCs w:val="20"/>
              </w:rPr>
              <w:t xml:space="preserve">In a 27 September 2021 Cabinet paper, Appendix Three, the Government stated that “The Minister for Social Development and Employment has already commissioned the Social Wellbeing Board to explore NGO contracting and relationships across Government (The Future of Social Sector Commissioning work programme). The Minister will also be considering how MSD can better support volunteering.” </w:t>
            </w:r>
          </w:p>
          <w:p w14:paraId="29088DD7" w14:textId="77777777" w:rsidR="007D5E58" w:rsidRPr="005C579C" w:rsidRDefault="007D5E58" w:rsidP="00974425">
            <w:pPr>
              <w:ind w:left="48" w:firstLine="0"/>
              <w:rPr>
                <w:rFonts w:cstheme="minorHAnsi"/>
                <w:sz w:val="20"/>
                <w:szCs w:val="20"/>
              </w:rPr>
            </w:pPr>
          </w:p>
          <w:p w14:paraId="4836331E" w14:textId="41022318" w:rsidR="007D5E58" w:rsidRPr="005C579C" w:rsidRDefault="007D5E58" w:rsidP="00974425">
            <w:pPr>
              <w:ind w:left="48" w:firstLine="0"/>
              <w:rPr>
                <w:rFonts w:cstheme="minorHAnsi"/>
                <w:sz w:val="20"/>
                <w:szCs w:val="20"/>
              </w:rPr>
            </w:pPr>
            <w:r w:rsidRPr="005C579C">
              <w:rPr>
                <w:rFonts w:cstheme="minorHAnsi"/>
                <w:sz w:val="20"/>
                <w:szCs w:val="20"/>
              </w:rPr>
              <w:t>The Cabinet paper appendix also stated that “Following the release of draft commissioning principles in 2020, work is underway across social sector agencies (jointly led by MSD and Oranga Tamariki) to progress the development of a relational approach to commissioning social services that can be applied across the 10 government agencies that commission social services”</w:t>
            </w:r>
            <w:r w:rsidR="00476DCC">
              <w:rPr>
                <w:rFonts w:cstheme="minorHAnsi"/>
                <w:sz w:val="20"/>
                <w:szCs w:val="20"/>
              </w:rPr>
              <w:t xml:space="preserve"> (MSD, 2021d).</w:t>
            </w:r>
          </w:p>
        </w:tc>
        <w:tc>
          <w:tcPr>
            <w:tcW w:w="3780" w:type="dxa"/>
            <w:shd w:val="clear" w:color="auto" w:fill="FFA5A5"/>
          </w:tcPr>
          <w:p w14:paraId="6253E0B6"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No evidence of implementation. </w:t>
            </w:r>
          </w:p>
          <w:p w14:paraId="46E085A7" w14:textId="77777777" w:rsidR="007D5E58" w:rsidRPr="005C579C" w:rsidRDefault="007D5E58" w:rsidP="00974425">
            <w:pPr>
              <w:ind w:left="16" w:firstLine="0"/>
              <w:rPr>
                <w:rFonts w:cstheme="minorHAnsi"/>
                <w:sz w:val="20"/>
                <w:szCs w:val="20"/>
              </w:rPr>
            </w:pPr>
          </w:p>
          <w:p w14:paraId="2E7421D9" w14:textId="0F52A007" w:rsidR="007D5E58" w:rsidRPr="005C579C" w:rsidRDefault="007D5E58" w:rsidP="00974425">
            <w:pPr>
              <w:ind w:left="16" w:firstLine="0"/>
              <w:rPr>
                <w:rFonts w:cstheme="minorHAnsi"/>
                <w:sz w:val="20"/>
                <w:szCs w:val="20"/>
              </w:rPr>
            </w:pPr>
            <w:r w:rsidRPr="005C579C">
              <w:rPr>
                <w:rFonts w:cstheme="minorHAnsi"/>
                <w:sz w:val="20"/>
                <w:szCs w:val="20"/>
              </w:rPr>
              <w:t>In a 2019 report, accessed under OIA, officials advise against any formal linking of volunteering opportunities with benefit receipt, but suggest that there could be value in considering how Government can further support volunteering</w:t>
            </w:r>
            <w:r w:rsidR="00476DCC">
              <w:rPr>
                <w:rFonts w:cstheme="minorHAnsi"/>
                <w:sz w:val="20"/>
                <w:szCs w:val="20"/>
              </w:rPr>
              <w:t xml:space="preserve"> (MSD, 2020d)</w:t>
            </w:r>
            <w:r w:rsidRPr="005C579C">
              <w:rPr>
                <w:rFonts w:cstheme="minorHAnsi"/>
                <w:sz w:val="20"/>
                <w:szCs w:val="20"/>
              </w:rPr>
              <w:t>.</w:t>
            </w:r>
          </w:p>
        </w:tc>
        <w:tc>
          <w:tcPr>
            <w:tcW w:w="1447" w:type="dxa"/>
            <w:shd w:val="clear" w:color="auto" w:fill="auto"/>
          </w:tcPr>
          <w:p w14:paraId="384354E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DA72E08" w14:textId="77777777" w:rsidTr="00974425">
        <w:trPr>
          <w:trHeight w:val="103"/>
        </w:trPr>
        <w:tc>
          <w:tcPr>
            <w:tcW w:w="1634" w:type="dxa"/>
            <w:vMerge w:val="restart"/>
          </w:tcPr>
          <w:p w14:paraId="39F848C3" w14:textId="77777777" w:rsidR="007D5E58" w:rsidRPr="005C579C" w:rsidRDefault="007D5E58" w:rsidP="00A53840">
            <w:pPr>
              <w:ind w:left="29" w:firstLine="0"/>
              <w:rPr>
                <w:rFonts w:cstheme="minorHAnsi"/>
                <w:bCs/>
                <w:color w:val="000000"/>
                <w:sz w:val="20"/>
                <w:szCs w:val="20"/>
              </w:rPr>
            </w:pPr>
            <w:r w:rsidRPr="005C579C">
              <w:rPr>
                <w:rFonts w:cstheme="minorHAnsi"/>
                <w:bCs/>
                <w:color w:val="000000"/>
                <w:sz w:val="20"/>
                <w:szCs w:val="20"/>
              </w:rPr>
              <w:t>Prevention and harm reduction</w:t>
            </w:r>
          </w:p>
        </w:tc>
        <w:tc>
          <w:tcPr>
            <w:tcW w:w="3330" w:type="dxa"/>
          </w:tcPr>
          <w:p w14:paraId="050C33B7" w14:textId="77777777" w:rsidR="007D5E58" w:rsidRPr="005C579C" w:rsidRDefault="007D5E58" w:rsidP="00974425">
            <w:pPr>
              <w:pStyle w:val="ListParagraph"/>
              <w:numPr>
                <w:ilvl w:val="0"/>
                <w:numId w:val="16"/>
              </w:numPr>
              <w:ind w:left="96" w:firstLine="0"/>
              <w:rPr>
                <w:rFonts w:cstheme="minorHAnsi"/>
                <w:sz w:val="20"/>
                <w:szCs w:val="20"/>
              </w:rPr>
            </w:pPr>
            <w:r w:rsidRPr="005C579C">
              <w:rPr>
                <w:rFonts w:cstheme="minorHAnsi"/>
                <w:sz w:val="20"/>
                <w:szCs w:val="20"/>
              </w:rPr>
              <w:t>Work to eliminate people’s negative experiences with MSD, which worsen mental distress, by changing the way MSD interacts with people in line with our proposed purpose, principles and values.</w:t>
            </w:r>
          </w:p>
        </w:tc>
        <w:tc>
          <w:tcPr>
            <w:tcW w:w="1260" w:type="dxa"/>
            <w:vMerge w:val="restart"/>
          </w:tcPr>
          <w:p w14:paraId="4028A2E9" w14:textId="77777777" w:rsidR="007D5E58" w:rsidRPr="005C579C" w:rsidRDefault="007D5E58" w:rsidP="00974425">
            <w:pPr>
              <w:ind w:left="32" w:firstLine="0"/>
              <w:rPr>
                <w:rFonts w:cstheme="minorHAnsi"/>
                <w:sz w:val="20"/>
                <w:szCs w:val="20"/>
              </w:rPr>
            </w:pPr>
            <w:r w:rsidRPr="005C579C">
              <w:rPr>
                <w:rFonts w:cstheme="minorHAnsi"/>
                <w:sz w:val="20"/>
                <w:szCs w:val="20"/>
              </w:rPr>
              <w:t>Chapter 10</w:t>
            </w:r>
          </w:p>
        </w:tc>
        <w:tc>
          <w:tcPr>
            <w:tcW w:w="3150" w:type="dxa"/>
            <w:vMerge w:val="restart"/>
          </w:tcPr>
          <w:p w14:paraId="71FE9DA8" w14:textId="77777777" w:rsidR="007D5E58" w:rsidRPr="005C579C" w:rsidRDefault="007D5E58" w:rsidP="00974425">
            <w:pPr>
              <w:ind w:left="48" w:firstLine="0"/>
              <w:rPr>
                <w:rFonts w:cstheme="minorHAnsi"/>
                <w:sz w:val="20"/>
                <w:szCs w:val="20"/>
              </w:rPr>
            </w:pPr>
          </w:p>
        </w:tc>
        <w:tc>
          <w:tcPr>
            <w:tcW w:w="3780" w:type="dxa"/>
            <w:shd w:val="clear" w:color="auto" w:fill="FEA8A6"/>
          </w:tcPr>
          <w:p w14:paraId="4FF32E24"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p w14:paraId="3F3DFB83" w14:textId="77777777" w:rsidR="007D5E58" w:rsidRPr="005C579C" w:rsidRDefault="007D5E58" w:rsidP="00974425">
            <w:pPr>
              <w:ind w:left="16" w:firstLine="0"/>
              <w:rPr>
                <w:rFonts w:cstheme="minorHAnsi"/>
                <w:sz w:val="20"/>
                <w:szCs w:val="20"/>
              </w:rPr>
            </w:pPr>
          </w:p>
          <w:p w14:paraId="47E6A1A9" w14:textId="1B19857B" w:rsidR="007D5E58" w:rsidRPr="005C579C" w:rsidRDefault="007D5E58" w:rsidP="00974425">
            <w:pPr>
              <w:ind w:left="16" w:firstLine="0"/>
              <w:rPr>
                <w:rFonts w:cstheme="minorHAnsi"/>
                <w:sz w:val="20"/>
                <w:szCs w:val="20"/>
              </w:rPr>
            </w:pPr>
            <w:r w:rsidRPr="005C579C">
              <w:rPr>
                <w:rFonts w:cstheme="minorHAnsi"/>
                <w:sz w:val="20"/>
                <w:szCs w:val="20"/>
              </w:rPr>
              <w:t>Reports from benefit recipients</w:t>
            </w:r>
            <w:r w:rsidR="005B37D2">
              <w:rPr>
                <w:rFonts w:cstheme="minorHAnsi"/>
                <w:sz w:val="20"/>
                <w:szCs w:val="20"/>
              </w:rPr>
              <w:t xml:space="preserve"> (Casey-Cox, 2021)</w:t>
            </w:r>
            <w:r w:rsidRPr="005C579C">
              <w:rPr>
                <w:rFonts w:cstheme="minorHAnsi"/>
                <w:sz w:val="20"/>
                <w:szCs w:val="20"/>
              </w:rPr>
              <w:t xml:space="preserve"> and former case managers</w:t>
            </w:r>
            <w:r w:rsidR="005B37D2">
              <w:rPr>
                <w:rFonts w:cstheme="minorHAnsi"/>
                <w:sz w:val="20"/>
                <w:szCs w:val="20"/>
              </w:rPr>
              <w:t xml:space="preserve"> (Chrisholm, 2021)</w:t>
            </w:r>
            <w:r w:rsidRPr="005C579C">
              <w:rPr>
                <w:rFonts w:cstheme="minorHAnsi"/>
                <w:sz w:val="20"/>
                <w:szCs w:val="20"/>
              </w:rPr>
              <w:t xml:space="preserve"> suggest that there is inconsistent treatment of beneficiaries at Work and Income, and a punitive approach to engaging with clients prevails. There is no evidence of a “complete shift” in culture as claimed by Minister Sepuloni</w:t>
            </w:r>
            <w:r w:rsidR="005B37D2">
              <w:rPr>
                <w:rFonts w:cstheme="minorHAnsi"/>
                <w:sz w:val="20"/>
                <w:szCs w:val="20"/>
              </w:rPr>
              <w:t xml:space="preserve"> (Chrisholm, 2021)</w:t>
            </w:r>
            <w:r w:rsidRPr="005C579C">
              <w:rPr>
                <w:rFonts w:cstheme="minorHAnsi"/>
                <w:sz w:val="20"/>
                <w:szCs w:val="20"/>
              </w:rPr>
              <w:t>, and indeed, multiple frontline organisations unsuccessfully requested a social services select committee inquiry into Work and Income’s “demeaning and inhumane” practices in Sept 2021</w:t>
            </w:r>
            <w:r w:rsidR="005B37D2">
              <w:rPr>
                <w:rFonts w:cstheme="minorHAnsi"/>
                <w:sz w:val="20"/>
                <w:szCs w:val="20"/>
              </w:rPr>
              <w:t xml:space="preserve"> (Save the Children, 2021)</w:t>
            </w:r>
            <w:r w:rsidRPr="005C579C">
              <w:rPr>
                <w:rFonts w:cstheme="minorHAnsi"/>
                <w:sz w:val="20"/>
                <w:szCs w:val="20"/>
              </w:rPr>
              <w:t xml:space="preserve">. </w:t>
            </w:r>
          </w:p>
        </w:tc>
        <w:tc>
          <w:tcPr>
            <w:tcW w:w="1447" w:type="dxa"/>
            <w:shd w:val="clear" w:color="auto" w:fill="auto"/>
          </w:tcPr>
          <w:p w14:paraId="75D4BEC3"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1592F02A" w14:textId="77777777" w:rsidTr="00974425">
        <w:trPr>
          <w:trHeight w:val="101"/>
        </w:trPr>
        <w:tc>
          <w:tcPr>
            <w:tcW w:w="1634" w:type="dxa"/>
            <w:vMerge/>
          </w:tcPr>
          <w:p w14:paraId="119DD807" w14:textId="77777777" w:rsidR="007D5E58" w:rsidRPr="005C579C" w:rsidRDefault="007D5E58" w:rsidP="00A53840">
            <w:pPr>
              <w:ind w:left="29" w:firstLine="0"/>
              <w:rPr>
                <w:rFonts w:cstheme="minorHAnsi"/>
                <w:bCs/>
                <w:color w:val="000000"/>
                <w:sz w:val="20"/>
                <w:szCs w:val="20"/>
              </w:rPr>
            </w:pPr>
          </w:p>
        </w:tc>
        <w:tc>
          <w:tcPr>
            <w:tcW w:w="3330" w:type="dxa"/>
          </w:tcPr>
          <w:p w14:paraId="6F754667" w14:textId="77777777" w:rsidR="007D5E58" w:rsidRPr="005C579C" w:rsidRDefault="007D5E58" w:rsidP="00974425">
            <w:pPr>
              <w:pStyle w:val="ListParagraph"/>
              <w:numPr>
                <w:ilvl w:val="0"/>
                <w:numId w:val="16"/>
              </w:numPr>
              <w:ind w:left="96" w:firstLine="0"/>
              <w:rPr>
                <w:rFonts w:cstheme="minorHAnsi"/>
                <w:sz w:val="20"/>
                <w:szCs w:val="20"/>
              </w:rPr>
            </w:pPr>
            <w:r w:rsidRPr="005C579C">
              <w:rPr>
                <w:rFonts w:cstheme="minorHAnsi"/>
                <w:sz w:val="20"/>
                <w:szCs w:val="20"/>
              </w:rPr>
              <w:t>Oversee and coordinate cross-government responses to improving social wellbeing, including tackling the social determinants of poor health and disability.</w:t>
            </w:r>
          </w:p>
        </w:tc>
        <w:tc>
          <w:tcPr>
            <w:tcW w:w="1260" w:type="dxa"/>
            <w:vMerge/>
          </w:tcPr>
          <w:p w14:paraId="011AD0A9" w14:textId="77777777" w:rsidR="007D5E58" w:rsidRPr="005C579C" w:rsidRDefault="007D5E58" w:rsidP="00974425">
            <w:pPr>
              <w:ind w:left="32" w:firstLine="0"/>
              <w:rPr>
                <w:rFonts w:cstheme="minorHAnsi"/>
                <w:sz w:val="20"/>
                <w:szCs w:val="20"/>
              </w:rPr>
            </w:pPr>
          </w:p>
        </w:tc>
        <w:tc>
          <w:tcPr>
            <w:tcW w:w="3150" w:type="dxa"/>
            <w:vMerge/>
          </w:tcPr>
          <w:p w14:paraId="7CC3A4F4" w14:textId="77777777" w:rsidR="007D5E58" w:rsidRPr="005C579C" w:rsidRDefault="007D5E58" w:rsidP="00974425">
            <w:pPr>
              <w:ind w:left="48" w:firstLine="0"/>
              <w:rPr>
                <w:rFonts w:cstheme="minorHAnsi"/>
                <w:sz w:val="20"/>
                <w:szCs w:val="20"/>
              </w:rPr>
            </w:pPr>
          </w:p>
        </w:tc>
        <w:tc>
          <w:tcPr>
            <w:tcW w:w="3780" w:type="dxa"/>
            <w:shd w:val="clear" w:color="auto" w:fill="FFA5A5"/>
          </w:tcPr>
          <w:p w14:paraId="789C225E" w14:textId="77777777" w:rsidR="007D5E58" w:rsidRPr="005C579C" w:rsidRDefault="007D5E58" w:rsidP="00974425">
            <w:pPr>
              <w:ind w:left="16" w:firstLine="0"/>
              <w:rPr>
                <w:rFonts w:cstheme="minorHAnsi"/>
                <w:sz w:val="20"/>
                <w:szCs w:val="20"/>
              </w:rPr>
            </w:pPr>
            <w:r w:rsidRPr="005C579C">
              <w:rPr>
                <w:rFonts w:cstheme="minorHAnsi"/>
                <w:sz w:val="20"/>
                <w:szCs w:val="20"/>
              </w:rPr>
              <w:t xml:space="preserve">No evidence of implementation. </w:t>
            </w:r>
          </w:p>
          <w:p w14:paraId="18DF73F3" w14:textId="77777777" w:rsidR="007D5E58" w:rsidRPr="005C579C" w:rsidRDefault="007D5E58" w:rsidP="00974425">
            <w:pPr>
              <w:ind w:left="16" w:firstLine="0"/>
              <w:rPr>
                <w:rFonts w:cstheme="minorHAnsi"/>
                <w:sz w:val="20"/>
                <w:szCs w:val="20"/>
              </w:rPr>
            </w:pPr>
          </w:p>
        </w:tc>
        <w:tc>
          <w:tcPr>
            <w:tcW w:w="1447" w:type="dxa"/>
            <w:shd w:val="clear" w:color="auto" w:fill="auto"/>
          </w:tcPr>
          <w:p w14:paraId="4F6FF83C"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r w:rsidR="007D5E58" w:rsidRPr="005C579C" w14:paraId="70DEDD3C" w14:textId="77777777" w:rsidTr="00974425">
        <w:trPr>
          <w:trHeight w:val="101"/>
        </w:trPr>
        <w:tc>
          <w:tcPr>
            <w:tcW w:w="1634" w:type="dxa"/>
            <w:vMerge/>
          </w:tcPr>
          <w:p w14:paraId="411430FB" w14:textId="77777777" w:rsidR="007D5E58" w:rsidRPr="005C579C" w:rsidRDefault="007D5E58" w:rsidP="00A53840">
            <w:pPr>
              <w:ind w:left="29" w:firstLine="0"/>
              <w:rPr>
                <w:rFonts w:cstheme="minorHAnsi"/>
                <w:bCs/>
                <w:color w:val="000000"/>
                <w:sz w:val="20"/>
                <w:szCs w:val="20"/>
              </w:rPr>
            </w:pPr>
          </w:p>
        </w:tc>
        <w:tc>
          <w:tcPr>
            <w:tcW w:w="3330" w:type="dxa"/>
          </w:tcPr>
          <w:p w14:paraId="3EA7F017" w14:textId="77777777" w:rsidR="007D5E58" w:rsidRPr="005C579C" w:rsidRDefault="007D5E58" w:rsidP="00974425">
            <w:pPr>
              <w:pStyle w:val="ListParagraph"/>
              <w:numPr>
                <w:ilvl w:val="0"/>
                <w:numId w:val="16"/>
              </w:numPr>
              <w:ind w:left="96" w:firstLine="0"/>
              <w:rPr>
                <w:rFonts w:cstheme="minorHAnsi"/>
                <w:sz w:val="20"/>
                <w:szCs w:val="20"/>
              </w:rPr>
            </w:pPr>
            <w:r w:rsidRPr="005C579C">
              <w:rPr>
                <w:rFonts w:cstheme="minorHAnsi"/>
                <w:sz w:val="20"/>
                <w:szCs w:val="20"/>
              </w:rPr>
              <w:t>Enhance cross-government investment in prevention and resilience-building activities for young people and people in workplaces.</w:t>
            </w:r>
          </w:p>
        </w:tc>
        <w:tc>
          <w:tcPr>
            <w:tcW w:w="1260" w:type="dxa"/>
            <w:vMerge/>
          </w:tcPr>
          <w:p w14:paraId="4BB27334" w14:textId="77777777" w:rsidR="007D5E58" w:rsidRPr="005C579C" w:rsidRDefault="007D5E58" w:rsidP="00974425">
            <w:pPr>
              <w:ind w:left="32" w:firstLine="0"/>
              <w:rPr>
                <w:rFonts w:cstheme="minorHAnsi"/>
                <w:sz w:val="20"/>
                <w:szCs w:val="20"/>
              </w:rPr>
            </w:pPr>
          </w:p>
        </w:tc>
        <w:tc>
          <w:tcPr>
            <w:tcW w:w="3150" w:type="dxa"/>
            <w:vMerge/>
          </w:tcPr>
          <w:p w14:paraId="17FA6B5C" w14:textId="77777777" w:rsidR="007D5E58" w:rsidRPr="005C579C" w:rsidRDefault="007D5E58" w:rsidP="00974425">
            <w:pPr>
              <w:ind w:left="48" w:firstLine="0"/>
              <w:rPr>
                <w:rFonts w:cstheme="minorHAnsi"/>
                <w:sz w:val="20"/>
                <w:szCs w:val="20"/>
              </w:rPr>
            </w:pPr>
          </w:p>
        </w:tc>
        <w:tc>
          <w:tcPr>
            <w:tcW w:w="3780" w:type="dxa"/>
            <w:shd w:val="clear" w:color="auto" w:fill="FFA5A5"/>
          </w:tcPr>
          <w:p w14:paraId="7CF55740" w14:textId="77777777" w:rsidR="007D5E58" w:rsidRPr="005C579C" w:rsidRDefault="007D5E58" w:rsidP="00974425">
            <w:pPr>
              <w:ind w:left="16" w:firstLine="0"/>
              <w:rPr>
                <w:rFonts w:cstheme="minorHAnsi"/>
                <w:sz w:val="20"/>
                <w:szCs w:val="20"/>
              </w:rPr>
            </w:pPr>
            <w:r w:rsidRPr="005C579C">
              <w:rPr>
                <w:rFonts w:cstheme="minorHAnsi"/>
                <w:sz w:val="20"/>
                <w:szCs w:val="20"/>
              </w:rPr>
              <w:t>No evidence of implementation.</w:t>
            </w:r>
          </w:p>
        </w:tc>
        <w:tc>
          <w:tcPr>
            <w:tcW w:w="1447" w:type="dxa"/>
            <w:shd w:val="clear" w:color="auto" w:fill="auto"/>
          </w:tcPr>
          <w:p w14:paraId="6B21203E" w14:textId="77777777" w:rsidR="007D5E58" w:rsidRPr="005C579C" w:rsidRDefault="007D5E58" w:rsidP="00974425">
            <w:pPr>
              <w:ind w:left="63" w:firstLine="0"/>
              <w:rPr>
                <w:rFonts w:cstheme="minorHAnsi"/>
                <w:sz w:val="20"/>
                <w:szCs w:val="20"/>
              </w:rPr>
            </w:pPr>
            <w:r w:rsidRPr="005C579C">
              <w:rPr>
                <w:rFonts w:cstheme="minorHAnsi"/>
                <w:sz w:val="20"/>
                <w:szCs w:val="20"/>
              </w:rPr>
              <w:t>No change since November 2020.</w:t>
            </w:r>
          </w:p>
        </w:tc>
      </w:tr>
    </w:tbl>
    <w:p w14:paraId="1CEC1BA6" w14:textId="77777777" w:rsidR="004D04CF" w:rsidRDefault="004D04CF" w:rsidP="004D04CF">
      <w:bookmarkStart w:id="46" w:name="_Toc89330023"/>
    </w:p>
    <w:p w14:paraId="46323364" w14:textId="77777777" w:rsidR="004D04CF" w:rsidRDefault="004D04CF" w:rsidP="004D04CF"/>
    <w:p w14:paraId="4EE5993A" w14:textId="77777777" w:rsidR="004D04CF" w:rsidRDefault="004D04CF" w:rsidP="004D04CF"/>
    <w:p w14:paraId="3F07A72B" w14:textId="77777777" w:rsidR="004D04CF" w:rsidRDefault="004D04CF" w:rsidP="004D04CF"/>
    <w:p w14:paraId="0C4A8AA0" w14:textId="77777777" w:rsidR="004D04CF" w:rsidRDefault="004D04CF" w:rsidP="004D04CF"/>
    <w:p w14:paraId="101C7B22" w14:textId="77777777" w:rsidR="004D04CF" w:rsidRDefault="004D04CF" w:rsidP="004D04CF"/>
    <w:p w14:paraId="09CB07D8" w14:textId="77777777" w:rsidR="004D04CF" w:rsidRDefault="004D04CF" w:rsidP="004D04CF"/>
    <w:p w14:paraId="76F4D53E" w14:textId="77777777" w:rsidR="004D04CF" w:rsidRDefault="004D04CF" w:rsidP="004D04CF"/>
    <w:p w14:paraId="4FCBBD95" w14:textId="77777777" w:rsidR="004D04CF" w:rsidRDefault="004D04CF" w:rsidP="004D04CF"/>
    <w:p w14:paraId="2B5DD24B" w14:textId="5031ADF9" w:rsidR="00AB44CB" w:rsidRDefault="00AB44CB" w:rsidP="00AB44CB">
      <w:pPr>
        <w:pStyle w:val="Heading1"/>
      </w:pPr>
      <w:r>
        <w:t xml:space="preserve">Appendix C: </w:t>
      </w:r>
      <w:r w:rsidR="00096849">
        <w:t>Income support: supplementary</w:t>
      </w:r>
      <w:r>
        <w:t xml:space="preserve"> tables and </w:t>
      </w:r>
      <w:r w:rsidR="00096849">
        <w:t>explanations</w:t>
      </w:r>
      <w:bookmarkEnd w:id="46"/>
    </w:p>
    <w:p w14:paraId="4F4BB564" w14:textId="441A3E56" w:rsidR="00396042" w:rsidRPr="00F814B9" w:rsidRDefault="00956710" w:rsidP="00396042">
      <w:r>
        <w:t xml:space="preserve">These </w:t>
      </w:r>
      <w:r w:rsidR="008B50BD">
        <w:t xml:space="preserve">tables support figures in </w:t>
      </w:r>
      <w:r w:rsidR="00F814B9" w:rsidRPr="00F814B9">
        <w:rPr>
          <w:i/>
          <w:iCs/>
        </w:rPr>
        <w:t>Section 3: Income Support - planned benefit increases necessary but not sufficient</w:t>
      </w:r>
      <w:r w:rsidR="00F814B9">
        <w:t>.</w:t>
      </w:r>
    </w:p>
    <w:p w14:paraId="515745F6" w14:textId="1F321D2F" w:rsidR="00396042" w:rsidRPr="00374FF0" w:rsidRDefault="00396042" w:rsidP="00396042">
      <w:pPr>
        <w:pStyle w:val="Caption"/>
        <w:keepNext/>
        <w:rPr>
          <w:sz w:val="24"/>
          <w:szCs w:val="24"/>
        </w:rPr>
      </w:pPr>
      <w:r w:rsidRPr="00374FF0">
        <w:rPr>
          <w:b/>
          <w:bCs/>
          <w:sz w:val="24"/>
          <w:szCs w:val="24"/>
        </w:rPr>
        <w:t>Supplementary table 1:</w:t>
      </w:r>
      <w:r w:rsidRPr="00374FF0">
        <w:rPr>
          <w:sz w:val="24"/>
          <w:szCs w:val="24"/>
        </w:rPr>
        <w:t xml:space="preserve"> Weekly shortfall</w:t>
      </w:r>
      <w:r w:rsidR="00324FFF" w:rsidRPr="00374FF0">
        <w:rPr>
          <w:sz w:val="24"/>
          <w:szCs w:val="24"/>
        </w:rPr>
        <w:t xml:space="preserve"> for benefit recipients without children, actual benefit rates vs </w:t>
      </w:r>
      <w:r w:rsidR="006B1F84" w:rsidRPr="00374FF0">
        <w:rPr>
          <w:sz w:val="24"/>
          <w:szCs w:val="24"/>
        </w:rPr>
        <w:t>WEAG recommended rates (wage-adjusted for 2022</w:t>
      </w:r>
      <w:r w:rsidR="007D2025">
        <w:rPr>
          <w:sz w:val="24"/>
          <w:szCs w:val="24"/>
        </w:rPr>
        <w:t>/23 year</w:t>
      </w:r>
      <w:r w:rsidR="006B1F84" w:rsidRPr="00374FF0">
        <w:rPr>
          <w:sz w:val="24"/>
          <w:szCs w:val="24"/>
        </w:rPr>
        <w:t>). These are supporting figures for</w:t>
      </w:r>
      <w:r w:rsidR="00055F02" w:rsidRPr="00374FF0">
        <w:rPr>
          <w:sz w:val="24"/>
          <w:szCs w:val="24"/>
        </w:rPr>
        <w:t xml:space="preserve"> graph in</w:t>
      </w:r>
      <w:r w:rsidRPr="00374FF0">
        <w:rPr>
          <w:sz w:val="24"/>
          <w:szCs w:val="24"/>
        </w:rPr>
        <w:t xml:space="preserve"> Figure 1.</w:t>
      </w:r>
    </w:p>
    <w:tbl>
      <w:tblPr>
        <w:tblW w:w="13135" w:type="dxa"/>
        <w:tblInd w:w="113" w:type="dxa"/>
        <w:tblLook w:val="04A0" w:firstRow="1" w:lastRow="0" w:firstColumn="1" w:lastColumn="0" w:noHBand="0" w:noVBand="1"/>
      </w:tblPr>
      <w:tblGrid>
        <w:gridCol w:w="2257"/>
        <w:gridCol w:w="1653"/>
        <w:gridCol w:w="1144"/>
        <w:gridCol w:w="1417"/>
        <w:gridCol w:w="1194"/>
        <w:gridCol w:w="1356"/>
        <w:gridCol w:w="1503"/>
        <w:gridCol w:w="1417"/>
        <w:gridCol w:w="1194"/>
      </w:tblGrid>
      <w:tr w:rsidR="00396042" w:rsidRPr="006170EE" w14:paraId="5301D075" w14:textId="77777777" w:rsidTr="00432627">
        <w:trPr>
          <w:trHeight w:val="278"/>
        </w:trPr>
        <w:tc>
          <w:tcPr>
            <w:tcW w:w="2257" w:type="dxa"/>
            <w:tcBorders>
              <w:bottom w:val="nil"/>
              <w:right w:val="single" w:sz="4" w:space="0" w:color="auto"/>
            </w:tcBorders>
            <w:shd w:val="clear" w:color="auto" w:fill="auto"/>
            <w:noWrap/>
            <w:vAlign w:val="bottom"/>
            <w:hideMark/>
          </w:tcPr>
          <w:p w14:paraId="6618C65A"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w:t>
            </w:r>
          </w:p>
        </w:tc>
        <w:tc>
          <w:tcPr>
            <w:tcW w:w="540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F7E661A" w14:textId="57C57AFB" w:rsidR="00396042" w:rsidRPr="006170EE" w:rsidRDefault="005B37D2" w:rsidP="00A53840">
            <w:pPr>
              <w:spacing w:after="0" w:line="240" w:lineRule="auto"/>
              <w:jc w:val="center"/>
              <w:rPr>
                <w:rFonts w:ascii="Calibri" w:eastAsia="Times New Roman" w:hAnsi="Calibri" w:cs="Calibri"/>
                <w:b/>
                <w:bCs/>
                <w:color w:val="000000"/>
                <w:szCs w:val="24"/>
                <w:lang w:eastAsia="en-NZ"/>
              </w:rPr>
            </w:pPr>
            <w:r>
              <w:rPr>
                <w:rFonts w:ascii="Calibri" w:eastAsia="Times New Roman" w:hAnsi="Calibri" w:cs="Calibri"/>
                <w:b/>
                <w:bCs/>
                <w:color w:val="000000"/>
                <w:szCs w:val="24"/>
                <w:lang w:eastAsia="en-NZ"/>
              </w:rPr>
              <w:t>April 19/20 year</w:t>
            </w:r>
          </w:p>
        </w:tc>
        <w:tc>
          <w:tcPr>
            <w:tcW w:w="54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1FD382" w14:textId="3693E74B" w:rsidR="00396042" w:rsidRPr="006170EE" w:rsidRDefault="005B37D2" w:rsidP="00A53840">
            <w:pPr>
              <w:spacing w:after="0" w:line="240" w:lineRule="auto"/>
              <w:jc w:val="center"/>
              <w:rPr>
                <w:rFonts w:ascii="Calibri" w:eastAsia="Times New Roman" w:hAnsi="Calibri" w:cs="Calibri"/>
                <w:b/>
                <w:bCs/>
                <w:color w:val="000000"/>
                <w:szCs w:val="24"/>
                <w:lang w:eastAsia="en-NZ"/>
              </w:rPr>
            </w:pPr>
            <w:r>
              <w:rPr>
                <w:rFonts w:ascii="Calibri" w:eastAsia="Times New Roman" w:hAnsi="Calibri" w:cs="Calibri"/>
                <w:b/>
                <w:bCs/>
                <w:color w:val="000000"/>
                <w:szCs w:val="24"/>
                <w:lang w:eastAsia="en-NZ"/>
              </w:rPr>
              <w:t>April 22/23 year</w:t>
            </w:r>
            <w:r w:rsidR="00396042" w:rsidRPr="006170EE">
              <w:rPr>
                <w:rFonts w:ascii="Calibri" w:eastAsia="Times New Roman" w:hAnsi="Calibri" w:cs="Calibri"/>
                <w:b/>
                <w:bCs/>
                <w:color w:val="000000"/>
                <w:szCs w:val="24"/>
                <w:lang w:eastAsia="en-NZ"/>
              </w:rPr>
              <w:t xml:space="preserve"> </w:t>
            </w:r>
            <w:r w:rsidR="000457D2">
              <w:rPr>
                <w:rFonts w:ascii="Calibri" w:eastAsia="Times New Roman" w:hAnsi="Calibri" w:cs="Calibri"/>
                <w:b/>
                <w:bCs/>
                <w:color w:val="000000"/>
                <w:szCs w:val="24"/>
                <w:lang w:eastAsia="en-NZ"/>
              </w:rPr>
              <w:t>(e</w:t>
            </w:r>
            <w:r>
              <w:rPr>
                <w:rFonts w:ascii="Calibri" w:eastAsia="Times New Roman" w:hAnsi="Calibri" w:cs="Calibri"/>
                <w:b/>
                <w:bCs/>
                <w:color w:val="000000"/>
                <w:szCs w:val="24"/>
                <w:lang w:eastAsia="en-NZ"/>
              </w:rPr>
              <w:t>xpected</w:t>
            </w:r>
            <w:r w:rsidR="000457D2">
              <w:rPr>
                <w:rFonts w:ascii="Calibri" w:eastAsia="Times New Roman" w:hAnsi="Calibri" w:cs="Calibri"/>
                <w:b/>
                <w:bCs/>
                <w:color w:val="000000"/>
                <w:szCs w:val="24"/>
                <w:lang w:eastAsia="en-NZ"/>
              </w:rPr>
              <w:t>)</w:t>
            </w:r>
          </w:p>
        </w:tc>
      </w:tr>
      <w:tr w:rsidR="00396042" w:rsidRPr="006170EE" w14:paraId="1CAF34C8" w14:textId="77777777" w:rsidTr="00432627">
        <w:trPr>
          <w:trHeight w:val="521"/>
        </w:trPr>
        <w:tc>
          <w:tcPr>
            <w:tcW w:w="2257" w:type="dxa"/>
            <w:vMerge w:val="restart"/>
            <w:tcBorders>
              <w:top w:val="nil"/>
              <w:right w:val="single" w:sz="4" w:space="0" w:color="auto"/>
            </w:tcBorders>
            <w:shd w:val="clear" w:color="auto" w:fill="auto"/>
            <w:noWrap/>
            <w:vAlign w:val="bottom"/>
            <w:hideMark/>
          </w:tcPr>
          <w:p w14:paraId="07A6F51E"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w:t>
            </w:r>
          </w:p>
        </w:tc>
        <w:tc>
          <w:tcPr>
            <w:tcW w:w="1653" w:type="dxa"/>
            <w:vMerge w:val="restart"/>
            <w:tcBorders>
              <w:top w:val="single" w:sz="4" w:space="0" w:color="auto"/>
              <w:left w:val="nil"/>
              <w:right w:val="single" w:sz="4" w:space="0" w:color="auto"/>
            </w:tcBorders>
            <w:shd w:val="clear" w:color="auto" w:fill="FFF2CC" w:themeFill="accent4" w:themeFillTint="33"/>
            <w:vAlign w:val="bottom"/>
            <w:hideMark/>
          </w:tcPr>
          <w:p w14:paraId="2B1646DB" w14:textId="77777777" w:rsidR="00396042" w:rsidRPr="006170EE" w:rsidRDefault="00396042" w:rsidP="00A53840">
            <w:pPr>
              <w:spacing w:after="0" w:line="240" w:lineRule="auto"/>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Actual</w:t>
            </w:r>
          </w:p>
        </w:tc>
        <w:tc>
          <w:tcPr>
            <w:tcW w:w="1144" w:type="dxa"/>
            <w:vMerge w:val="restart"/>
            <w:tcBorders>
              <w:top w:val="single" w:sz="4" w:space="0" w:color="auto"/>
              <w:left w:val="single" w:sz="4" w:space="0" w:color="auto"/>
              <w:right w:val="single" w:sz="4" w:space="0" w:color="auto"/>
            </w:tcBorders>
            <w:shd w:val="clear" w:color="auto" w:fill="E2EFD9" w:themeFill="accent6" w:themeFillTint="33"/>
            <w:vAlign w:val="bottom"/>
            <w:hideMark/>
          </w:tcPr>
          <w:p w14:paraId="10A919ED" w14:textId="77777777" w:rsidR="00396042" w:rsidRPr="006170EE" w:rsidRDefault="00396042" w:rsidP="00A53840">
            <w:pPr>
              <w:spacing w:after="0" w:line="240" w:lineRule="auto"/>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 xml:space="preserve">WEAG rates </w:t>
            </w:r>
          </w:p>
        </w:tc>
        <w:tc>
          <w:tcPr>
            <w:tcW w:w="2609" w:type="dxa"/>
            <w:gridSpan w:val="2"/>
            <w:tcBorders>
              <w:top w:val="single" w:sz="4" w:space="0" w:color="auto"/>
              <w:left w:val="single" w:sz="4" w:space="0" w:color="auto"/>
              <w:bottom w:val="nil"/>
              <w:right w:val="single" w:sz="4" w:space="0" w:color="auto"/>
            </w:tcBorders>
            <w:shd w:val="clear" w:color="auto" w:fill="F9D2CF"/>
            <w:vAlign w:val="center"/>
            <w:hideMark/>
          </w:tcPr>
          <w:p w14:paraId="42544ED2" w14:textId="77777777" w:rsidR="00396042" w:rsidRPr="006170EE" w:rsidRDefault="00396042" w:rsidP="00A53840">
            <w:pPr>
              <w:spacing w:after="0" w:line="240" w:lineRule="auto"/>
              <w:jc w:val="center"/>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Shortfall</w:t>
            </w:r>
          </w:p>
        </w:tc>
        <w:tc>
          <w:tcPr>
            <w:tcW w:w="1356" w:type="dxa"/>
            <w:vMerge w:val="restart"/>
            <w:tcBorders>
              <w:top w:val="single" w:sz="4" w:space="0" w:color="auto"/>
              <w:left w:val="nil"/>
              <w:bottom w:val="single" w:sz="4" w:space="0" w:color="auto"/>
              <w:right w:val="single" w:sz="4" w:space="0" w:color="auto"/>
            </w:tcBorders>
            <w:shd w:val="clear" w:color="auto" w:fill="FFF2CC" w:themeFill="accent4" w:themeFillTint="33"/>
            <w:vAlign w:val="bottom"/>
            <w:hideMark/>
          </w:tcPr>
          <w:p w14:paraId="3760B132" w14:textId="77777777" w:rsidR="00396042" w:rsidRPr="006170EE" w:rsidRDefault="00396042" w:rsidP="00A53840">
            <w:pPr>
              <w:spacing w:after="0" w:line="240" w:lineRule="auto"/>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Actual</w:t>
            </w:r>
            <w:r>
              <w:rPr>
                <w:rFonts w:ascii="Calibri" w:eastAsia="Times New Roman" w:hAnsi="Calibri" w:cs="Calibri"/>
                <w:b/>
                <w:bCs/>
                <w:color w:val="000000"/>
                <w:sz w:val="22"/>
                <w:lang w:eastAsia="en-NZ"/>
              </w:rPr>
              <w:t xml:space="preserve">* </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37A9C04" w14:textId="77777777" w:rsidR="00396042" w:rsidRPr="006170EE" w:rsidRDefault="00396042" w:rsidP="00A53840">
            <w:pPr>
              <w:spacing w:after="0" w:line="240" w:lineRule="auto"/>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 xml:space="preserve">Wage-adjusted WEAG </w:t>
            </w:r>
            <w:r>
              <w:rPr>
                <w:rFonts w:ascii="Calibri" w:eastAsia="Times New Roman" w:hAnsi="Calibri" w:cs="Calibri"/>
                <w:b/>
                <w:bCs/>
                <w:color w:val="000000"/>
                <w:sz w:val="22"/>
                <w:lang w:eastAsia="en-NZ"/>
              </w:rPr>
              <w:br/>
            </w:r>
            <w:r w:rsidRPr="006170EE">
              <w:rPr>
                <w:rFonts w:ascii="Calibri" w:eastAsia="Times New Roman" w:hAnsi="Calibri" w:cs="Calibri"/>
                <w:b/>
                <w:bCs/>
                <w:color w:val="000000"/>
                <w:sz w:val="22"/>
                <w:lang w:eastAsia="en-NZ"/>
              </w:rPr>
              <w:t>rates</w:t>
            </w:r>
            <w:r>
              <w:rPr>
                <w:rFonts w:ascii="Calibri" w:eastAsia="Times New Roman" w:hAnsi="Calibri" w:cs="Calibri"/>
                <w:b/>
                <w:bCs/>
                <w:color w:val="000000"/>
                <w:sz w:val="22"/>
                <w:lang w:eastAsia="en-NZ"/>
              </w:rPr>
              <w:t>**</w:t>
            </w:r>
            <w:r w:rsidRPr="006170EE">
              <w:rPr>
                <w:rFonts w:ascii="Calibri" w:eastAsia="Times New Roman" w:hAnsi="Calibri" w:cs="Calibri"/>
                <w:b/>
                <w:bCs/>
                <w:color w:val="000000"/>
                <w:sz w:val="22"/>
                <w:lang w:eastAsia="en-NZ"/>
              </w:rPr>
              <w:t xml:space="preserve"> </w:t>
            </w:r>
          </w:p>
        </w:tc>
        <w:tc>
          <w:tcPr>
            <w:tcW w:w="2609" w:type="dxa"/>
            <w:gridSpan w:val="2"/>
            <w:tcBorders>
              <w:top w:val="single" w:sz="4" w:space="0" w:color="auto"/>
              <w:left w:val="single" w:sz="4" w:space="0" w:color="auto"/>
              <w:right w:val="single" w:sz="4" w:space="0" w:color="auto"/>
            </w:tcBorders>
            <w:shd w:val="clear" w:color="auto" w:fill="F9D2CF"/>
            <w:vAlign w:val="center"/>
            <w:hideMark/>
          </w:tcPr>
          <w:p w14:paraId="61BFF88D" w14:textId="77777777" w:rsidR="00396042" w:rsidRPr="006170EE" w:rsidRDefault="00396042" w:rsidP="00A53840">
            <w:pPr>
              <w:spacing w:after="0" w:line="240" w:lineRule="auto"/>
              <w:jc w:val="center"/>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Shortfall</w:t>
            </w:r>
          </w:p>
        </w:tc>
      </w:tr>
      <w:tr w:rsidR="00396042" w:rsidRPr="006170EE" w14:paraId="37DC8461" w14:textId="77777777" w:rsidTr="00432627">
        <w:trPr>
          <w:trHeight w:val="521"/>
        </w:trPr>
        <w:tc>
          <w:tcPr>
            <w:tcW w:w="2257" w:type="dxa"/>
            <w:vMerge/>
            <w:tcBorders>
              <w:bottom w:val="single" w:sz="4" w:space="0" w:color="auto"/>
              <w:right w:val="single" w:sz="4" w:space="0" w:color="auto"/>
            </w:tcBorders>
            <w:shd w:val="clear" w:color="auto" w:fill="auto"/>
            <w:noWrap/>
            <w:vAlign w:val="bottom"/>
          </w:tcPr>
          <w:p w14:paraId="0888A44B" w14:textId="77777777" w:rsidR="00396042" w:rsidRPr="006170EE" w:rsidRDefault="00396042" w:rsidP="00A53840">
            <w:pPr>
              <w:spacing w:after="0" w:line="240" w:lineRule="auto"/>
              <w:rPr>
                <w:rFonts w:ascii="Calibri" w:eastAsia="Times New Roman" w:hAnsi="Calibri" w:cs="Calibri"/>
                <w:color w:val="000000"/>
                <w:sz w:val="22"/>
                <w:lang w:eastAsia="en-NZ"/>
              </w:rPr>
            </w:pPr>
          </w:p>
        </w:tc>
        <w:tc>
          <w:tcPr>
            <w:tcW w:w="1653" w:type="dxa"/>
            <w:vMerge/>
            <w:tcBorders>
              <w:left w:val="nil"/>
              <w:bottom w:val="single" w:sz="4" w:space="0" w:color="auto"/>
              <w:right w:val="single" w:sz="4" w:space="0" w:color="auto"/>
            </w:tcBorders>
            <w:shd w:val="clear" w:color="auto" w:fill="FFF2CC" w:themeFill="accent4" w:themeFillTint="33"/>
            <w:vAlign w:val="bottom"/>
          </w:tcPr>
          <w:p w14:paraId="7D13773B" w14:textId="77777777" w:rsidR="00396042" w:rsidRPr="006170EE" w:rsidRDefault="00396042" w:rsidP="00A53840">
            <w:pPr>
              <w:spacing w:after="0" w:line="240" w:lineRule="auto"/>
              <w:rPr>
                <w:rFonts w:ascii="Calibri" w:eastAsia="Times New Roman" w:hAnsi="Calibri" w:cs="Calibri"/>
                <w:b/>
                <w:bCs/>
                <w:color w:val="000000"/>
                <w:sz w:val="22"/>
                <w:lang w:eastAsia="en-NZ"/>
              </w:rPr>
            </w:pPr>
          </w:p>
        </w:tc>
        <w:tc>
          <w:tcPr>
            <w:tcW w:w="1144" w:type="dxa"/>
            <w:vMerge/>
            <w:tcBorders>
              <w:left w:val="single" w:sz="4" w:space="0" w:color="auto"/>
              <w:bottom w:val="single" w:sz="4" w:space="0" w:color="auto"/>
              <w:right w:val="single" w:sz="4" w:space="0" w:color="auto"/>
            </w:tcBorders>
            <w:shd w:val="clear" w:color="auto" w:fill="E2EFD9" w:themeFill="accent6" w:themeFillTint="33"/>
            <w:vAlign w:val="bottom"/>
          </w:tcPr>
          <w:p w14:paraId="6ED21628" w14:textId="77777777" w:rsidR="00396042" w:rsidRPr="006170EE" w:rsidRDefault="00396042" w:rsidP="00A53840">
            <w:pPr>
              <w:spacing w:after="0" w:line="240" w:lineRule="auto"/>
              <w:rPr>
                <w:rFonts w:ascii="Calibri" w:eastAsia="Times New Roman" w:hAnsi="Calibri" w:cs="Calibri"/>
                <w:b/>
                <w:bCs/>
                <w:color w:val="000000"/>
                <w:sz w:val="22"/>
                <w:lang w:eastAsia="en-NZ"/>
              </w:rPr>
            </w:pPr>
          </w:p>
        </w:tc>
        <w:tc>
          <w:tcPr>
            <w:tcW w:w="1417" w:type="dxa"/>
            <w:tcBorders>
              <w:top w:val="nil"/>
              <w:left w:val="single" w:sz="4" w:space="0" w:color="auto"/>
              <w:bottom w:val="single" w:sz="4" w:space="0" w:color="auto"/>
              <w:right w:val="single" w:sz="4" w:space="0" w:color="auto"/>
            </w:tcBorders>
            <w:shd w:val="clear" w:color="auto" w:fill="F9D2CF"/>
            <w:vAlign w:val="center"/>
          </w:tcPr>
          <w:p w14:paraId="0CA8E2F6" w14:textId="77777777" w:rsidR="00396042" w:rsidRPr="006170EE" w:rsidRDefault="00396042" w:rsidP="00A53840">
            <w:pPr>
              <w:spacing w:after="0" w:line="240" w:lineRule="auto"/>
              <w:jc w:val="center"/>
              <w:rPr>
                <w:rFonts w:ascii="Calibri" w:eastAsia="Times New Roman" w:hAnsi="Calibri" w:cs="Calibri"/>
                <w:b/>
                <w:bCs/>
                <w:color w:val="000000"/>
                <w:sz w:val="22"/>
                <w:lang w:eastAsia="en-NZ"/>
              </w:rPr>
            </w:pPr>
            <w:r>
              <w:rPr>
                <w:rFonts w:ascii="Calibri" w:eastAsia="Times New Roman" w:hAnsi="Calibri" w:cs="Calibri"/>
                <w:b/>
                <w:bCs/>
                <w:color w:val="000000"/>
                <w:sz w:val="22"/>
                <w:lang w:eastAsia="en-NZ"/>
              </w:rPr>
              <w:t>$</w:t>
            </w:r>
          </w:p>
        </w:tc>
        <w:tc>
          <w:tcPr>
            <w:tcW w:w="1191" w:type="dxa"/>
            <w:tcBorders>
              <w:top w:val="nil"/>
              <w:left w:val="nil"/>
              <w:bottom w:val="single" w:sz="4" w:space="0" w:color="auto"/>
              <w:right w:val="single" w:sz="4" w:space="0" w:color="auto"/>
            </w:tcBorders>
            <w:shd w:val="clear" w:color="auto" w:fill="F9D2CF"/>
            <w:vAlign w:val="center"/>
          </w:tcPr>
          <w:p w14:paraId="4617B688" w14:textId="77777777" w:rsidR="00396042" w:rsidRPr="006170EE" w:rsidRDefault="00396042" w:rsidP="00A53840">
            <w:pPr>
              <w:spacing w:after="0" w:line="240" w:lineRule="auto"/>
              <w:jc w:val="center"/>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 of actual</w:t>
            </w:r>
          </w:p>
        </w:tc>
        <w:tc>
          <w:tcPr>
            <w:tcW w:w="1356" w:type="dxa"/>
            <w:vMerge/>
            <w:tcBorders>
              <w:left w:val="nil"/>
              <w:bottom w:val="single" w:sz="4" w:space="0" w:color="auto"/>
              <w:right w:val="single" w:sz="4" w:space="0" w:color="auto"/>
            </w:tcBorders>
            <w:shd w:val="clear" w:color="auto" w:fill="FFF2CC" w:themeFill="accent4" w:themeFillTint="33"/>
            <w:vAlign w:val="bottom"/>
          </w:tcPr>
          <w:p w14:paraId="16C25DF8" w14:textId="77777777" w:rsidR="00396042" w:rsidRPr="006170EE" w:rsidRDefault="00396042" w:rsidP="00A53840">
            <w:pPr>
              <w:spacing w:after="0" w:line="240" w:lineRule="auto"/>
              <w:rPr>
                <w:rFonts w:ascii="Calibri" w:eastAsia="Times New Roman" w:hAnsi="Calibri" w:cs="Calibri"/>
                <w:b/>
                <w:bCs/>
                <w:color w:val="000000"/>
                <w:sz w:val="22"/>
                <w:lang w:eastAsia="en-NZ"/>
              </w:rPr>
            </w:pPr>
          </w:p>
        </w:tc>
        <w:tc>
          <w:tcPr>
            <w:tcW w:w="1503" w:type="dxa"/>
            <w:vMerge/>
            <w:tcBorders>
              <w:left w:val="single" w:sz="4" w:space="0" w:color="auto"/>
              <w:bottom w:val="single" w:sz="4" w:space="0" w:color="auto"/>
              <w:right w:val="single" w:sz="4" w:space="0" w:color="auto"/>
            </w:tcBorders>
            <w:shd w:val="clear" w:color="auto" w:fill="E2EFD9" w:themeFill="accent6" w:themeFillTint="33"/>
            <w:vAlign w:val="center"/>
          </w:tcPr>
          <w:p w14:paraId="399BAF69" w14:textId="77777777" w:rsidR="00396042" w:rsidRPr="006170EE" w:rsidRDefault="00396042" w:rsidP="00A53840">
            <w:pPr>
              <w:spacing w:after="0" w:line="240" w:lineRule="auto"/>
              <w:rPr>
                <w:rFonts w:ascii="Calibri" w:eastAsia="Times New Roman" w:hAnsi="Calibri" w:cs="Calibri"/>
                <w:b/>
                <w:bCs/>
                <w:color w:val="000000"/>
                <w:sz w:val="22"/>
                <w:lang w:eastAsia="en-NZ"/>
              </w:rPr>
            </w:pPr>
          </w:p>
        </w:tc>
        <w:tc>
          <w:tcPr>
            <w:tcW w:w="1417" w:type="dxa"/>
            <w:tcBorders>
              <w:left w:val="single" w:sz="4" w:space="0" w:color="auto"/>
              <w:bottom w:val="single" w:sz="4" w:space="0" w:color="auto"/>
              <w:right w:val="single" w:sz="4" w:space="0" w:color="auto"/>
            </w:tcBorders>
            <w:shd w:val="clear" w:color="auto" w:fill="F9D2CF"/>
            <w:vAlign w:val="center"/>
          </w:tcPr>
          <w:p w14:paraId="24A53174" w14:textId="77777777" w:rsidR="00396042" w:rsidRPr="006170EE" w:rsidRDefault="00396042" w:rsidP="00A53840">
            <w:pPr>
              <w:spacing w:after="0" w:line="240" w:lineRule="auto"/>
              <w:jc w:val="center"/>
              <w:rPr>
                <w:rFonts w:ascii="Calibri" w:eastAsia="Times New Roman" w:hAnsi="Calibri" w:cs="Calibri"/>
                <w:b/>
                <w:bCs/>
                <w:color w:val="000000"/>
                <w:sz w:val="22"/>
                <w:lang w:eastAsia="en-NZ"/>
              </w:rPr>
            </w:pPr>
            <w:r>
              <w:rPr>
                <w:rFonts w:ascii="Calibri" w:eastAsia="Times New Roman" w:hAnsi="Calibri" w:cs="Calibri"/>
                <w:b/>
                <w:bCs/>
                <w:color w:val="000000"/>
                <w:sz w:val="22"/>
                <w:lang w:eastAsia="en-NZ"/>
              </w:rPr>
              <w:t>$</w:t>
            </w:r>
          </w:p>
        </w:tc>
        <w:tc>
          <w:tcPr>
            <w:tcW w:w="1191" w:type="dxa"/>
            <w:tcBorders>
              <w:left w:val="nil"/>
              <w:bottom w:val="single" w:sz="4" w:space="0" w:color="auto"/>
              <w:right w:val="single" w:sz="4" w:space="0" w:color="auto"/>
            </w:tcBorders>
            <w:shd w:val="clear" w:color="auto" w:fill="F9D2CF"/>
            <w:vAlign w:val="center"/>
          </w:tcPr>
          <w:p w14:paraId="7066EE9A" w14:textId="77777777" w:rsidR="00396042" w:rsidRPr="006170EE" w:rsidRDefault="00396042" w:rsidP="00A53840">
            <w:pPr>
              <w:spacing w:after="0" w:line="240" w:lineRule="auto"/>
              <w:jc w:val="center"/>
              <w:rPr>
                <w:rFonts w:ascii="Calibri" w:eastAsia="Times New Roman" w:hAnsi="Calibri" w:cs="Calibri"/>
                <w:b/>
                <w:bCs/>
                <w:color w:val="000000"/>
                <w:sz w:val="22"/>
                <w:lang w:eastAsia="en-NZ"/>
              </w:rPr>
            </w:pPr>
            <w:r w:rsidRPr="006170EE">
              <w:rPr>
                <w:rFonts w:ascii="Calibri" w:eastAsia="Times New Roman" w:hAnsi="Calibri" w:cs="Calibri"/>
                <w:b/>
                <w:bCs/>
                <w:color w:val="000000"/>
                <w:sz w:val="22"/>
                <w:lang w:eastAsia="en-NZ"/>
              </w:rPr>
              <w:t>% of actual</w:t>
            </w:r>
          </w:p>
        </w:tc>
      </w:tr>
      <w:tr w:rsidR="00396042" w:rsidRPr="006170EE" w14:paraId="4B0FD9E6" w14:textId="77777777" w:rsidTr="00432627">
        <w:trPr>
          <w:trHeight w:val="278"/>
        </w:trPr>
        <w:tc>
          <w:tcPr>
            <w:tcW w:w="2257" w:type="dxa"/>
            <w:tcBorders>
              <w:top w:val="single" w:sz="4" w:space="0" w:color="auto"/>
              <w:left w:val="single" w:sz="4" w:space="0" w:color="auto"/>
              <w:bottom w:val="single" w:sz="4" w:space="0" w:color="auto"/>
              <w:right w:val="nil"/>
            </w:tcBorders>
            <w:shd w:val="clear" w:color="auto" w:fill="auto"/>
            <w:noWrap/>
            <w:vAlign w:val="bottom"/>
            <w:hideMark/>
          </w:tcPr>
          <w:p w14:paraId="21CF4F96"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JSS</w:t>
            </w:r>
          </w:p>
        </w:tc>
        <w:tc>
          <w:tcPr>
            <w:tcW w:w="16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92CF8DF"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$ 218.98 </w:t>
            </w:r>
          </w:p>
        </w:tc>
        <w:tc>
          <w:tcPr>
            <w:tcW w:w="114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D545283"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$ 315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66EE3AB6"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$96.02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C4F5120" w14:textId="77777777" w:rsidR="00396042" w:rsidRPr="006170EE" w:rsidRDefault="00396042" w:rsidP="00A53840">
            <w:pPr>
              <w:spacing w:after="0" w:line="240" w:lineRule="auto"/>
              <w:jc w:val="right"/>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44%</w:t>
            </w:r>
          </w:p>
        </w:tc>
        <w:tc>
          <w:tcPr>
            <w:tcW w:w="1356"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69E81FE0"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$315 </w:t>
            </w:r>
          </w:p>
        </w:tc>
        <w:tc>
          <w:tcPr>
            <w:tcW w:w="15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91BB9C2"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$344.84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07B1F1BD" w14:textId="77777777" w:rsidR="00396042" w:rsidRPr="00656AEA" w:rsidRDefault="00396042" w:rsidP="00A53840">
            <w:pPr>
              <w:spacing w:after="0" w:line="240" w:lineRule="auto"/>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 xml:space="preserve">$29.84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093A438" w14:textId="77777777" w:rsidR="00396042" w:rsidRPr="00656AEA" w:rsidRDefault="00396042" w:rsidP="00A53840">
            <w:pPr>
              <w:spacing w:after="0" w:line="240" w:lineRule="auto"/>
              <w:jc w:val="right"/>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9%</w:t>
            </w:r>
          </w:p>
        </w:tc>
      </w:tr>
      <w:tr w:rsidR="00396042" w:rsidRPr="006170EE" w14:paraId="6600728F" w14:textId="77777777" w:rsidTr="00432627">
        <w:trPr>
          <w:trHeight w:val="278"/>
        </w:trPr>
        <w:tc>
          <w:tcPr>
            <w:tcW w:w="2257" w:type="dxa"/>
            <w:tcBorders>
              <w:top w:val="single" w:sz="4" w:space="0" w:color="auto"/>
              <w:left w:val="single" w:sz="4" w:space="0" w:color="auto"/>
              <w:bottom w:val="single" w:sz="4" w:space="0" w:color="auto"/>
              <w:right w:val="nil"/>
            </w:tcBorders>
            <w:shd w:val="clear" w:color="auto" w:fill="auto"/>
            <w:noWrap/>
            <w:vAlign w:val="bottom"/>
            <w:hideMark/>
          </w:tcPr>
          <w:p w14:paraId="3A27396D"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SLP</w:t>
            </w:r>
          </w:p>
        </w:tc>
        <w:tc>
          <w:tcPr>
            <w:tcW w:w="16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DD2E185"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$ 273.70 </w:t>
            </w:r>
          </w:p>
        </w:tc>
        <w:tc>
          <w:tcPr>
            <w:tcW w:w="114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E225367"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$359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35E67714"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$85.30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6572FA07" w14:textId="77777777" w:rsidR="00396042" w:rsidRPr="006170EE" w:rsidRDefault="00396042" w:rsidP="00A53840">
            <w:pPr>
              <w:spacing w:after="0" w:line="240" w:lineRule="auto"/>
              <w:jc w:val="right"/>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31%</w:t>
            </w:r>
          </w:p>
        </w:tc>
        <w:tc>
          <w:tcPr>
            <w:tcW w:w="1356"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6EECE7D"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$359 </w:t>
            </w:r>
          </w:p>
        </w:tc>
        <w:tc>
          <w:tcPr>
            <w:tcW w:w="15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2745320"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$393.01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13A5B191" w14:textId="77777777" w:rsidR="00396042" w:rsidRPr="00656AEA" w:rsidRDefault="00396042" w:rsidP="00A53840">
            <w:pPr>
              <w:spacing w:after="0" w:line="240" w:lineRule="auto"/>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 xml:space="preserve">$34.01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699D154" w14:textId="77777777" w:rsidR="00396042" w:rsidRPr="00656AEA" w:rsidRDefault="00396042" w:rsidP="00A53840">
            <w:pPr>
              <w:spacing w:after="0" w:line="240" w:lineRule="auto"/>
              <w:jc w:val="right"/>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9%</w:t>
            </w:r>
          </w:p>
        </w:tc>
      </w:tr>
      <w:tr w:rsidR="00396042" w:rsidRPr="006170EE" w14:paraId="707438E0" w14:textId="77777777" w:rsidTr="00432627">
        <w:trPr>
          <w:trHeight w:val="278"/>
        </w:trPr>
        <w:tc>
          <w:tcPr>
            <w:tcW w:w="2257" w:type="dxa"/>
            <w:tcBorders>
              <w:top w:val="single" w:sz="4" w:space="0" w:color="auto"/>
              <w:left w:val="single" w:sz="4" w:space="0" w:color="auto"/>
              <w:bottom w:val="single" w:sz="4" w:space="0" w:color="auto"/>
              <w:right w:val="nil"/>
            </w:tcBorders>
            <w:shd w:val="clear" w:color="auto" w:fill="auto"/>
            <w:noWrap/>
            <w:vAlign w:val="bottom"/>
            <w:hideMark/>
          </w:tcPr>
          <w:p w14:paraId="3A37B922"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JSS couple, ea</w:t>
            </w:r>
          </w:p>
        </w:tc>
        <w:tc>
          <w:tcPr>
            <w:tcW w:w="16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6C61762"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$ 182.47 </w:t>
            </w:r>
          </w:p>
        </w:tc>
        <w:tc>
          <w:tcPr>
            <w:tcW w:w="114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87BCFC2" w14:textId="77777777" w:rsidR="00396042" w:rsidRPr="006170EE" w:rsidRDefault="00396042" w:rsidP="00A53840">
            <w:pPr>
              <w:spacing w:after="0" w:line="240" w:lineRule="auto"/>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6170EE">
              <w:rPr>
                <w:rFonts w:ascii="Calibri" w:eastAsia="Times New Roman" w:hAnsi="Calibri" w:cs="Calibri"/>
                <w:color w:val="000000"/>
                <w:sz w:val="22"/>
                <w:lang w:eastAsia="en-NZ"/>
              </w:rPr>
              <w:t xml:space="preserve">268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40DE386B"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$85.53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28272CED" w14:textId="77777777" w:rsidR="00396042" w:rsidRPr="006170EE" w:rsidRDefault="00396042" w:rsidP="00A53840">
            <w:pPr>
              <w:spacing w:after="0" w:line="240" w:lineRule="auto"/>
              <w:jc w:val="right"/>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47%</w:t>
            </w:r>
          </w:p>
        </w:tc>
        <w:tc>
          <w:tcPr>
            <w:tcW w:w="1356"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1F34197"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$268</w:t>
            </w:r>
          </w:p>
        </w:tc>
        <w:tc>
          <w:tcPr>
            <w:tcW w:w="15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C27E7E3"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$293.39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1F7EBD9" w14:textId="77777777" w:rsidR="00396042" w:rsidRPr="00656AEA" w:rsidRDefault="00396042" w:rsidP="00A53840">
            <w:pPr>
              <w:spacing w:after="0" w:line="240" w:lineRule="auto"/>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 xml:space="preserve">$25.39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2F1FC278" w14:textId="77777777" w:rsidR="00396042" w:rsidRPr="00656AEA" w:rsidRDefault="00396042" w:rsidP="00A53840">
            <w:pPr>
              <w:spacing w:after="0" w:line="240" w:lineRule="auto"/>
              <w:jc w:val="right"/>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9%</w:t>
            </w:r>
          </w:p>
        </w:tc>
      </w:tr>
      <w:tr w:rsidR="00396042" w:rsidRPr="006170EE" w14:paraId="783739FE" w14:textId="77777777" w:rsidTr="00432627">
        <w:trPr>
          <w:trHeight w:val="278"/>
        </w:trPr>
        <w:tc>
          <w:tcPr>
            <w:tcW w:w="2257" w:type="dxa"/>
            <w:tcBorders>
              <w:top w:val="single" w:sz="4" w:space="0" w:color="auto"/>
              <w:left w:val="single" w:sz="4" w:space="0" w:color="auto"/>
              <w:bottom w:val="single" w:sz="4" w:space="0" w:color="auto"/>
              <w:right w:val="nil"/>
            </w:tcBorders>
            <w:shd w:val="clear" w:color="auto" w:fill="auto"/>
            <w:noWrap/>
            <w:vAlign w:val="bottom"/>
            <w:hideMark/>
          </w:tcPr>
          <w:p w14:paraId="35B6EDED"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SLP couple ea</w:t>
            </w:r>
          </w:p>
        </w:tc>
        <w:tc>
          <w:tcPr>
            <w:tcW w:w="16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5D25D03"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$ 228.07 </w:t>
            </w:r>
          </w:p>
        </w:tc>
        <w:tc>
          <w:tcPr>
            <w:tcW w:w="114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247139B"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$305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6BC80124"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$76.93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72E0A821" w14:textId="77777777" w:rsidR="00396042" w:rsidRPr="006170EE" w:rsidRDefault="00396042" w:rsidP="00A53840">
            <w:pPr>
              <w:spacing w:after="0" w:line="240" w:lineRule="auto"/>
              <w:jc w:val="right"/>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34%</w:t>
            </w:r>
          </w:p>
        </w:tc>
        <w:tc>
          <w:tcPr>
            <w:tcW w:w="1356"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2F9EE31D"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 $305 </w:t>
            </w:r>
          </w:p>
        </w:tc>
        <w:tc>
          <w:tcPr>
            <w:tcW w:w="15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D7BA360" w14:textId="77777777" w:rsidR="00396042" w:rsidRPr="006170EE" w:rsidRDefault="00396042" w:rsidP="00A53840">
            <w:pPr>
              <w:spacing w:after="0" w:line="240" w:lineRule="auto"/>
              <w:rPr>
                <w:rFonts w:ascii="Calibri" w:eastAsia="Times New Roman" w:hAnsi="Calibri" w:cs="Calibri"/>
                <w:color w:val="000000"/>
                <w:sz w:val="22"/>
                <w:lang w:eastAsia="en-NZ"/>
              </w:rPr>
            </w:pPr>
            <w:r w:rsidRPr="006170EE">
              <w:rPr>
                <w:rFonts w:ascii="Calibri" w:eastAsia="Times New Roman" w:hAnsi="Calibri" w:cs="Calibri"/>
                <w:color w:val="000000"/>
                <w:sz w:val="22"/>
                <w:lang w:eastAsia="en-NZ"/>
              </w:rPr>
              <w:t xml:space="preserve">$333.90 </w:t>
            </w:r>
          </w:p>
        </w:tc>
        <w:tc>
          <w:tcPr>
            <w:tcW w:w="141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0B37A3E5" w14:textId="77777777" w:rsidR="00396042" w:rsidRPr="00656AEA" w:rsidRDefault="00396042" w:rsidP="00A53840">
            <w:pPr>
              <w:spacing w:after="0" w:line="240" w:lineRule="auto"/>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 xml:space="preserve">$28.90 </w:t>
            </w:r>
          </w:p>
        </w:tc>
        <w:tc>
          <w:tcPr>
            <w:tcW w:w="1191"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70975225" w14:textId="77777777" w:rsidR="00396042" w:rsidRPr="00656AEA" w:rsidRDefault="00396042" w:rsidP="00A53840">
            <w:pPr>
              <w:spacing w:after="0" w:line="240" w:lineRule="auto"/>
              <w:jc w:val="right"/>
              <w:rPr>
                <w:rFonts w:ascii="Calibri" w:eastAsia="Times New Roman" w:hAnsi="Calibri" w:cs="Calibri"/>
                <w:color w:val="000000"/>
                <w:sz w:val="22"/>
                <w:lang w:eastAsia="en-NZ"/>
              </w:rPr>
            </w:pPr>
            <w:r w:rsidRPr="00656AEA">
              <w:rPr>
                <w:rFonts w:ascii="Calibri" w:eastAsia="Times New Roman" w:hAnsi="Calibri" w:cs="Calibri"/>
                <w:color w:val="000000"/>
                <w:sz w:val="22"/>
                <w:lang w:eastAsia="en-NZ"/>
              </w:rPr>
              <w:t>9%</w:t>
            </w:r>
          </w:p>
        </w:tc>
      </w:tr>
    </w:tbl>
    <w:p w14:paraId="70608D03" w14:textId="77777777" w:rsidR="00432627" w:rsidRDefault="00432627" w:rsidP="00ED17D2">
      <w:pPr>
        <w:pStyle w:val="Caption"/>
        <w:keepNext/>
        <w:rPr>
          <w:b/>
          <w:bCs/>
        </w:rPr>
      </w:pPr>
    </w:p>
    <w:p w14:paraId="28E22767" w14:textId="181F1CAE" w:rsidR="002157BC" w:rsidRDefault="002157BC" w:rsidP="002157BC">
      <w:pPr>
        <w:rPr>
          <w:rFonts w:ascii="Calibri" w:hAnsi="Calibri" w:cs="Calibri"/>
          <w:i/>
          <w:iCs/>
          <w:sz w:val="20"/>
          <w:szCs w:val="20"/>
        </w:rPr>
      </w:pPr>
      <w:r w:rsidRPr="002157BC">
        <w:rPr>
          <w:rFonts w:ascii="Calibri" w:hAnsi="Calibri" w:cs="Calibri"/>
          <w:i/>
          <w:iCs/>
          <w:sz w:val="20"/>
          <w:szCs w:val="20"/>
        </w:rPr>
        <w:t>* Source</w:t>
      </w:r>
      <w:r w:rsidR="008B50BD">
        <w:rPr>
          <w:rFonts w:ascii="Calibri" w:hAnsi="Calibri" w:cs="Calibri"/>
          <w:i/>
          <w:iCs/>
          <w:sz w:val="20"/>
          <w:szCs w:val="20"/>
        </w:rPr>
        <w:t xml:space="preserve">: Work and Income (2021). </w:t>
      </w:r>
      <w:r w:rsidRPr="002157BC">
        <w:rPr>
          <w:rFonts w:ascii="Calibri" w:hAnsi="Calibri" w:cs="Calibri"/>
          <w:i/>
          <w:iCs/>
          <w:sz w:val="20"/>
          <w:szCs w:val="20"/>
        </w:rPr>
        <w:t>These are the same as the nominal 2019 WEAG rates, and specifically include “estimated increases from the Annual General Adjustment scheduled for 1 April 2022”; ie, the policy change is aiming for nominal 2019 WEAG rates, not for nominal 2019 WEAG rates plus additional 2022 wage indexation.</w:t>
      </w:r>
      <w:r w:rsidRPr="002157BC">
        <w:rPr>
          <w:rFonts w:ascii="Calibri" w:hAnsi="Calibri" w:cs="Calibri"/>
          <w:i/>
          <w:iCs/>
          <w:sz w:val="20"/>
          <w:szCs w:val="20"/>
        </w:rPr>
        <w:br/>
        <w:t xml:space="preserve">** Wage adjustment percentages are the same as those used for the Annual General Adjustment in 2020 (3.09%) and 2021 (3.10%); and an extrapolation of that used by Government for its own April 2022 estimates (3%). Sources: NZ Government (2020; 2021n; 2021o) </w:t>
      </w:r>
    </w:p>
    <w:p w14:paraId="2F235DD7" w14:textId="77777777" w:rsidR="004D04CF" w:rsidRDefault="004D04CF" w:rsidP="002157BC">
      <w:pPr>
        <w:rPr>
          <w:rFonts w:ascii="Calibri" w:hAnsi="Calibri" w:cs="Calibri"/>
          <w:i/>
          <w:iCs/>
          <w:sz w:val="20"/>
          <w:szCs w:val="20"/>
        </w:rPr>
      </w:pPr>
    </w:p>
    <w:p w14:paraId="286A16CB" w14:textId="77777777" w:rsidR="004D04CF" w:rsidRDefault="004D04CF" w:rsidP="002157BC">
      <w:pPr>
        <w:rPr>
          <w:rFonts w:ascii="Calibri" w:hAnsi="Calibri" w:cs="Calibri"/>
          <w:i/>
          <w:iCs/>
          <w:sz w:val="20"/>
          <w:szCs w:val="20"/>
        </w:rPr>
      </w:pPr>
    </w:p>
    <w:p w14:paraId="59081830" w14:textId="77777777" w:rsidR="004D04CF" w:rsidRDefault="004D04CF" w:rsidP="002157BC">
      <w:pPr>
        <w:rPr>
          <w:rFonts w:ascii="Calibri" w:hAnsi="Calibri" w:cs="Calibri"/>
          <w:i/>
          <w:iCs/>
          <w:sz w:val="20"/>
          <w:szCs w:val="20"/>
        </w:rPr>
      </w:pPr>
    </w:p>
    <w:p w14:paraId="34424A66" w14:textId="77777777" w:rsidR="004D04CF" w:rsidRDefault="004D04CF" w:rsidP="002157BC">
      <w:pPr>
        <w:rPr>
          <w:rFonts w:ascii="Calibri" w:hAnsi="Calibri" w:cs="Calibri"/>
          <w:i/>
          <w:iCs/>
          <w:sz w:val="20"/>
          <w:szCs w:val="20"/>
        </w:rPr>
      </w:pPr>
    </w:p>
    <w:p w14:paraId="07CDAE24" w14:textId="73789B8E" w:rsidR="00ED17D2" w:rsidRPr="00374FF0" w:rsidRDefault="00432627" w:rsidP="00ED17D2">
      <w:pPr>
        <w:pStyle w:val="Caption"/>
        <w:keepNext/>
        <w:rPr>
          <w:sz w:val="24"/>
          <w:szCs w:val="24"/>
        </w:rPr>
      </w:pPr>
      <w:r w:rsidRPr="00374FF0">
        <w:rPr>
          <w:b/>
          <w:bCs/>
          <w:sz w:val="24"/>
          <w:szCs w:val="24"/>
        </w:rPr>
        <w:t>Supplementary table 2</w:t>
      </w:r>
      <w:r w:rsidR="00ED17D2" w:rsidRPr="00374FF0">
        <w:rPr>
          <w:b/>
          <w:bCs/>
          <w:sz w:val="24"/>
          <w:szCs w:val="24"/>
        </w:rPr>
        <w:t>:</w:t>
      </w:r>
      <w:r w:rsidR="00ED17D2" w:rsidRPr="00374FF0">
        <w:rPr>
          <w:sz w:val="24"/>
          <w:szCs w:val="24"/>
        </w:rPr>
        <w:t xml:space="preserve"> </w:t>
      </w:r>
      <w:r w:rsidR="00E80EF3" w:rsidRPr="00374FF0">
        <w:rPr>
          <w:sz w:val="24"/>
          <w:szCs w:val="24"/>
        </w:rPr>
        <w:t xml:space="preserve">Weekly shortfall for benefit recipients with children (core benefit rates + Family Tax Credit), actual </w:t>
      </w:r>
      <w:r w:rsidR="00867292" w:rsidRPr="00374FF0">
        <w:rPr>
          <w:sz w:val="24"/>
          <w:szCs w:val="24"/>
        </w:rPr>
        <w:t>household entitlements</w:t>
      </w:r>
      <w:r w:rsidR="00E80EF3" w:rsidRPr="00374FF0">
        <w:rPr>
          <w:sz w:val="24"/>
          <w:szCs w:val="24"/>
        </w:rPr>
        <w:t xml:space="preserve"> vs WEAG recommended </w:t>
      </w:r>
      <w:r w:rsidR="00867292" w:rsidRPr="00374FF0">
        <w:rPr>
          <w:sz w:val="24"/>
          <w:szCs w:val="24"/>
        </w:rPr>
        <w:t>entitlements</w:t>
      </w:r>
      <w:r w:rsidR="00E80EF3" w:rsidRPr="00374FF0">
        <w:rPr>
          <w:sz w:val="24"/>
          <w:szCs w:val="24"/>
        </w:rPr>
        <w:t xml:space="preserve"> (wage-adjusted for 2022</w:t>
      </w:r>
      <w:r w:rsidR="007D2025">
        <w:rPr>
          <w:sz w:val="24"/>
          <w:szCs w:val="24"/>
        </w:rPr>
        <w:t>/23 year</w:t>
      </w:r>
      <w:r w:rsidR="00E80EF3" w:rsidRPr="00374FF0">
        <w:rPr>
          <w:sz w:val="24"/>
          <w:szCs w:val="24"/>
        </w:rPr>
        <w:t xml:space="preserve">). </w:t>
      </w:r>
      <w:r w:rsidR="00867292" w:rsidRPr="00374FF0">
        <w:rPr>
          <w:sz w:val="24"/>
          <w:szCs w:val="24"/>
        </w:rPr>
        <w:t>These are supporting figures for graphs in Figure 3 and 4.</w:t>
      </w:r>
    </w:p>
    <w:tbl>
      <w:tblPr>
        <w:tblW w:w="12992" w:type="dxa"/>
        <w:tblInd w:w="108" w:type="dxa"/>
        <w:tblLook w:val="04A0" w:firstRow="1" w:lastRow="0" w:firstColumn="1" w:lastColumn="0" w:noHBand="0" w:noVBand="1"/>
      </w:tblPr>
      <w:tblGrid>
        <w:gridCol w:w="2232"/>
        <w:gridCol w:w="1381"/>
        <w:gridCol w:w="1252"/>
        <w:gridCol w:w="1252"/>
        <w:gridCol w:w="1383"/>
        <w:gridCol w:w="1185"/>
        <w:gridCol w:w="1703"/>
        <w:gridCol w:w="1227"/>
        <w:gridCol w:w="1377"/>
      </w:tblGrid>
      <w:tr w:rsidR="00ED17D2" w:rsidRPr="007359D4" w14:paraId="1E452A9B" w14:textId="77777777" w:rsidTr="00432627">
        <w:trPr>
          <w:trHeight w:val="681"/>
        </w:trPr>
        <w:tc>
          <w:tcPr>
            <w:tcW w:w="2232" w:type="dxa"/>
            <w:tcBorders>
              <w:top w:val="nil"/>
              <w:left w:val="nil"/>
              <w:bottom w:val="nil"/>
              <w:right w:val="single" w:sz="8" w:space="0" w:color="auto"/>
            </w:tcBorders>
            <w:shd w:val="clear" w:color="auto" w:fill="auto"/>
            <w:noWrap/>
            <w:vAlign w:val="center"/>
            <w:hideMark/>
          </w:tcPr>
          <w:p w14:paraId="789E3F1E"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 </w:t>
            </w:r>
          </w:p>
        </w:tc>
        <w:tc>
          <w:tcPr>
            <w:tcW w:w="5268" w:type="dxa"/>
            <w:gridSpan w:val="4"/>
            <w:tcBorders>
              <w:top w:val="single" w:sz="8" w:space="0" w:color="auto"/>
              <w:left w:val="nil"/>
              <w:bottom w:val="single" w:sz="8" w:space="0" w:color="auto"/>
              <w:right w:val="single" w:sz="18" w:space="0" w:color="auto"/>
            </w:tcBorders>
            <w:shd w:val="clear" w:color="auto" w:fill="auto"/>
            <w:noWrap/>
            <w:vAlign w:val="center"/>
            <w:hideMark/>
          </w:tcPr>
          <w:p w14:paraId="69E849E6" w14:textId="4A3F395E" w:rsidR="00ED17D2" w:rsidRPr="007359D4" w:rsidRDefault="005B37D2" w:rsidP="00A53840">
            <w:pPr>
              <w:spacing w:after="0" w:line="240" w:lineRule="auto"/>
              <w:jc w:val="center"/>
              <w:rPr>
                <w:rFonts w:ascii="Calibri" w:eastAsia="Times New Roman" w:hAnsi="Calibri" w:cs="Calibri"/>
                <w:b/>
                <w:bCs/>
                <w:color w:val="000000"/>
                <w:szCs w:val="24"/>
                <w:lang w:eastAsia="en-NZ"/>
              </w:rPr>
            </w:pPr>
            <w:r>
              <w:rPr>
                <w:rFonts w:ascii="Calibri" w:eastAsia="Times New Roman" w:hAnsi="Calibri" w:cs="Calibri"/>
                <w:b/>
                <w:bCs/>
                <w:color w:val="000000"/>
                <w:szCs w:val="24"/>
                <w:lang w:eastAsia="en-NZ"/>
              </w:rPr>
              <w:t>April 2019/20 year</w:t>
            </w:r>
          </w:p>
        </w:tc>
        <w:tc>
          <w:tcPr>
            <w:tcW w:w="5492" w:type="dxa"/>
            <w:gridSpan w:val="4"/>
            <w:tcBorders>
              <w:top w:val="single" w:sz="8" w:space="0" w:color="auto"/>
              <w:left w:val="single" w:sz="18" w:space="0" w:color="auto"/>
              <w:bottom w:val="single" w:sz="8" w:space="0" w:color="auto"/>
              <w:right w:val="single" w:sz="8" w:space="0" w:color="000000"/>
            </w:tcBorders>
            <w:shd w:val="clear" w:color="auto" w:fill="auto"/>
            <w:noWrap/>
            <w:vAlign w:val="center"/>
            <w:hideMark/>
          </w:tcPr>
          <w:p w14:paraId="0F67DAE5" w14:textId="7986A3AC" w:rsidR="00ED17D2" w:rsidRPr="007359D4" w:rsidRDefault="005B37D2" w:rsidP="00A53840">
            <w:pPr>
              <w:spacing w:after="0" w:line="240" w:lineRule="auto"/>
              <w:jc w:val="center"/>
              <w:rPr>
                <w:rFonts w:ascii="Calibri" w:eastAsia="Times New Roman" w:hAnsi="Calibri" w:cs="Calibri"/>
                <w:b/>
                <w:bCs/>
                <w:color w:val="000000"/>
                <w:szCs w:val="24"/>
                <w:lang w:eastAsia="en-NZ"/>
              </w:rPr>
            </w:pPr>
            <w:r>
              <w:rPr>
                <w:rFonts w:ascii="Calibri" w:eastAsia="Times New Roman" w:hAnsi="Calibri" w:cs="Calibri"/>
                <w:b/>
                <w:bCs/>
                <w:color w:val="000000"/>
                <w:szCs w:val="24"/>
                <w:lang w:eastAsia="en-NZ"/>
              </w:rPr>
              <w:t>April 22/23 year</w:t>
            </w:r>
            <w:r w:rsidR="00ED17D2" w:rsidRPr="007359D4">
              <w:rPr>
                <w:rFonts w:ascii="Calibri" w:eastAsia="Times New Roman" w:hAnsi="Calibri" w:cs="Calibri"/>
                <w:b/>
                <w:bCs/>
                <w:color w:val="000000"/>
                <w:szCs w:val="24"/>
                <w:lang w:eastAsia="en-NZ"/>
              </w:rPr>
              <w:t xml:space="preserve"> </w:t>
            </w:r>
            <w:r w:rsidR="000457D2">
              <w:rPr>
                <w:rFonts w:ascii="Calibri" w:eastAsia="Times New Roman" w:hAnsi="Calibri" w:cs="Calibri"/>
                <w:b/>
                <w:bCs/>
                <w:color w:val="000000"/>
                <w:szCs w:val="24"/>
                <w:lang w:eastAsia="en-NZ"/>
              </w:rPr>
              <w:t>(e</w:t>
            </w:r>
            <w:r>
              <w:rPr>
                <w:rFonts w:ascii="Calibri" w:eastAsia="Times New Roman" w:hAnsi="Calibri" w:cs="Calibri"/>
                <w:b/>
                <w:bCs/>
                <w:color w:val="000000"/>
                <w:szCs w:val="24"/>
                <w:lang w:eastAsia="en-NZ"/>
              </w:rPr>
              <w:t>xpected</w:t>
            </w:r>
            <w:r w:rsidR="000457D2">
              <w:rPr>
                <w:rFonts w:ascii="Calibri" w:eastAsia="Times New Roman" w:hAnsi="Calibri" w:cs="Calibri"/>
                <w:b/>
                <w:bCs/>
                <w:color w:val="000000"/>
                <w:szCs w:val="24"/>
                <w:lang w:eastAsia="en-NZ"/>
              </w:rPr>
              <w:t>)</w:t>
            </w:r>
          </w:p>
        </w:tc>
      </w:tr>
      <w:tr w:rsidR="00ED17D2" w:rsidRPr="007359D4" w14:paraId="7D292AE4" w14:textId="77777777" w:rsidTr="00432627">
        <w:trPr>
          <w:trHeight w:val="568"/>
        </w:trPr>
        <w:tc>
          <w:tcPr>
            <w:tcW w:w="2232" w:type="dxa"/>
            <w:vMerge w:val="restart"/>
            <w:tcBorders>
              <w:top w:val="nil"/>
              <w:left w:val="nil"/>
              <w:bottom w:val="single" w:sz="8" w:space="0" w:color="000000"/>
              <w:right w:val="single" w:sz="8" w:space="0" w:color="auto"/>
            </w:tcBorders>
            <w:shd w:val="clear" w:color="auto" w:fill="auto"/>
            <w:noWrap/>
            <w:vAlign w:val="center"/>
            <w:hideMark/>
          </w:tcPr>
          <w:p w14:paraId="5E80449D"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 </w:t>
            </w:r>
          </w:p>
        </w:tc>
        <w:tc>
          <w:tcPr>
            <w:tcW w:w="1381"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9D51FBC" w14:textId="77777777" w:rsidR="00ED17D2" w:rsidRPr="007359D4" w:rsidRDefault="00ED17D2" w:rsidP="00A53840">
            <w:pPr>
              <w:spacing w:after="0" w:line="240" w:lineRule="auto"/>
              <w:rPr>
                <w:rFonts w:ascii="Calibri" w:eastAsia="Times New Roman" w:hAnsi="Calibri" w:cs="Calibri"/>
                <w:b/>
                <w:bCs/>
                <w:color w:val="000000"/>
                <w:sz w:val="22"/>
                <w:lang w:eastAsia="en-NZ"/>
              </w:rPr>
            </w:pPr>
            <w:r>
              <w:rPr>
                <w:rFonts w:ascii="Calibri" w:eastAsia="Times New Roman" w:hAnsi="Calibri" w:cs="Calibri"/>
                <w:b/>
                <w:bCs/>
                <w:color w:val="000000"/>
                <w:sz w:val="22"/>
                <w:lang w:eastAsia="en-NZ"/>
              </w:rPr>
              <w:t>A</w:t>
            </w:r>
            <w:r w:rsidRPr="007359D4">
              <w:rPr>
                <w:rFonts w:ascii="Calibri" w:eastAsia="Times New Roman" w:hAnsi="Calibri" w:cs="Calibri"/>
                <w:b/>
                <w:bCs/>
                <w:color w:val="000000"/>
                <w:sz w:val="22"/>
                <w:lang w:eastAsia="en-NZ"/>
              </w:rPr>
              <w:t>ctual</w:t>
            </w:r>
          </w:p>
        </w:tc>
        <w:tc>
          <w:tcPr>
            <w:tcW w:w="1252" w:type="dxa"/>
            <w:vMerge w:val="restart"/>
            <w:tcBorders>
              <w:top w:val="nil"/>
              <w:left w:val="single" w:sz="8" w:space="0" w:color="auto"/>
              <w:bottom w:val="single" w:sz="8" w:space="0" w:color="000000"/>
              <w:right w:val="single" w:sz="8" w:space="0" w:color="auto"/>
            </w:tcBorders>
            <w:shd w:val="clear" w:color="000000" w:fill="E2EFD9"/>
            <w:vAlign w:val="center"/>
            <w:hideMark/>
          </w:tcPr>
          <w:p w14:paraId="002F744C" w14:textId="77777777" w:rsidR="00ED17D2" w:rsidRPr="007359D4" w:rsidRDefault="00ED17D2" w:rsidP="00A53840">
            <w:pPr>
              <w:spacing w:after="0" w:line="240" w:lineRule="auto"/>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 xml:space="preserve">WEAG rates </w:t>
            </w:r>
          </w:p>
        </w:tc>
        <w:tc>
          <w:tcPr>
            <w:tcW w:w="2634" w:type="dxa"/>
            <w:gridSpan w:val="2"/>
            <w:tcBorders>
              <w:top w:val="single" w:sz="8" w:space="0" w:color="auto"/>
              <w:left w:val="nil"/>
              <w:bottom w:val="nil"/>
              <w:right w:val="single" w:sz="18" w:space="0" w:color="auto"/>
            </w:tcBorders>
            <w:shd w:val="clear" w:color="000000" w:fill="F9D2CF"/>
            <w:vAlign w:val="center"/>
            <w:hideMark/>
          </w:tcPr>
          <w:p w14:paraId="378D4AF9" w14:textId="77777777" w:rsidR="00ED17D2" w:rsidRPr="007359D4" w:rsidRDefault="00ED17D2" w:rsidP="00A53840">
            <w:pPr>
              <w:spacing w:after="0" w:line="240" w:lineRule="auto"/>
              <w:jc w:val="center"/>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Shortfall</w:t>
            </w:r>
          </w:p>
        </w:tc>
        <w:tc>
          <w:tcPr>
            <w:tcW w:w="1185" w:type="dxa"/>
            <w:vMerge w:val="restart"/>
            <w:tcBorders>
              <w:top w:val="nil"/>
              <w:left w:val="single" w:sz="18" w:space="0" w:color="auto"/>
              <w:bottom w:val="single" w:sz="8" w:space="0" w:color="000000"/>
              <w:right w:val="single" w:sz="8" w:space="0" w:color="auto"/>
            </w:tcBorders>
            <w:shd w:val="clear" w:color="000000" w:fill="FFF2CC"/>
            <w:vAlign w:val="center"/>
            <w:hideMark/>
          </w:tcPr>
          <w:p w14:paraId="4281F140" w14:textId="77777777" w:rsidR="00ED17D2" w:rsidRPr="007359D4" w:rsidRDefault="00ED17D2" w:rsidP="00A53840">
            <w:pPr>
              <w:spacing w:after="0" w:line="240" w:lineRule="auto"/>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 xml:space="preserve">Actual* </w:t>
            </w:r>
          </w:p>
        </w:tc>
        <w:tc>
          <w:tcPr>
            <w:tcW w:w="1703" w:type="dxa"/>
            <w:vMerge w:val="restart"/>
            <w:tcBorders>
              <w:top w:val="nil"/>
              <w:left w:val="nil"/>
              <w:right w:val="single" w:sz="8" w:space="0" w:color="auto"/>
            </w:tcBorders>
            <w:shd w:val="clear" w:color="000000" w:fill="E2EFD9"/>
            <w:vAlign w:val="center"/>
            <w:hideMark/>
          </w:tcPr>
          <w:p w14:paraId="0E10EE5C" w14:textId="77777777" w:rsidR="00ED17D2" w:rsidRPr="007359D4" w:rsidRDefault="00ED17D2" w:rsidP="00A53840">
            <w:pPr>
              <w:spacing w:after="0" w:line="240" w:lineRule="auto"/>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Wage-adjusted WEAG</w:t>
            </w:r>
            <w:r>
              <w:rPr>
                <w:rFonts w:ascii="Calibri" w:eastAsia="Times New Roman" w:hAnsi="Calibri" w:cs="Calibri"/>
                <w:b/>
                <w:bCs/>
                <w:color w:val="000000"/>
                <w:sz w:val="22"/>
                <w:lang w:eastAsia="en-NZ"/>
              </w:rPr>
              <w:t xml:space="preserve"> </w:t>
            </w:r>
            <w:r w:rsidRPr="007359D4">
              <w:rPr>
                <w:rFonts w:ascii="Calibri" w:eastAsia="Times New Roman" w:hAnsi="Calibri" w:cs="Calibri"/>
                <w:b/>
                <w:bCs/>
                <w:color w:val="000000"/>
                <w:sz w:val="22"/>
                <w:lang w:eastAsia="en-NZ"/>
              </w:rPr>
              <w:t xml:space="preserve">rates** </w:t>
            </w:r>
          </w:p>
        </w:tc>
        <w:tc>
          <w:tcPr>
            <w:tcW w:w="2603" w:type="dxa"/>
            <w:gridSpan w:val="2"/>
            <w:tcBorders>
              <w:top w:val="single" w:sz="8" w:space="0" w:color="auto"/>
              <w:left w:val="nil"/>
              <w:bottom w:val="nil"/>
              <w:right w:val="single" w:sz="8" w:space="0" w:color="000000"/>
            </w:tcBorders>
            <w:shd w:val="clear" w:color="000000" w:fill="F9D2CF"/>
            <w:vAlign w:val="center"/>
            <w:hideMark/>
          </w:tcPr>
          <w:p w14:paraId="3A94E530" w14:textId="77777777" w:rsidR="00ED17D2" w:rsidRPr="007359D4" w:rsidRDefault="00ED17D2" w:rsidP="00A53840">
            <w:pPr>
              <w:spacing w:after="0" w:line="240" w:lineRule="auto"/>
              <w:jc w:val="center"/>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Shortfall</w:t>
            </w:r>
          </w:p>
        </w:tc>
      </w:tr>
      <w:tr w:rsidR="00432627" w:rsidRPr="007359D4" w14:paraId="05935BB8" w14:textId="77777777" w:rsidTr="00432627">
        <w:trPr>
          <w:trHeight w:val="471"/>
        </w:trPr>
        <w:tc>
          <w:tcPr>
            <w:tcW w:w="2232" w:type="dxa"/>
            <w:vMerge/>
            <w:tcBorders>
              <w:top w:val="nil"/>
              <w:left w:val="nil"/>
              <w:bottom w:val="single" w:sz="4" w:space="0" w:color="auto"/>
              <w:right w:val="single" w:sz="8" w:space="0" w:color="auto"/>
            </w:tcBorders>
            <w:vAlign w:val="center"/>
            <w:hideMark/>
          </w:tcPr>
          <w:p w14:paraId="2F5F5F78" w14:textId="77777777" w:rsidR="00ED17D2" w:rsidRPr="007359D4" w:rsidRDefault="00ED17D2" w:rsidP="00A53840">
            <w:pPr>
              <w:spacing w:after="0" w:line="240" w:lineRule="auto"/>
              <w:rPr>
                <w:rFonts w:ascii="Calibri" w:eastAsia="Times New Roman" w:hAnsi="Calibri" w:cs="Calibri"/>
                <w:color w:val="000000"/>
                <w:sz w:val="22"/>
                <w:lang w:eastAsia="en-NZ"/>
              </w:rPr>
            </w:pPr>
          </w:p>
        </w:tc>
        <w:tc>
          <w:tcPr>
            <w:tcW w:w="1381" w:type="dxa"/>
            <w:vMerge/>
            <w:tcBorders>
              <w:top w:val="nil"/>
              <w:left w:val="single" w:sz="8" w:space="0" w:color="auto"/>
              <w:bottom w:val="single" w:sz="4" w:space="0" w:color="auto"/>
              <w:right w:val="single" w:sz="8" w:space="0" w:color="auto"/>
            </w:tcBorders>
            <w:vAlign w:val="center"/>
            <w:hideMark/>
          </w:tcPr>
          <w:p w14:paraId="78DE5522" w14:textId="77777777" w:rsidR="00ED17D2" w:rsidRPr="007359D4" w:rsidRDefault="00ED17D2" w:rsidP="00A53840">
            <w:pPr>
              <w:spacing w:after="0" w:line="240" w:lineRule="auto"/>
              <w:rPr>
                <w:rFonts w:ascii="Calibri" w:eastAsia="Times New Roman" w:hAnsi="Calibri" w:cs="Calibri"/>
                <w:b/>
                <w:bCs/>
                <w:color w:val="000000"/>
                <w:sz w:val="22"/>
                <w:lang w:eastAsia="en-NZ"/>
              </w:rPr>
            </w:pPr>
          </w:p>
        </w:tc>
        <w:tc>
          <w:tcPr>
            <w:tcW w:w="1252" w:type="dxa"/>
            <w:vMerge/>
            <w:tcBorders>
              <w:top w:val="nil"/>
              <w:left w:val="single" w:sz="8" w:space="0" w:color="auto"/>
              <w:bottom w:val="single" w:sz="4" w:space="0" w:color="auto"/>
              <w:right w:val="single" w:sz="8" w:space="0" w:color="auto"/>
            </w:tcBorders>
            <w:vAlign w:val="center"/>
            <w:hideMark/>
          </w:tcPr>
          <w:p w14:paraId="0474F1B1" w14:textId="77777777" w:rsidR="00ED17D2" w:rsidRPr="007359D4" w:rsidRDefault="00ED17D2" w:rsidP="00A53840">
            <w:pPr>
              <w:spacing w:after="0" w:line="240" w:lineRule="auto"/>
              <w:rPr>
                <w:rFonts w:ascii="Calibri" w:eastAsia="Times New Roman" w:hAnsi="Calibri" w:cs="Calibri"/>
                <w:b/>
                <w:bCs/>
                <w:color w:val="000000"/>
                <w:sz w:val="22"/>
                <w:lang w:eastAsia="en-NZ"/>
              </w:rPr>
            </w:pPr>
          </w:p>
        </w:tc>
        <w:tc>
          <w:tcPr>
            <w:tcW w:w="1252" w:type="dxa"/>
            <w:tcBorders>
              <w:top w:val="nil"/>
              <w:left w:val="nil"/>
              <w:bottom w:val="single" w:sz="4" w:space="0" w:color="auto"/>
              <w:right w:val="single" w:sz="8" w:space="0" w:color="auto"/>
            </w:tcBorders>
            <w:shd w:val="clear" w:color="000000" w:fill="F9D2CF"/>
            <w:vAlign w:val="center"/>
            <w:hideMark/>
          </w:tcPr>
          <w:p w14:paraId="1568BBFD" w14:textId="77777777" w:rsidR="00ED17D2" w:rsidRPr="007359D4" w:rsidRDefault="00ED17D2" w:rsidP="00A53840">
            <w:pPr>
              <w:spacing w:after="0" w:line="240" w:lineRule="auto"/>
              <w:jc w:val="center"/>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w:t>
            </w:r>
          </w:p>
        </w:tc>
        <w:tc>
          <w:tcPr>
            <w:tcW w:w="1382" w:type="dxa"/>
            <w:tcBorders>
              <w:top w:val="nil"/>
              <w:left w:val="nil"/>
              <w:bottom w:val="single" w:sz="4" w:space="0" w:color="auto"/>
              <w:right w:val="single" w:sz="18" w:space="0" w:color="auto"/>
            </w:tcBorders>
            <w:shd w:val="clear" w:color="000000" w:fill="F9D2CF"/>
            <w:vAlign w:val="center"/>
            <w:hideMark/>
          </w:tcPr>
          <w:p w14:paraId="6E00A496" w14:textId="77777777" w:rsidR="00ED17D2" w:rsidRPr="007359D4" w:rsidRDefault="00ED17D2" w:rsidP="00A53840">
            <w:pPr>
              <w:spacing w:after="0" w:line="240" w:lineRule="auto"/>
              <w:jc w:val="center"/>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 of actual</w:t>
            </w:r>
          </w:p>
        </w:tc>
        <w:tc>
          <w:tcPr>
            <w:tcW w:w="1185" w:type="dxa"/>
            <w:vMerge/>
            <w:tcBorders>
              <w:top w:val="nil"/>
              <w:left w:val="single" w:sz="18" w:space="0" w:color="auto"/>
              <w:bottom w:val="single" w:sz="4" w:space="0" w:color="auto"/>
              <w:right w:val="single" w:sz="8" w:space="0" w:color="auto"/>
            </w:tcBorders>
            <w:vAlign w:val="center"/>
            <w:hideMark/>
          </w:tcPr>
          <w:p w14:paraId="29B6F9DE" w14:textId="77777777" w:rsidR="00ED17D2" w:rsidRPr="007359D4" w:rsidRDefault="00ED17D2" w:rsidP="00A53840">
            <w:pPr>
              <w:spacing w:after="0" w:line="240" w:lineRule="auto"/>
              <w:rPr>
                <w:rFonts w:ascii="Calibri" w:eastAsia="Times New Roman" w:hAnsi="Calibri" w:cs="Calibri"/>
                <w:b/>
                <w:bCs/>
                <w:color w:val="000000"/>
                <w:sz w:val="22"/>
                <w:lang w:eastAsia="en-NZ"/>
              </w:rPr>
            </w:pPr>
          </w:p>
        </w:tc>
        <w:tc>
          <w:tcPr>
            <w:tcW w:w="1703" w:type="dxa"/>
            <w:vMerge/>
            <w:tcBorders>
              <w:left w:val="nil"/>
              <w:bottom w:val="single" w:sz="4" w:space="0" w:color="auto"/>
              <w:right w:val="single" w:sz="8" w:space="0" w:color="auto"/>
            </w:tcBorders>
            <w:shd w:val="clear" w:color="000000" w:fill="E2EFD9"/>
            <w:vAlign w:val="center"/>
            <w:hideMark/>
          </w:tcPr>
          <w:p w14:paraId="6B9C785C" w14:textId="77777777" w:rsidR="00ED17D2" w:rsidRPr="007359D4" w:rsidRDefault="00ED17D2" w:rsidP="00A53840">
            <w:pPr>
              <w:spacing w:after="0" w:line="240" w:lineRule="auto"/>
              <w:rPr>
                <w:rFonts w:ascii="Calibri" w:eastAsia="Times New Roman" w:hAnsi="Calibri" w:cs="Calibri"/>
                <w:b/>
                <w:bCs/>
                <w:color w:val="000000"/>
                <w:sz w:val="22"/>
                <w:lang w:eastAsia="en-NZ"/>
              </w:rPr>
            </w:pPr>
          </w:p>
        </w:tc>
        <w:tc>
          <w:tcPr>
            <w:tcW w:w="1227" w:type="dxa"/>
            <w:tcBorders>
              <w:top w:val="nil"/>
              <w:left w:val="nil"/>
              <w:bottom w:val="single" w:sz="4" w:space="0" w:color="auto"/>
              <w:right w:val="single" w:sz="8" w:space="0" w:color="auto"/>
            </w:tcBorders>
            <w:shd w:val="clear" w:color="000000" w:fill="F9D2CF"/>
            <w:vAlign w:val="center"/>
            <w:hideMark/>
          </w:tcPr>
          <w:p w14:paraId="6CC262E5" w14:textId="77777777" w:rsidR="00ED17D2" w:rsidRPr="007359D4" w:rsidRDefault="00ED17D2" w:rsidP="00A53840">
            <w:pPr>
              <w:spacing w:after="0" w:line="240" w:lineRule="auto"/>
              <w:jc w:val="center"/>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w:t>
            </w:r>
          </w:p>
        </w:tc>
        <w:tc>
          <w:tcPr>
            <w:tcW w:w="1376" w:type="dxa"/>
            <w:tcBorders>
              <w:top w:val="nil"/>
              <w:left w:val="nil"/>
              <w:bottom w:val="single" w:sz="4" w:space="0" w:color="auto"/>
              <w:right w:val="single" w:sz="8" w:space="0" w:color="auto"/>
            </w:tcBorders>
            <w:shd w:val="clear" w:color="000000" w:fill="F9D2CF"/>
            <w:vAlign w:val="center"/>
            <w:hideMark/>
          </w:tcPr>
          <w:p w14:paraId="7858E698" w14:textId="77777777" w:rsidR="00ED17D2" w:rsidRPr="007359D4" w:rsidRDefault="00ED17D2" w:rsidP="00A53840">
            <w:pPr>
              <w:spacing w:after="0" w:line="240" w:lineRule="auto"/>
              <w:jc w:val="center"/>
              <w:rPr>
                <w:rFonts w:ascii="Calibri" w:eastAsia="Times New Roman" w:hAnsi="Calibri" w:cs="Calibri"/>
                <w:b/>
                <w:bCs/>
                <w:color w:val="000000"/>
                <w:sz w:val="22"/>
                <w:lang w:eastAsia="en-NZ"/>
              </w:rPr>
            </w:pPr>
            <w:r w:rsidRPr="007359D4">
              <w:rPr>
                <w:rFonts w:ascii="Calibri" w:eastAsia="Times New Roman" w:hAnsi="Calibri" w:cs="Calibri"/>
                <w:b/>
                <w:bCs/>
                <w:color w:val="000000"/>
                <w:sz w:val="22"/>
                <w:lang w:eastAsia="en-NZ"/>
              </w:rPr>
              <w:t>% of actual</w:t>
            </w:r>
          </w:p>
        </w:tc>
      </w:tr>
      <w:tr w:rsidR="00432627" w:rsidRPr="007359D4" w14:paraId="2F8941BE" w14:textId="77777777" w:rsidTr="00432627">
        <w:trPr>
          <w:trHeight w:val="465"/>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571F"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SPS, 1 ch</w:t>
            </w:r>
          </w:p>
        </w:tc>
        <w:tc>
          <w:tcPr>
            <w:tcW w:w="138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44F95C"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$452.69</w:t>
            </w:r>
          </w:p>
        </w:tc>
        <w:tc>
          <w:tcPr>
            <w:tcW w:w="1252" w:type="dxa"/>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081F01A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$544</w:t>
            </w:r>
          </w:p>
        </w:tc>
        <w:tc>
          <w:tcPr>
            <w:tcW w:w="1252"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288E8692"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$91.31</w:t>
            </w:r>
          </w:p>
        </w:tc>
        <w:tc>
          <w:tcPr>
            <w:tcW w:w="1382" w:type="dxa"/>
            <w:tcBorders>
              <w:top w:val="single" w:sz="4" w:space="0" w:color="auto"/>
              <w:left w:val="single" w:sz="4" w:space="0" w:color="auto"/>
              <w:bottom w:val="single" w:sz="4" w:space="0" w:color="auto"/>
              <w:right w:val="single" w:sz="18" w:space="0" w:color="auto"/>
            </w:tcBorders>
            <w:shd w:val="clear" w:color="000000" w:fill="F9D2CF"/>
            <w:noWrap/>
            <w:vAlign w:val="center"/>
            <w:hideMark/>
          </w:tcPr>
          <w:p w14:paraId="7ECD4AA6"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20%</w:t>
            </w:r>
          </w:p>
        </w:tc>
        <w:tc>
          <w:tcPr>
            <w:tcW w:w="1185" w:type="dxa"/>
            <w:tcBorders>
              <w:top w:val="single" w:sz="4" w:space="0" w:color="auto"/>
              <w:left w:val="single" w:sz="18" w:space="0" w:color="auto"/>
              <w:bottom w:val="single" w:sz="4" w:space="0" w:color="auto"/>
              <w:right w:val="single" w:sz="4" w:space="0" w:color="auto"/>
            </w:tcBorders>
            <w:shd w:val="clear" w:color="000000" w:fill="FFF2CC"/>
            <w:noWrap/>
            <w:vAlign w:val="center"/>
            <w:hideMark/>
          </w:tcPr>
          <w:p w14:paraId="24B5D192"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$562</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E358CE7"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$595.54</w:t>
            </w:r>
          </w:p>
        </w:tc>
        <w:tc>
          <w:tcPr>
            <w:tcW w:w="1227"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176B62F8"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$33.81</w:t>
            </w:r>
          </w:p>
        </w:tc>
        <w:tc>
          <w:tcPr>
            <w:tcW w:w="1376"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0DC0910C"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w:t>
            </w:r>
          </w:p>
        </w:tc>
      </w:tr>
      <w:tr w:rsidR="00432627" w:rsidRPr="007359D4" w14:paraId="6A1CA8B1" w14:textId="77777777" w:rsidTr="00432627">
        <w:trPr>
          <w:trHeight w:val="465"/>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BDB55"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SPS, 3 ch</w:t>
            </w:r>
          </w:p>
        </w:tc>
        <w:tc>
          <w:tcPr>
            <w:tcW w:w="138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0A2665"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$634.69</w:t>
            </w:r>
          </w:p>
        </w:tc>
        <w:tc>
          <w:tcPr>
            <w:tcW w:w="1252" w:type="dxa"/>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036FB45B"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$784</w:t>
            </w:r>
          </w:p>
        </w:tc>
        <w:tc>
          <w:tcPr>
            <w:tcW w:w="1252"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6F66BB5B"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$149.31</w:t>
            </w:r>
          </w:p>
        </w:tc>
        <w:tc>
          <w:tcPr>
            <w:tcW w:w="1382" w:type="dxa"/>
            <w:tcBorders>
              <w:top w:val="single" w:sz="4" w:space="0" w:color="auto"/>
              <w:left w:val="single" w:sz="4" w:space="0" w:color="auto"/>
              <w:bottom w:val="single" w:sz="4" w:space="0" w:color="auto"/>
              <w:right w:val="single" w:sz="18" w:space="0" w:color="auto"/>
            </w:tcBorders>
            <w:shd w:val="clear" w:color="000000" w:fill="F9D2CF"/>
            <w:noWrap/>
            <w:vAlign w:val="center"/>
            <w:hideMark/>
          </w:tcPr>
          <w:p w14:paraId="532E8A05"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24%</w:t>
            </w:r>
          </w:p>
        </w:tc>
        <w:tc>
          <w:tcPr>
            <w:tcW w:w="1185" w:type="dxa"/>
            <w:tcBorders>
              <w:top w:val="single" w:sz="4" w:space="0" w:color="auto"/>
              <w:left w:val="single" w:sz="18" w:space="0" w:color="auto"/>
              <w:bottom w:val="single" w:sz="4" w:space="0" w:color="auto"/>
              <w:right w:val="single" w:sz="4" w:space="0" w:color="auto"/>
            </w:tcBorders>
            <w:shd w:val="clear" w:color="000000" w:fill="FFF2CC"/>
            <w:noWrap/>
            <w:vAlign w:val="center"/>
            <w:hideMark/>
          </w:tcPr>
          <w:p w14:paraId="3B71B45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$770</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41F3A61"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$858.28</w:t>
            </w:r>
          </w:p>
        </w:tc>
        <w:tc>
          <w:tcPr>
            <w:tcW w:w="1227"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0D0F628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$88.39</w:t>
            </w:r>
          </w:p>
        </w:tc>
        <w:tc>
          <w:tcPr>
            <w:tcW w:w="1376"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2242720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11%</w:t>
            </w:r>
          </w:p>
        </w:tc>
      </w:tr>
      <w:tr w:rsidR="00432627" w:rsidRPr="007359D4" w14:paraId="4B422D49" w14:textId="77777777" w:rsidTr="00432627">
        <w:trPr>
          <w:trHeight w:val="465"/>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72B4"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SLP SP, 1 ch</w:t>
            </w:r>
          </w:p>
        </w:tc>
        <w:tc>
          <w:tcPr>
            <w:tcW w:w="138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BD4C84"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$498.60</w:t>
            </w:r>
          </w:p>
        </w:tc>
        <w:tc>
          <w:tcPr>
            <w:tcW w:w="1252" w:type="dxa"/>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532D37B9"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$569</w:t>
            </w:r>
          </w:p>
        </w:tc>
        <w:tc>
          <w:tcPr>
            <w:tcW w:w="1252"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08BF90E6"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$70.40</w:t>
            </w:r>
          </w:p>
        </w:tc>
        <w:tc>
          <w:tcPr>
            <w:tcW w:w="1382" w:type="dxa"/>
            <w:tcBorders>
              <w:top w:val="single" w:sz="4" w:space="0" w:color="auto"/>
              <w:left w:val="single" w:sz="4" w:space="0" w:color="auto"/>
              <w:bottom w:val="single" w:sz="4" w:space="0" w:color="auto"/>
              <w:right w:val="single" w:sz="18" w:space="0" w:color="auto"/>
            </w:tcBorders>
            <w:shd w:val="clear" w:color="000000" w:fill="F9D2CF"/>
            <w:noWrap/>
            <w:vAlign w:val="center"/>
            <w:hideMark/>
          </w:tcPr>
          <w:p w14:paraId="38266F1E"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14%</w:t>
            </w:r>
          </w:p>
        </w:tc>
        <w:tc>
          <w:tcPr>
            <w:tcW w:w="1185" w:type="dxa"/>
            <w:tcBorders>
              <w:top w:val="single" w:sz="4" w:space="0" w:color="auto"/>
              <w:left w:val="single" w:sz="18" w:space="0" w:color="auto"/>
              <w:bottom w:val="single" w:sz="4" w:space="0" w:color="auto"/>
              <w:right w:val="single" w:sz="4" w:space="0" w:color="auto"/>
            </w:tcBorders>
            <w:shd w:val="clear" w:color="000000" w:fill="FFF2CC"/>
            <w:noWrap/>
            <w:vAlign w:val="center"/>
            <w:hideMark/>
          </w:tcPr>
          <w:p w14:paraId="3581A824"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$613</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A1C498A"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$622.91</w:t>
            </w:r>
          </w:p>
        </w:tc>
        <w:tc>
          <w:tcPr>
            <w:tcW w:w="1227"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3A3E1284"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$10.18</w:t>
            </w:r>
          </w:p>
        </w:tc>
        <w:tc>
          <w:tcPr>
            <w:tcW w:w="1376"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7A59348E"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2%</w:t>
            </w:r>
          </w:p>
        </w:tc>
      </w:tr>
      <w:tr w:rsidR="00432627" w:rsidRPr="007359D4" w14:paraId="76C8FBB6" w14:textId="77777777" w:rsidTr="00432627">
        <w:trPr>
          <w:trHeight w:val="465"/>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0338B"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SLP SP, 3 ch</w:t>
            </w:r>
          </w:p>
        </w:tc>
        <w:tc>
          <w:tcPr>
            <w:tcW w:w="138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56362A"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$680.60</w:t>
            </w:r>
          </w:p>
        </w:tc>
        <w:tc>
          <w:tcPr>
            <w:tcW w:w="1252" w:type="dxa"/>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4068947E"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$809</w:t>
            </w:r>
          </w:p>
        </w:tc>
        <w:tc>
          <w:tcPr>
            <w:tcW w:w="1252"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0715783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$128.40</w:t>
            </w:r>
          </w:p>
        </w:tc>
        <w:tc>
          <w:tcPr>
            <w:tcW w:w="1382" w:type="dxa"/>
            <w:tcBorders>
              <w:top w:val="single" w:sz="4" w:space="0" w:color="auto"/>
              <w:left w:val="single" w:sz="4" w:space="0" w:color="auto"/>
              <w:bottom w:val="single" w:sz="4" w:space="0" w:color="auto"/>
              <w:right w:val="single" w:sz="18" w:space="0" w:color="auto"/>
            </w:tcBorders>
            <w:shd w:val="clear" w:color="000000" w:fill="F9D2CF"/>
            <w:noWrap/>
            <w:vAlign w:val="center"/>
            <w:hideMark/>
          </w:tcPr>
          <w:p w14:paraId="5DB0FF8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19%</w:t>
            </w:r>
          </w:p>
        </w:tc>
        <w:tc>
          <w:tcPr>
            <w:tcW w:w="1185" w:type="dxa"/>
            <w:tcBorders>
              <w:top w:val="single" w:sz="4" w:space="0" w:color="auto"/>
              <w:left w:val="single" w:sz="18" w:space="0" w:color="auto"/>
              <w:bottom w:val="single" w:sz="4" w:space="0" w:color="auto"/>
              <w:right w:val="single" w:sz="4" w:space="0" w:color="auto"/>
            </w:tcBorders>
            <w:shd w:val="clear" w:color="000000" w:fill="FFF2CC"/>
            <w:noWrap/>
            <w:vAlign w:val="center"/>
            <w:hideMark/>
          </w:tcPr>
          <w:p w14:paraId="6A472D4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$821</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7A05A07"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$885.65</w:t>
            </w:r>
          </w:p>
        </w:tc>
        <w:tc>
          <w:tcPr>
            <w:tcW w:w="1227"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6DAA8D97"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$64.76</w:t>
            </w:r>
          </w:p>
        </w:tc>
        <w:tc>
          <w:tcPr>
            <w:tcW w:w="1376" w:type="dxa"/>
            <w:tcBorders>
              <w:top w:val="single" w:sz="4" w:space="0" w:color="auto"/>
              <w:left w:val="single" w:sz="4" w:space="0" w:color="auto"/>
              <w:bottom w:val="single" w:sz="4" w:space="0" w:color="auto"/>
              <w:right w:val="single" w:sz="4" w:space="0" w:color="auto"/>
            </w:tcBorders>
            <w:shd w:val="clear" w:color="000000" w:fill="F9D2CF"/>
            <w:noWrap/>
            <w:vAlign w:val="center"/>
            <w:hideMark/>
          </w:tcPr>
          <w:p w14:paraId="4306CBE5"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w:t>
            </w:r>
          </w:p>
        </w:tc>
      </w:tr>
      <w:tr w:rsidR="00432627" w:rsidRPr="007359D4" w14:paraId="1B07D371" w14:textId="77777777" w:rsidTr="00432627">
        <w:trPr>
          <w:trHeight w:val="446"/>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D680F"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JSS couple, 1 ch</w:t>
            </w:r>
          </w:p>
        </w:tc>
        <w:tc>
          <w:tcPr>
            <w:tcW w:w="138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B3DD38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$504.00</w:t>
            </w:r>
          </w:p>
        </w:tc>
        <w:tc>
          <w:tcPr>
            <w:tcW w:w="12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DE7BD59"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706</w:t>
            </w:r>
          </w:p>
        </w:tc>
        <w:tc>
          <w:tcPr>
            <w:tcW w:w="1252"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6E57F617"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202</w:t>
            </w:r>
          </w:p>
        </w:tc>
        <w:tc>
          <w:tcPr>
            <w:tcW w:w="1382" w:type="dxa"/>
            <w:tcBorders>
              <w:top w:val="single" w:sz="4" w:space="0" w:color="auto"/>
              <w:left w:val="single" w:sz="4" w:space="0" w:color="auto"/>
              <w:bottom w:val="single" w:sz="4" w:space="0" w:color="auto"/>
              <w:right w:val="single" w:sz="18" w:space="0" w:color="auto"/>
            </w:tcBorders>
            <w:shd w:val="clear" w:color="auto" w:fill="F9D2CF"/>
            <w:noWrap/>
            <w:vAlign w:val="bottom"/>
            <w:hideMark/>
          </w:tcPr>
          <w:p w14:paraId="3F88CCD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40%</w:t>
            </w:r>
          </w:p>
        </w:tc>
        <w:tc>
          <w:tcPr>
            <w:tcW w:w="1185" w:type="dxa"/>
            <w:tcBorders>
              <w:top w:val="single" w:sz="4" w:space="0" w:color="auto"/>
              <w:left w:val="single" w:sz="18" w:space="0" w:color="auto"/>
              <w:bottom w:val="single" w:sz="4" w:space="0" w:color="auto"/>
              <w:right w:val="single" w:sz="4" w:space="0" w:color="auto"/>
            </w:tcBorders>
            <w:shd w:val="clear" w:color="auto" w:fill="FFF2CC" w:themeFill="accent4" w:themeFillTint="33"/>
            <w:noWrap/>
            <w:vAlign w:val="bottom"/>
            <w:hideMark/>
          </w:tcPr>
          <w:p w14:paraId="7E261629"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69</w:t>
            </w:r>
            <w:r>
              <w:rPr>
                <w:rFonts w:ascii="Calibri" w:eastAsia="Times New Roman" w:hAnsi="Calibri" w:cs="Calibri"/>
                <w:color w:val="000000"/>
                <w:sz w:val="22"/>
                <w:lang w:eastAsia="en-NZ"/>
              </w:rPr>
              <w:t>4</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62D117E"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$772.89</w:t>
            </w:r>
          </w:p>
        </w:tc>
        <w:tc>
          <w:tcPr>
            <w:tcW w:w="122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A04C625"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79.1</w:t>
            </w:r>
            <w:r>
              <w:rPr>
                <w:rFonts w:ascii="Calibri" w:eastAsia="Times New Roman" w:hAnsi="Calibri" w:cs="Calibri"/>
                <w:color w:val="000000"/>
                <w:sz w:val="22"/>
                <w:lang w:eastAsia="en-NZ"/>
              </w:rPr>
              <w:t>6</w:t>
            </w:r>
          </w:p>
        </w:tc>
        <w:tc>
          <w:tcPr>
            <w:tcW w:w="1376"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04325C3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11%</w:t>
            </w:r>
          </w:p>
        </w:tc>
      </w:tr>
      <w:tr w:rsidR="00432627" w:rsidRPr="007359D4" w14:paraId="74C94182" w14:textId="77777777" w:rsidTr="00432627">
        <w:trPr>
          <w:trHeight w:val="446"/>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75166"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JSS couple, 3 ch</w:t>
            </w:r>
          </w:p>
        </w:tc>
        <w:tc>
          <w:tcPr>
            <w:tcW w:w="138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90A6423"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$686.00</w:t>
            </w:r>
          </w:p>
        </w:tc>
        <w:tc>
          <w:tcPr>
            <w:tcW w:w="12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EB06164"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946</w:t>
            </w:r>
          </w:p>
        </w:tc>
        <w:tc>
          <w:tcPr>
            <w:tcW w:w="1252"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3F950887"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260</w:t>
            </w:r>
          </w:p>
        </w:tc>
        <w:tc>
          <w:tcPr>
            <w:tcW w:w="1382" w:type="dxa"/>
            <w:tcBorders>
              <w:top w:val="single" w:sz="4" w:space="0" w:color="auto"/>
              <w:left w:val="single" w:sz="4" w:space="0" w:color="auto"/>
              <w:bottom w:val="single" w:sz="4" w:space="0" w:color="auto"/>
              <w:right w:val="single" w:sz="18" w:space="0" w:color="auto"/>
            </w:tcBorders>
            <w:shd w:val="clear" w:color="auto" w:fill="F9D2CF"/>
            <w:noWrap/>
            <w:vAlign w:val="bottom"/>
            <w:hideMark/>
          </w:tcPr>
          <w:p w14:paraId="5374FCA8"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38%</w:t>
            </w:r>
          </w:p>
        </w:tc>
        <w:tc>
          <w:tcPr>
            <w:tcW w:w="1185" w:type="dxa"/>
            <w:tcBorders>
              <w:top w:val="single" w:sz="4" w:space="0" w:color="auto"/>
              <w:left w:val="single" w:sz="18" w:space="0" w:color="auto"/>
              <w:bottom w:val="single" w:sz="4" w:space="0" w:color="auto"/>
              <w:right w:val="single" w:sz="4" w:space="0" w:color="auto"/>
            </w:tcBorders>
            <w:shd w:val="clear" w:color="auto" w:fill="FFF2CC" w:themeFill="accent4" w:themeFillTint="33"/>
            <w:noWrap/>
            <w:vAlign w:val="bottom"/>
            <w:hideMark/>
          </w:tcPr>
          <w:p w14:paraId="4A0D9C29"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90</w:t>
            </w:r>
            <w:r>
              <w:rPr>
                <w:rFonts w:ascii="Calibri" w:eastAsia="Times New Roman" w:hAnsi="Calibri" w:cs="Calibri"/>
                <w:color w:val="000000"/>
                <w:sz w:val="22"/>
                <w:lang w:eastAsia="en-NZ"/>
              </w:rPr>
              <w:t>2</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72CB6A7"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$1035.63</w:t>
            </w:r>
          </w:p>
        </w:tc>
        <w:tc>
          <w:tcPr>
            <w:tcW w:w="122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967CB68"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133.7</w:t>
            </w:r>
            <w:r>
              <w:rPr>
                <w:rFonts w:ascii="Calibri" w:eastAsia="Times New Roman" w:hAnsi="Calibri" w:cs="Calibri"/>
                <w:color w:val="000000"/>
                <w:sz w:val="22"/>
                <w:lang w:eastAsia="en-NZ"/>
              </w:rPr>
              <w:t>4</w:t>
            </w:r>
          </w:p>
        </w:tc>
        <w:tc>
          <w:tcPr>
            <w:tcW w:w="1376"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7DF32B18"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15%</w:t>
            </w:r>
          </w:p>
        </w:tc>
      </w:tr>
      <w:tr w:rsidR="00432627" w:rsidRPr="007359D4" w14:paraId="0491C1E6" w14:textId="77777777" w:rsidTr="00432627">
        <w:trPr>
          <w:trHeight w:val="446"/>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319ED"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SLP couple, 1 ch</w:t>
            </w:r>
          </w:p>
        </w:tc>
        <w:tc>
          <w:tcPr>
            <w:tcW w:w="138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E66832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$595.20</w:t>
            </w:r>
          </w:p>
        </w:tc>
        <w:tc>
          <w:tcPr>
            <w:tcW w:w="12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DC116EE"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780</w:t>
            </w:r>
          </w:p>
        </w:tc>
        <w:tc>
          <w:tcPr>
            <w:tcW w:w="1252"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439953B2"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184.8</w:t>
            </w:r>
          </w:p>
        </w:tc>
        <w:tc>
          <w:tcPr>
            <w:tcW w:w="1382" w:type="dxa"/>
            <w:tcBorders>
              <w:top w:val="single" w:sz="4" w:space="0" w:color="auto"/>
              <w:left w:val="single" w:sz="4" w:space="0" w:color="auto"/>
              <w:bottom w:val="single" w:sz="4" w:space="0" w:color="auto"/>
              <w:right w:val="single" w:sz="18" w:space="0" w:color="auto"/>
            </w:tcBorders>
            <w:shd w:val="clear" w:color="auto" w:fill="F9D2CF"/>
            <w:noWrap/>
            <w:vAlign w:val="bottom"/>
            <w:hideMark/>
          </w:tcPr>
          <w:p w14:paraId="6C2CA615"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31%</w:t>
            </w:r>
          </w:p>
        </w:tc>
        <w:tc>
          <w:tcPr>
            <w:tcW w:w="1185" w:type="dxa"/>
            <w:tcBorders>
              <w:top w:val="single" w:sz="4" w:space="0" w:color="auto"/>
              <w:left w:val="single" w:sz="18" w:space="0" w:color="auto"/>
              <w:bottom w:val="single" w:sz="4" w:space="0" w:color="auto"/>
              <w:right w:val="single" w:sz="4" w:space="0" w:color="auto"/>
            </w:tcBorders>
            <w:shd w:val="clear" w:color="auto" w:fill="FFF2CC" w:themeFill="accent4" w:themeFillTint="33"/>
            <w:noWrap/>
            <w:vAlign w:val="bottom"/>
            <w:hideMark/>
          </w:tcPr>
          <w:p w14:paraId="07EC6C58"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76</w:t>
            </w:r>
            <w:r>
              <w:rPr>
                <w:rFonts w:ascii="Calibri" w:eastAsia="Times New Roman" w:hAnsi="Calibri" w:cs="Calibri"/>
                <w:color w:val="000000"/>
                <w:sz w:val="22"/>
                <w:lang w:eastAsia="en-NZ"/>
              </w:rPr>
              <w:t>8</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405111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$853.90</w:t>
            </w:r>
          </w:p>
        </w:tc>
        <w:tc>
          <w:tcPr>
            <w:tcW w:w="122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216C42EB"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86.17</w:t>
            </w:r>
          </w:p>
        </w:tc>
        <w:tc>
          <w:tcPr>
            <w:tcW w:w="1376"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514FFC6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11%</w:t>
            </w:r>
          </w:p>
        </w:tc>
      </w:tr>
      <w:tr w:rsidR="00432627" w:rsidRPr="007359D4" w14:paraId="1AA2193B" w14:textId="77777777" w:rsidTr="00432627">
        <w:trPr>
          <w:trHeight w:val="446"/>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851EB" w14:textId="77777777" w:rsidR="00ED17D2" w:rsidRPr="007359D4" w:rsidRDefault="00ED17D2" w:rsidP="00A53840">
            <w:pPr>
              <w:spacing w:after="0" w:line="240" w:lineRule="auto"/>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SLP couple, 3 ch</w:t>
            </w:r>
          </w:p>
        </w:tc>
        <w:tc>
          <w:tcPr>
            <w:tcW w:w="138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DFB9B82"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sidRPr="007359D4">
              <w:rPr>
                <w:rFonts w:ascii="Calibri" w:eastAsia="Times New Roman" w:hAnsi="Calibri" w:cs="Calibri"/>
                <w:color w:val="000000"/>
                <w:sz w:val="22"/>
                <w:lang w:eastAsia="en-NZ"/>
              </w:rPr>
              <w:t>777.2</w:t>
            </w:r>
          </w:p>
        </w:tc>
        <w:tc>
          <w:tcPr>
            <w:tcW w:w="12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8899CB9"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1020</w:t>
            </w:r>
          </w:p>
        </w:tc>
        <w:tc>
          <w:tcPr>
            <w:tcW w:w="1252"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424E3E86"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242.8</w:t>
            </w:r>
          </w:p>
        </w:tc>
        <w:tc>
          <w:tcPr>
            <w:tcW w:w="1382"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4EC161F0"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31%</w:t>
            </w:r>
          </w:p>
        </w:tc>
        <w:tc>
          <w:tcPr>
            <w:tcW w:w="118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BD7040F"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97</w:t>
            </w:r>
            <w:r>
              <w:rPr>
                <w:rFonts w:ascii="Calibri" w:eastAsia="Times New Roman" w:hAnsi="Calibri" w:cs="Calibri"/>
                <w:color w:val="000000"/>
                <w:sz w:val="22"/>
                <w:lang w:eastAsia="en-NZ"/>
              </w:rPr>
              <w:t>6</w:t>
            </w:r>
          </w:p>
        </w:tc>
        <w:tc>
          <w:tcPr>
            <w:tcW w:w="170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2C3A56B" w14:textId="77777777" w:rsidR="00ED17D2" w:rsidRPr="007359D4" w:rsidRDefault="00ED17D2" w:rsidP="00A53840">
            <w:pPr>
              <w:spacing w:after="0" w:line="240" w:lineRule="auto"/>
              <w:jc w:val="center"/>
              <w:rPr>
                <w:rFonts w:ascii="Calibri" w:eastAsia="Times New Roman" w:hAnsi="Calibri" w:cs="Calibri"/>
                <w:color w:val="000000"/>
                <w:sz w:val="22"/>
                <w:lang w:eastAsia="en-NZ"/>
              </w:rPr>
            </w:pPr>
            <w:r>
              <w:rPr>
                <w:rFonts w:ascii="Calibri" w:eastAsia="Times New Roman" w:hAnsi="Calibri" w:cs="Calibri"/>
                <w:color w:val="000000"/>
                <w:sz w:val="22"/>
                <w:lang w:eastAsia="en-NZ"/>
              </w:rPr>
              <w:t>$1,116.64</w:t>
            </w:r>
          </w:p>
        </w:tc>
        <w:tc>
          <w:tcPr>
            <w:tcW w:w="1227"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16ADB7FD"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w:t>
            </w:r>
            <w:r w:rsidRPr="007359D4">
              <w:rPr>
                <w:rFonts w:ascii="Calibri" w:eastAsia="Times New Roman" w:hAnsi="Calibri" w:cs="Calibri"/>
                <w:color w:val="000000"/>
                <w:sz w:val="22"/>
                <w:lang w:eastAsia="en-NZ"/>
              </w:rPr>
              <w:t>140.7</w:t>
            </w:r>
            <w:r>
              <w:rPr>
                <w:rFonts w:ascii="Calibri" w:eastAsia="Times New Roman" w:hAnsi="Calibri" w:cs="Calibri"/>
                <w:color w:val="000000"/>
                <w:sz w:val="22"/>
                <w:lang w:eastAsia="en-NZ"/>
              </w:rPr>
              <w:t>5</w:t>
            </w:r>
          </w:p>
        </w:tc>
        <w:tc>
          <w:tcPr>
            <w:tcW w:w="1376" w:type="dxa"/>
            <w:tcBorders>
              <w:top w:val="single" w:sz="4" w:space="0" w:color="auto"/>
              <w:left w:val="single" w:sz="4" w:space="0" w:color="auto"/>
              <w:bottom w:val="single" w:sz="4" w:space="0" w:color="auto"/>
              <w:right w:val="single" w:sz="4" w:space="0" w:color="auto"/>
            </w:tcBorders>
            <w:shd w:val="clear" w:color="auto" w:fill="F9D2CF"/>
            <w:noWrap/>
            <w:vAlign w:val="bottom"/>
            <w:hideMark/>
          </w:tcPr>
          <w:p w14:paraId="21782EA4" w14:textId="77777777" w:rsidR="00ED17D2" w:rsidRPr="007359D4" w:rsidRDefault="00ED17D2" w:rsidP="00A53840">
            <w:pPr>
              <w:spacing w:after="0" w:line="240" w:lineRule="auto"/>
              <w:jc w:val="right"/>
              <w:rPr>
                <w:rFonts w:ascii="Calibri" w:eastAsia="Times New Roman" w:hAnsi="Calibri" w:cs="Calibri"/>
                <w:color w:val="000000"/>
                <w:sz w:val="22"/>
                <w:lang w:eastAsia="en-NZ"/>
              </w:rPr>
            </w:pPr>
            <w:r>
              <w:rPr>
                <w:rFonts w:ascii="Calibri" w:eastAsia="Times New Roman" w:hAnsi="Calibri" w:cs="Calibri"/>
                <w:color w:val="000000"/>
                <w:sz w:val="22"/>
                <w:lang w:eastAsia="en-NZ"/>
              </w:rPr>
              <w:t>14%</w:t>
            </w:r>
          </w:p>
        </w:tc>
      </w:tr>
    </w:tbl>
    <w:p w14:paraId="39A8CC7F" w14:textId="77777777" w:rsidR="00B530C9" w:rsidRDefault="00B530C9" w:rsidP="00396042">
      <w:pPr>
        <w:rPr>
          <w:rFonts w:ascii="Calibri" w:hAnsi="Calibri" w:cs="Calibri"/>
          <w:i/>
          <w:iCs/>
          <w:sz w:val="20"/>
          <w:szCs w:val="20"/>
        </w:rPr>
      </w:pPr>
    </w:p>
    <w:p w14:paraId="0C7D0757" w14:textId="4B5FEA35" w:rsidR="00956710" w:rsidRPr="002157BC" w:rsidRDefault="00432627" w:rsidP="00396042">
      <w:pPr>
        <w:rPr>
          <w:i/>
          <w:iCs/>
        </w:rPr>
      </w:pPr>
      <w:r w:rsidRPr="002157BC">
        <w:rPr>
          <w:rFonts w:ascii="Calibri" w:hAnsi="Calibri" w:cs="Calibri"/>
          <w:i/>
          <w:iCs/>
          <w:sz w:val="20"/>
          <w:szCs w:val="20"/>
        </w:rPr>
        <w:t>* Source</w:t>
      </w:r>
      <w:r w:rsidR="008B50BD">
        <w:rPr>
          <w:rFonts w:ascii="Calibri" w:hAnsi="Calibri" w:cs="Calibri"/>
          <w:i/>
          <w:iCs/>
          <w:sz w:val="20"/>
          <w:szCs w:val="20"/>
        </w:rPr>
        <w:t xml:space="preserve">: Work and Income (2021). </w:t>
      </w:r>
      <w:r w:rsidRPr="002157BC">
        <w:rPr>
          <w:rFonts w:ascii="Calibri" w:hAnsi="Calibri" w:cs="Calibri"/>
          <w:i/>
          <w:iCs/>
          <w:sz w:val="20"/>
          <w:szCs w:val="20"/>
        </w:rPr>
        <w:t>These are the same as the nominal 2019 WEAG rates, and specifically include “estimated increases from the Annual General Adjustment scheduled for 1 April 2022”; ie, the policy change is aiming for nominal 2019 WEAG rates, not for nominal 2019 WEAG rates plus additional 2022 wage indexation.</w:t>
      </w:r>
      <w:r w:rsidRPr="002157BC">
        <w:rPr>
          <w:rFonts w:ascii="Calibri" w:hAnsi="Calibri" w:cs="Calibri"/>
          <w:i/>
          <w:iCs/>
          <w:sz w:val="20"/>
          <w:szCs w:val="20"/>
        </w:rPr>
        <w:br/>
        <w:t xml:space="preserve">** </w:t>
      </w:r>
      <w:r w:rsidR="0061251D" w:rsidRPr="002157BC">
        <w:rPr>
          <w:rFonts w:ascii="Calibri" w:hAnsi="Calibri" w:cs="Calibri"/>
          <w:i/>
          <w:iCs/>
          <w:sz w:val="20"/>
          <w:szCs w:val="20"/>
        </w:rPr>
        <w:t xml:space="preserve">Wage adjustment percentages are the same as those used for the Annual General Adjustment in 2020 (3.09%) and 2021 (3.10%); and an extrapolation of that used by Government for its own April 2022 estimates (3%). Sources: NZ Government (2020; 2021n; 2021o) </w:t>
      </w:r>
    </w:p>
    <w:p w14:paraId="05668A80" w14:textId="48C48E5A" w:rsidR="00AD1FE6" w:rsidRPr="00374FF0" w:rsidRDefault="00AD1FE6" w:rsidP="00AD1FE6">
      <w:pPr>
        <w:pStyle w:val="Caption"/>
        <w:keepNext/>
        <w:rPr>
          <w:sz w:val="24"/>
          <w:szCs w:val="24"/>
        </w:rPr>
      </w:pPr>
      <w:r w:rsidRPr="00374FF0">
        <w:rPr>
          <w:b/>
          <w:bCs/>
          <w:sz w:val="24"/>
          <w:szCs w:val="24"/>
        </w:rPr>
        <w:t>Supplementary table 3:</w:t>
      </w:r>
      <w:r w:rsidRPr="00374FF0">
        <w:rPr>
          <w:sz w:val="24"/>
          <w:szCs w:val="24"/>
        </w:rPr>
        <w:t xml:space="preserve"> Cumulative loss of income for families </w:t>
      </w:r>
      <w:r w:rsidR="00B8502B" w:rsidRPr="00374FF0">
        <w:rPr>
          <w:sz w:val="24"/>
          <w:szCs w:val="24"/>
        </w:rPr>
        <w:t xml:space="preserve">receiving maximum benefit and FTC entitlements </w:t>
      </w:r>
      <w:r w:rsidRPr="00374FF0">
        <w:rPr>
          <w:sz w:val="24"/>
          <w:szCs w:val="24"/>
        </w:rPr>
        <w:t>between April 2019</w:t>
      </w:r>
      <w:r w:rsidR="00B530C9" w:rsidRPr="00374FF0">
        <w:rPr>
          <w:sz w:val="24"/>
          <w:szCs w:val="24"/>
        </w:rPr>
        <w:t xml:space="preserve"> and </w:t>
      </w:r>
      <w:r w:rsidRPr="00374FF0">
        <w:rPr>
          <w:sz w:val="24"/>
          <w:szCs w:val="24"/>
        </w:rPr>
        <w:t>March 2022</w:t>
      </w:r>
      <w:r w:rsidR="00B8502B" w:rsidRPr="00374FF0">
        <w:rPr>
          <w:sz w:val="24"/>
          <w:szCs w:val="24"/>
        </w:rPr>
        <w:t>, considering actual benefit + FTC rates versus wage-adjusted WEAG rates as recommended in 2019</w:t>
      </w:r>
      <w:r w:rsidRPr="00374FF0">
        <w:rPr>
          <w:sz w:val="24"/>
          <w:szCs w:val="24"/>
        </w:rPr>
        <w:t xml:space="preserve"> </w:t>
      </w:r>
    </w:p>
    <w:tbl>
      <w:tblPr>
        <w:tblStyle w:val="PlainTable1"/>
        <w:tblW w:w="14138" w:type="dxa"/>
        <w:tblLook w:val="04A0" w:firstRow="1" w:lastRow="0" w:firstColumn="1" w:lastColumn="0" w:noHBand="0" w:noVBand="1"/>
      </w:tblPr>
      <w:tblGrid>
        <w:gridCol w:w="2830"/>
        <w:gridCol w:w="2578"/>
        <w:gridCol w:w="2707"/>
        <w:gridCol w:w="2966"/>
        <w:gridCol w:w="3057"/>
      </w:tblGrid>
      <w:tr w:rsidR="00AD1FE6" w:rsidRPr="00CA2018" w14:paraId="6D2E751C" w14:textId="77777777" w:rsidTr="002157BC">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DC12A9" w14:textId="77777777" w:rsidR="00AD1FE6" w:rsidRPr="000457D2" w:rsidRDefault="00AD1FE6" w:rsidP="00A53840">
            <w:pPr>
              <w:rPr>
                <w:rFonts w:ascii="Calibri" w:eastAsia="Times New Roman" w:hAnsi="Calibri" w:cs="Calibri"/>
                <w:sz w:val="20"/>
                <w:szCs w:val="20"/>
              </w:rPr>
            </w:pPr>
            <w:r w:rsidRPr="000457D2">
              <w:rPr>
                <w:rFonts w:ascii="Calibri" w:eastAsia="Times New Roman" w:hAnsi="Calibri" w:cs="Calibri"/>
                <w:sz w:val="20"/>
                <w:szCs w:val="20"/>
              </w:rPr>
              <w:t>Benefit type, # ch</w:t>
            </w:r>
          </w:p>
        </w:tc>
        <w:tc>
          <w:tcPr>
            <w:tcW w:w="2578" w:type="dxa"/>
            <w:noWrap/>
            <w:hideMark/>
          </w:tcPr>
          <w:p w14:paraId="1AC4C626" w14:textId="6CB93B3C" w:rsidR="00AD1FE6" w:rsidRPr="000457D2" w:rsidRDefault="002157BC" w:rsidP="00A538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457D2">
              <w:rPr>
                <w:rFonts w:ascii="Calibri" w:eastAsia="Times New Roman" w:hAnsi="Calibri" w:cs="Calibri"/>
                <w:sz w:val="20"/>
                <w:szCs w:val="20"/>
              </w:rPr>
              <w:t>Est a</w:t>
            </w:r>
            <w:r w:rsidR="00AD1FE6" w:rsidRPr="000457D2">
              <w:rPr>
                <w:rFonts w:ascii="Calibri" w:eastAsia="Times New Roman" w:hAnsi="Calibri" w:cs="Calibri"/>
                <w:sz w:val="20"/>
                <w:szCs w:val="20"/>
              </w:rPr>
              <w:t xml:space="preserve">nnual loss </w:t>
            </w:r>
            <w:r w:rsidR="005B37D2">
              <w:rPr>
                <w:rFonts w:ascii="Calibri" w:eastAsia="Times New Roman" w:hAnsi="Calibri" w:cs="Calibri"/>
                <w:sz w:val="20"/>
                <w:szCs w:val="20"/>
              </w:rPr>
              <w:t>April 2019/20 year</w:t>
            </w:r>
            <w:r w:rsidR="00D867F3" w:rsidRPr="000457D2">
              <w:rPr>
                <w:rFonts w:ascii="Calibri" w:eastAsia="Times New Roman" w:hAnsi="Calibri" w:cs="Calibri"/>
                <w:sz w:val="20"/>
                <w:szCs w:val="20"/>
              </w:rPr>
              <w:t>*</w:t>
            </w:r>
          </w:p>
        </w:tc>
        <w:tc>
          <w:tcPr>
            <w:tcW w:w="2707" w:type="dxa"/>
            <w:noWrap/>
            <w:hideMark/>
          </w:tcPr>
          <w:p w14:paraId="09F250BD" w14:textId="6BE679E5" w:rsidR="00AD1FE6" w:rsidRPr="000457D2" w:rsidRDefault="002157BC" w:rsidP="00A538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457D2">
              <w:rPr>
                <w:rFonts w:ascii="Calibri" w:eastAsia="Times New Roman" w:hAnsi="Calibri" w:cs="Calibri"/>
                <w:sz w:val="20"/>
                <w:szCs w:val="20"/>
              </w:rPr>
              <w:t>Est a</w:t>
            </w:r>
            <w:r w:rsidR="00AD1FE6" w:rsidRPr="000457D2">
              <w:rPr>
                <w:rFonts w:ascii="Calibri" w:eastAsia="Times New Roman" w:hAnsi="Calibri" w:cs="Calibri"/>
                <w:sz w:val="20"/>
                <w:szCs w:val="20"/>
              </w:rPr>
              <w:t xml:space="preserve">nnual loss </w:t>
            </w:r>
            <w:r w:rsidR="005B37D2">
              <w:rPr>
                <w:rFonts w:ascii="Calibri" w:eastAsia="Times New Roman" w:hAnsi="Calibri" w:cs="Calibri"/>
                <w:sz w:val="20"/>
                <w:szCs w:val="20"/>
              </w:rPr>
              <w:t>April 2020/21 year</w:t>
            </w:r>
            <w:r w:rsidR="00D867F3" w:rsidRPr="000457D2">
              <w:rPr>
                <w:rFonts w:ascii="Calibri" w:eastAsia="Times New Roman" w:hAnsi="Calibri" w:cs="Calibri"/>
                <w:sz w:val="20"/>
                <w:szCs w:val="20"/>
              </w:rPr>
              <w:t>*</w:t>
            </w:r>
          </w:p>
        </w:tc>
        <w:tc>
          <w:tcPr>
            <w:tcW w:w="2966" w:type="dxa"/>
            <w:noWrap/>
            <w:hideMark/>
          </w:tcPr>
          <w:p w14:paraId="3010073A" w14:textId="64817D52" w:rsidR="00AD1FE6" w:rsidRPr="000457D2" w:rsidRDefault="002157BC" w:rsidP="00A538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457D2">
              <w:rPr>
                <w:rFonts w:ascii="Calibri" w:eastAsia="Times New Roman" w:hAnsi="Calibri" w:cs="Calibri"/>
                <w:sz w:val="20"/>
                <w:szCs w:val="20"/>
              </w:rPr>
              <w:t>Est a</w:t>
            </w:r>
            <w:r w:rsidR="00AD1FE6" w:rsidRPr="000457D2">
              <w:rPr>
                <w:rFonts w:ascii="Calibri" w:eastAsia="Times New Roman" w:hAnsi="Calibri" w:cs="Calibri"/>
                <w:sz w:val="20"/>
                <w:szCs w:val="20"/>
              </w:rPr>
              <w:t xml:space="preserve">nnual loss year ended </w:t>
            </w:r>
            <w:r w:rsidR="005B37D2">
              <w:rPr>
                <w:rFonts w:ascii="Calibri" w:eastAsia="Times New Roman" w:hAnsi="Calibri" w:cs="Calibri"/>
                <w:sz w:val="20"/>
                <w:szCs w:val="20"/>
              </w:rPr>
              <w:t>April 2021/22 year</w:t>
            </w:r>
            <w:r w:rsidR="00D867F3" w:rsidRPr="000457D2">
              <w:rPr>
                <w:rFonts w:ascii="Calibri" w:eastAsia="Times New Roman" w:hAnsi="Calibri" w:cs="Calibri"/>
                <w:sz w:val="20"/>
                <w:szCs w:val="20"/>
              </w:rPr>
              <w:t>*</w:t>
            </w:r>
            <w:r w:rsidR="00C47B7A" w:rsidRPr="000457D2">
              <w:rPr>
                <w:rFonts w:ascii="Calibri" w:eastAsia="Times New Roman" w:hAnsi="Calibri" w:cs="Calibri"/>
                <w:sz w:val="20"/>
                <w:szCs w:val="20"/>
              </w:rPr>
              <w:t>^</w:t>
            </w:r>
          </w:p>
        </w:tc>
        <w:tc>
          <w:tcPr>
            <w:tcW w:w="3057" w:type="dxa"/>
            <w:noWrap/>
            <w:hideMark/>
          </w:tcPr>
          <w:p w14:paraId="71F2081F" w14:textId="2D843D87" w:rsidR="00AD1FE6" w:rsidRPr="000457D2" w:rsidRDefault="002157BC" w:rsidP="00A538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0457D2">
              <w:rPr>
                <w:rFonts w:ascii="Calibri" w:eastAsia="Times New Roman" w:hAnsi="Calibri" w:cs="Calibri"/>
                <w:sz w:val="20"/>
                <w:szCs w:val="20"/>
              </w:rPr>
              <w:t>Est c</w:t>
            </w:r>
            <w:r w:rsidR="00AD1FE6" w:rsidRPr="000457D2">
              <w:rPr>
                <w:rFonts w:ascii="Calibri" w:eastAsia="Times New Roman" w:hAnsi="Calibri" w:cs="Calibri"/>
                <w:sz w:val="20"/>
                <w:szCs w:val="20"/>
              </w:rPr>
              <w:t>umulative loss</w:t>
            </w:r>
            <w:r w:rsidR="00374FF0">
              <w:rPr>
                <w:rFonts w:ascii="Calibri" w:eastAsia="Times New Roman" w:hAnsi="Calibri" w:cs="Calibri"/>
                <w:sz w:val="20"/>
                <w:szCs w:val="20"/>
              </w:rPr>
              <w:t xml:space="preserve">, three years </w:t>
            </w:r>
            <w:r w:rsidR="00AD1FE6" w:rsidRPr="000457D2">
              <w:rPr>
                <w:rFonts w:ascii="Calibri" w:eastAsia="Times New Roman" w:hAnsi="Calibri" w:cs="Calibri"/>
                <w:sz w:val="20"/>
                <w:szCs w:val="20"/>
              </w:rPr>
              <w:t>April 2019-March 2022</w:t>
            </w:r>
            <w:r w:rsidR="00D867F3" w:rsidRPr="000457D2">
              <w:rPr>
                <w:rFonts w:ascii="Calibri" w:eastAsia="Times New Roman" w:hAnsi="Calibri" w:cs="Calibri"/>
                <w:sz w:val="20"/>
                <w:szCs w:val="20"/>
              </w:rPr>
              <w:t>*</w:t>
            </w:r>
          </w:p>
        </w:tc>
      </w:tr>
      <w:tr w:rsidR="00AD1FE6" w:rsidRPr="00CA2018" w14:paraId="5137F3D9" w14:textId="77777777" w:rsidTr="002157B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A4FAA16"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SPS 1 child</w:t>
            </w:r>
          </w:p>
        </w:tc>
        <w:tc>
          <w:tcPr>
            <w:tcW w:w="2578" w:type="dxa"/>
            <w:noWrap/>
            <w:hideMark/>
          </w:tcPr>
          <w:p w14:paraId="4D3CCBA8"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$4,760.90 </w:t>
            </w:r>
          </w:p>
        </w:tc>
        <w:tc>
          <w:tcPr>
            <w:tcW w:w="2707" w:type="dxa"/>
            <w:noWrap/>
            <w:hideMark/>
          </w:tcPr>
          <w:p w14:paraId="305DD8AE"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$3,787.45 </w:t>
            </w:r>
          </w:p>
        </w:tc>
        <w:tc>
          <w:tcPr>
            <w:tcW w:w="2966" w:type="dxa"/>
            <w:noWrap/>
            <w:hideMark/>
          </w:tcPr>
          <w:p w14:paraId="1B4E4D3A"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 $3,306.44 </w:t>
            </w:r>
          </w:p>
        </w:tc>
        <w:tc>
          <w:tcPr>
            <w:tcW w:w="3057" w:type="dxa"/>
            <w:noWrap/>
            <w:hideMark/>
          </w:tcPr>
          <w:p w14:paraId="25F55E86"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D678E7">
              <w:rPr>
                <w:rFonts w:ascii="Calibri" w:eastAsia="Times New Roman" w:hAnsi="Calibri" w:cs="Calibri"/>
                <w:b/>
                <w:bCs/>
                <w:color w:val="000000"/>
                <w:sz w:val="20"/>
                <w:szCs w:val="20"/>
              </w:rPr>
              <w:t xml:space="preserve"> $11,854.80 </w:t>
            </w:r>
          </w:p>
        </w:tc>
      </w:tr>
      <w:tr w:rsidR="00AD1FE6" w:rsidRPr="00CA2018" w14:paraId="30BAD5E5" w14:textId="77777777" w:rsidTr="002157BC">
        <w:trPr>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92BC5F"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SPS 3 child</w:t>
            </w:r>
          </w:p>
        </w:tc>
        <w:tc>
          <w:tcPr>
            <w:tcW w:w="2578" w:type="dxa"/>
            <w:noWrap/>
            <w:hideMark/>
          </w:tcPr>
          <w:p w14:paraId="1A5181F9"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$7,785.02 </w:t>
            </w:r>
          </w:p>
        </w:tc>
        <w:tc>
          <w:tcPr>
            <w:tcW w:w="2707" w:type="dxa"/>
            <w:noWrap/>
            <w:hideMark/>
          </w:tcPr>
          <w:p w14:paraId="43F3F1CB"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 $7,198.22 </w:t>
            </w:r>
          </w:p>
        </w:tc>
        <w:tc>
          <w:tcPr>
            <w:tcW w:w="2966" w:type="dxa"/>
            <w:noWrap/>
            <w:hideMark/>
          </w:tcPr>
          <w:p w14:paraId="008FC567"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 $7,117.14 </w:t>
            </w:r>
          </w:p>
        </w:tc>
        <w:tc>
          <w:tcPr>
            <w:tcW w:w="3057" w:type="dxa"/>
            <w:noWrap/>
            <w:hideMark/>
          </w:tcPr>
          <w:p w14:paraId="2694ACED"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D678E7">
              <w:rPr>
                <w:rFonts w:ascii="Calibri" w:eastAsia="Times New Roman" w:hAnsi="Calibri" w:cs="Calibri"/>
                <w:b/>
                <w:bCs/>
                <w:color w:val="000000"/>
                <w:sz w:val="20"/>
                <w:szCs w:val="20"/>
              </w:rPr>
              <w:t xml:space="preserve"> $22,100.38 </w:t>
            </w:r>
          </w:p>
        </w:tc>
      </w:tr>
      <w:tr w:rsidR="00AD1FE6" w:rsidRPr="00CA2018" w14:paraId="2BC5E67C" w14:textId="77777777" w:rsidTr="002157B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AC7059"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SP 1 child</w:t>
            </w:r>
          </w:p>
        </w:tc>
        <w:tc>
          <w:tcPr>
            <w:tcW w:w="2578" w:type="dxa"/>
            <w:noWrap/>
            <w:hideMark/>
          </w:tcPr>
          <w:p w14:paraId="145EC05E"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$3,670.66 </w:t>
            </w:r>
          </w:p>
        </w:tc>
        <w:tc>
          <w:tcPr>
            <w:tcW w:w="2707" w:type="dxa"/>
            <w:noWrap/>
            <w:hideMark/>
          </w:tcPr>
          <w:p w14:paraId="1206908F"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 $2,663.42 </w:t>
            </w:r>
          </w:p>
        </w:tc>
        <w:tc>
          <w:tcPr>
            <w:tcW w:w="2966" w:type="dxa"/>
            <w:noWrap/>
            <w:hideMark/>
          </w:tcPr>
          <w:p w14:paraId="20E474D6"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$2,147.45 </w:t>
            </w:r>
          </w:p>
        </w:tc>
        <w:tc>
          <w:tcPr>
            <w:tcW w:w="3057" w:type="dxa"/>
            <w:noWrap/>
            <w:hideMark/>
          </w:tcPr>
          <w:p w14:paraId="7762FE62"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D678E7">
              <w:rPr>
                <w:rFonts w:ascii="Calibri" w:eastAsia="Times New Roman" w:hAnsi="Calibri" w:cs="Calibri"/>
                <w:b/>
                <w:bCs/>
                <w:color w:val="000000"/>
                <w:sz w:val="20"/>
                <w:szCs w:val="20"/>
              </w:rPr>
              <w:t xml:space="preserve"> $8,481.52 </w:t>
            </w:r>
          </w:p>
        </w:tc>
      </w:tr>
      <w:tr w:rsidR="00AD1FE6" w:rsidRPr="00CA2018" w14:paraId="406B4E36" w14:textId="77777777" w:rsidTr="002157BC">
        <w:trPr>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227DC11"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SP 3 child</w:t>
            </w:r>
          </w:p>
        </w:tc>
        <w:tc>
          <w:tcPr>
            <w:tcW w:w="2578" w:type="dxa"/>
            <w:noWrap/>
            <w:hideMark/>
          </w:tcPr>
          <w:p w14:paraId="2E325AC8"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$6,694.78 </w:t>
            </w:r>
          </w:p>
        </w:tc>
        <w:tc>
          <w:tcPr>
            <w:tcW w:w="2707" w:type="dxa"/>
            <w:noWrap/>
            <w:hideMark/>
          </w:tcPr>
          <w:p w14:paraId="5CD185FE"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$6,074.21 </w:t>
            </w:r>
          </w:p>
        </w:tc>
        <w:tc>
          <w:tcPr>
            <w:tcW w:w="2966" w:type="dxa"/>
            <w:noWrap/>
            <w:hideMark/>
          </w:tcPr>
          <w:p w14:paraId="6D0E4B38"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678E7">
              <w:rPr>
                <w:rFonts w:ascii="Calibri" w:eastAsia="Times New Roman" w:hAnsi="Calibri" w:cs="Calibri"/>
                <w:color w:val="000000"/>
                <w:sz w:val="20"/>
                <w:szCs w:val="20"/>
              </w:rPr>
              <w:t xml:space="preserve">$5,958.14 </w:t>
            </w:r>
          </w:p>
        </w:tc>
        <w:tc>
          <w:tcPr>
            <w:tcW w:w="3057" w:type="dxa"/>
            <w:noWrap/>
            <w:hideMark/>
          </w:tcPr>
          <w:p w14:paraId="58689D67"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D678E7">
              <w:rPr>
                <w:rFonts w:ascii="Calibri" w:eastAsia="Times New Roman" w:hAnsi="Calibri" w:cs="Calibri"/>
                <w:b/>
                <w:bCs/>
                <w:color w:val="000000"/>
                <w:sz w:val="20"/>
                <w:szCs w:val="20"/>
              </w:rPr>
              <w:t xml:space="preserve">$18,727.13 </w:t>
            </w:r>
          </w:p>
        </w:tc>
      </w:tr>
      <w:tr w:rsidR="00AD1FE6" w:rsidRPr="00CA2018" w14:paraId="0A59788E" w14:textId="77777777" w:rsidTr="002157B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A446A1"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JSS couple w/1ch, per household</w:t>
            </w:r>
          </w:p>
        </w:tc>
        <w:tc>
          <w:tcPr>
            <w:tcW w:w="2578" w:type="dxa"/>
            <w:noWrap/>
            <w:hideMark/>
          </w:tcPr>
          <w:p w14:paraId="0C36869A"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$10,532.28 </w:t>
            </w:r>
          </w:p>
        </w:tc>
        <w:tc>
          <w:tcPr>
            <w:tcW w:w="2707" w:type="dxa"/>
            <w:noWrap/>
            <w:hideMark/>
          </w:tcPr>
          <w:p w14:paraId="22D67C04"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$9,737.43 </w:t>
            </w:r>
          </w:p>
        </w:tc>
        <w:tc>
          <w:tcPr>
            <w:tcW w:w="2966" w:type="dxa"/>
            <w:noWrap/>
            <w:hideMark/>
          </w:tcPr>
          <w:p w14:paraId="19607687"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$8,398.59 </w:t>
            </w:r>
          </w:p>
        </w:tc>
        <w:tc>
          <w:tcPr>
            <w:tcW w:w="3057" w:type="dxa"/>
            <w:noWrap/>
            <w:hideMark/>
          </w:tcPr>
          <w:p w14:paraId="24AFE10D"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highlight w:val="yellow"/>
              </w:rPr>
            </w:pPr>
            <w:r w:rsidRPr="00D678E7">
              <w:rPr>
                <w:b/>
                <w:bCs/>
                <w:sz w:val="20"/>
                <w:szCs w:val="20"/>
              </w:rPr>
              <w:t xml:space="preserve"> $28,668.30 </w:t>
            </w:r>
          </w:p>
        </w:tc>
      </w:tr>
      <w:tr w:rsidR="00AD1FE6" w:rsidRPr="00CA2018" w14:paraId="02C01440" w14:textId="77777777" w:rsidTr="002157BC">
        <w:trPr>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72A858"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JSS couple w/3ch, per household</w:t>
            </w:r>
          </w:p>
        </w:tc>
        <w:tc>
          <w:tcPr>
            <w:tcW w:w="2578" w:type="dxa"/>
            <w:noWrap/>
            <w:hideMark/>
          </w:tcPr>
          <w:p w14:paraId="3AB0F9C2"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$13,556.40 </w:t>
            </w:r>
          </w:p>
        </w:tc>
        <w:tc>
          <w:tcPr>
            <w:tcW w:w="2707" w:type="dxa"/>
            <w:noWrap/>
            <w:hideMark/>
          </w:tcPr>
          <w:p w14:paraId="326A4D63"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$13,148.22 </w:t>
            </w:r>
          </w:p>
        </w:tc>
        <w:tc>
          <w:tcPr>
            <w:tcW w:w="2966" w:type="dxa"/>
            <w:noWrap/>
            <w:hideMark/>
          </w:tcPr>
          <w:p w14:paraId="33279480"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$12,209.29 </w:t>
            </w:r>
          </w:p>
        </w:tc>
        <w:tc>
          <w:tcPr>
            <w:tcW w:w="3057" w:type="dxa"/>
            <w:noWrap/>
            <w:hideMark/>
          </w:tcPr>
          <w:p w14:paraId="1078BB8F"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highlight w:val="yellow"/>
              </w:rPr>
            </w:pPr>
            <w:r w:rsidRPr="00D678E7">
              <w:rPr>
                <w:b/>
                <w:bCs/>
                <w:sz w:val="20"/>
                <w:szCs w:val="20"/>
              </w:rPr>
              <w:t xml:space="preserve"> $38,913.91 </w:t>
            </w:r>
          </w:p>
        </w:tc>
      </w:tr>
      <w:tr w:rsidR="00AD1FE6" w:rsidRPr="00CA2018" w14:paraId="5C34A904" w14:textId="77777777" w:rsidTr="002157B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DD590AD"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couple w/1ch, per household</w:t>
            </w:r>
          </w:p>
        </w:tc>
        <w:tc>
          <w:tcPr>
            <w:tcW w:w="2578" w:type="dxa"/>
            <w:noWrap/>
            <w:hideMark/>
          </w:tcPr>
          <w:p w14:paraId="251C03E2"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$9,635.47 </w:t>
            </w:r>
          </w:p>
        </w:tc>
        <w:tc>
          <w:tcPr>
            <w:tcW w:w="2707" w:type="dxa"/>
            <w:noWrap/>
            <w:hideMark/>
          </w:tcPr>
          <w:p w14:paraId="3ECDC713"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$8,812.81 </w:t>
            </w:r>
          </w:p>
        </w:tc>
        <w:tc>
          <w:tcPr>
            <w:tcW w:w="2966" w:type="dxa"/>
            <w:noWrap/>
            <w:hideMark/>
          </w:tcPr>
          <w:p w14:paraId="775AF2CC"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$7,445.03 </w:t>
            </w:r>
          </w:p>
        </w:tc>
        <w:tc>
          <w:tcPr>
            <w:tcW w:w="3057" w:type="dxa"/>
            <w:noWrap/>
            <w:hideMark/>
          </w:tcPr>
          <w:p w14:paraId="77218693" w14:textId="77777777" w:rsidR="00AD1FE6" w:rsidRPr="00D678E7" w:rsidRDefault="00AD1FE6" w:rsidP="00A538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highlight w:val="yellow"/>
              </w:rPr>
            </w:pPr>
            <w:r w:rsidRPr="00D678E7">
              <w:rPr>
                <w:b/>
                <w:bCs/>
                <w:sz w:val="20"/>
                <w:szCs w:val="20"/>
              </w:rPr>
              <w:t xml:space="preserve"> $25,893.31 </w:t>
            </w:r>
          </w:p>
        </w:tc>
      </w:tr>
      <w:tr w:rsidR="00AD1FE6" w:rsidRPr="00CA2018" w14:paraId="676E7DBE" w14:textId="77777777" w:rsidTr="002157BC">
        <w:trPr>
          <w:trHeight w:val="33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44E2C8" w14:textId="77777777" w:rsidR="00AD1FE6" w:rsidRPr="00D678E7" w:rsidRDefault="00AD1FE6" w:rsidP="00A53840">
            <w:pPr>
              <w:rPr>
                <w:rFonts w:ascii="Calibri" w:eastAsia="Times New Roman" w:hAnsi="Calibri" w:cs="Calibri"/>
                <w:b w:val="0"/>
                <w:bCs w:val="0"/>
                <w:color w:val="000000"/>
                <w:sz w:val="20"/>
                <w:szCs w:val="20"/>
              </w:rPr>
            </w:pPr>
            <w:r w:rsidRPr="00D678E7">
              <w:rPr>
                <w:rFonts w:ascii="Calibri" w:eastAsia="Times New Roman" w:hAnsi="Calibri" w:cs="Calibri"/>
                <w:b w:val="0"/>
                <w:bCs w:val="0"/>
                <w:color w:val="000000"/>
                <w:sz w:val="20"/>
                <w:szCs w:val="20"/>
              </w:rPr>
              <w:t>SLP couple w/3ch, per household</w:t>
            </w:r>
          </w:p>
        </w:tc>
        <w:tc>
          <w:tcPr>
            <w:tcW w:w="2578" w:type="dxa"/>
            <w:noWrap/>
            <w:hideMark/>
          </w:tcPr>
          <w:p w14:paraId="4CBCF4D0"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$12,659.59 </w:t>
            </w:r>
          </w:p>
        </w:tc>
        <w:tc>
          <w:tcPr>
            <w:tcW w:w="2707" w:type="dxa"/>
            <w:noWrap/>
            <w:hideMark/>
          </w:tcPr>
          <w:p w14:paraId="0808A79B"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$12,223.60 </w:t>
            </w:r>
          </w:p>
        </w:tc>
        <w:tc>
          <w:tcPr>
            <w:tcW w:w="2966" w:type="dxa"/>
            <w:noWrap/>
            <w:hideMark/>
          </w:tcPr>
          <w:p w14:paraId="4F12A931"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rPr>
            </w:pPr>
            <w:r w:rsidRPr="00D678E7">
              <w:rPr>
                <w:sz w:val="20"/>
                <w:szCs w:val="20"/>
              </w:rPr>
              <w:t xml:space="preserve"> $11,255.73 </w:t>
            </w:r>
          </w:p>
        </w:tc>
        <w:tc>
          <w:tcPr>
            <w:tcW w:w="3057" w:type="dxa"/>
            <w:noWrap/>
            <w:hideMark/>
          </w:tcPr>
          <w:p w14:paraId="19F1AC5F" w14:textId="77777777" w:rsidR="00AD1FE6" w:rsidRPr="00D678E7" w:rsidRDefault="00AD1FE6" w:rsidP="00A538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highlight w:val="yellow"/>
              </w:rPr>
            </w:pPr>
            <w:r w:rsidRPr="00D678E7">
              <w:rPr>
                <w:b/>
                <w:bCs/>
                <w:sz w:val="20"/>
                <w:szCs w:val="20"/>
              </w:rPr>
              <w:t xml:space="preserve"> $36,138.91 </w:t>
            </w:r>
          </w:p>
        </w:tc>
      </w:tr>
    </w:tbl>
    <w:p w14:paraId="7A9AE35B" w14:textId="77777777" w:rsidR="00A27005" w:rsidRDefault="00A27005" w:rsidP="00B8502B">
      <w:pPr>
        <w:rPr>
          <w:rFonts w:ascii="Calibri" w:hAnsi="Calibri" w:cs="Calibri"/>
          <w:sz w:val="20"/>
          <w:szCs w:val="20"/>
        </w:rPr>
      </w:pPr>
    </w:p>
    <w:p w14:paraId="413B7B10" w14:textId="7E50BE21" w:rsidR="00096849" w:rsidRDefault="00B8502B" w:rsidP="00B8502B">
      <w:pPr>
        <w:rPr>
          <w:rFonts w:ascii="Calibri" w:hAnsi="Calibri" w:cs="Calibri"/>
          <w:i/>
          <w:iCs/>
          <w:sz w:val="20"/>
          <w:szCs w:val="20"/>
        </w:rPr>
      </w:pPr>
      <w:r w:rsidRPr="00A27005">
        <w:rPr>
          <w:rFonts w:ascii="Calibri" w:hAnsi="Calibri" w:cs="Calibri"/>
          <w:i/>
          <w:iCs/>
          <w:sz w:val="20"/>
          <w:szCs w:val="20"/>
        </w:rPr>
        <w:t>*</w:t>
      </w:r>
      <w:r w:rsidR="00D867F3" w:rsidRPr="00A27005">
        <w:rPr>
          <w:rFonts w:ascii="Calibri" w:hAnsi="Calibri" w:cs="Calibri"/>
          <w:i/>
          <w:iCs/>
          <w:sz w:val="20"/>
          <w:szCs w:val="20"/>
        </w:rPr>
        <w:t>Rates are w</w:t>
      </w:r>
      <w:r w:rsidR="00AD1FE6" w:rsidRPr="00A27005">
        <w:rPr>
          <w:rFonts w:ascii="Calibri" w:hAnsi="Calibri" w:cs="Calibri"/>
          <w:i/>
          <w:iCs/>
          <w:sz w:val="20"/>
          <w:szCs w:val="20"/>
        </w:rPr>
        <w:t>age adjust</w:t>
      </w:r>
      <w:r w:rsidR="00D867F3" w:rsidRPr="00A27005">
        <w:rPr>
          <w:rFonts w:ascii="Calibri" w:hAnsi="Calibri" w:cs="Calibri"/>
          <w:i/>
          <w:iCs/>
          <w:sz w:val="20"/>
          <w:szCs w:val="20"/>
        </w:rPr>
        <w:t>ed from April 2019 using</w:t>
      </w:r>
      <w:r w:rsidR="00995760" w:rsidRPr="00A27005">
        <w:rPr>
          <w:rFonts w:ascii="Calibri" w:hAnsi="Calibri" w:cs="Calibri"/>
          <w:i/>
          <w:iCs/>
          <w:sz w:val="20"/>
          <w:szCs w:val="20"/>
        </w:rPr>
        <w:t xml:space="preserve"> the same</w:t>
      </w:r>
      <w:r w:rsidR="00AD1FE6" w:rsidRPr="00A27005">
        <w:rPr>
          <w:rFonts w:ascii="Calibri" w:hAnsi="Calibri" w:cs="Calibri"/>
          <w:i/>
          <w:iCs/>
          <w:sz w:val="20"/>
          <w:szCs w:val="20"/>
        </w:rPr>
        <w:t xml:space="preserve"> percentages as those used for the Annual General Adjustment in 2020 (3.09%) and 2021 (3.10%); and an extrapolation of that used by Government for its own April 2022 estimates (3%). Sources</w:t>
      </w:r>
      <w:r w:rsidR="00A06A75" w:rsidRPr="00A27005">
        <w:rPr>
          <w:rFonts w:ascii="Calibri" w:hAnsi="Calibri" w:cs="Calibri"/>
          <w:i/>
          <w:iCs/>
          <w:sz w:val="20"/>
          <w:szCs w:val="20"/>
        </w:rPr>
        <w:t>: NZ Government (</w:t>
      </w:r>
      <w:r w:rsidR="00317133" w:rsidRPr="00A27005">
        <w:rPr>
          <w:rFonts w:ascii="Calibri" w:hAnsi="Calibri" w:cs="Calibri"/>
          <w:i/>
          <w:iCs/>
          <w:sz w:val="20"/>
          <w:szCs w:val="20"/>
        </w:rPr>
        <w:t xml:space="preserve">2020; </w:t>
      </w:r>
      <w:r w:rsidR="00A06A75" w:rsidRPr="00A27005">
        <w:rPr>
          <w:rFonts w:ascii="Calibri" w:hAnsi="Calibri" w:cs="Calibri"/>
          <w:i/>
          <w:iCs/>
          <w:sz w:val="20"/>
          <w:szCs w:val="20"/>
        </w:rPr>
        <w:t>2021n</w:t>
      </w:r>
      <w:r w:rsidR="0061251D" w:rsidRPr="00A27005">
        <w:rPr>
          <w:rFonts w:ascii="Calibri" w:hAnsi="Calibri" w:cs="Calibri"/>
          <w:i/>
          <w:iCs/>
          <w:sz w:val="20"/>
          <w:szCs w:val="20"/>
        </w:rPr>
        <w:t>; 2021o</w:t>
      </w:r>
      <w:r w:rsidR="00A06A75" w:rsidRPr="00A27005">
        <w:rPr>
          <w:rFonts w:ascii="Calibri" w:hAnsi="Calibri" w:cs="Calibri"/>
          <w:i/>
          <w:iCs/>
          <w:sz w:val="20"/>
          <w:szCs w:val="20"/>
        </w:rPr>
        <w:t>)</w:t>
      </w:r>
      <w:r w:rsidRPr="00A27005">
        <w:rPr>
          <w:rFonts w:ascii="Calibri" w:hAnsi="Calibri" w:cs="Calibri"/>
          <w:i/>
          <w:iCs/>
          <w:sz w:val="20"/>
          <w:szCs w:val="20"/>
        </w:rPr>
        <w:t>. Maximum FTC and benefit rates</w:t>
      </w:r>
    </w:p>
    <w:p w14:paraId="762090EE" w14:textId="1A4AE2B3" w:rsidR="00C47B7A" w:rsidRPr="00A27005" w:rsidRDefault="00C47B7A" w:rsidP="00B8502B">
      <w:pPr>
        <w:rPr>
          <w:i/>
          <w:iCs/>
        </w:rPr>
      </w:pPr>
      <w:r>
        <w:rPr>
          <w:rFonts w:ascii="Calibri" w:hAnsi="Calibri" w:cs="Calibri"/>
          <w:i/>
          <w:iCs/>
          <w:sz w:val="20"/>
          <w:szCs w:val="20"/>
        </w:rPr>
        <w:t>^The first phase of Budget 2021 benefit increases came into effect in July 202</w:t>
      </w:r>
      <w:r w:rsidR="00DF5CCD">
        <w:rPr>
          <w:rFonts w:ascii="Calibri" w:hAnsi="Calibri" w:cs="Calibri"/>
          <w:i/>
          <w:iCs/>
          <w:sz w:val="20"/>
          <w:szCs w:val="20"/>
        </w:rPr>
        <w:t xml:space="preserve">1, so these increased rates are accounted for </w:t>
      </w:r>
      <w:r w:rsidR="004B32C2">
        <w:rPr>
          <w:rFonts w:ascii="Calibri" w:hAnsi="Calibri" w:cs="Calibri"/>
          <w:i/>
          <w:iCs/>
          <w:sz w:val="20"/>
          <w:szCs w:val="20"/>
        </w:rPr>
        <w:t>¾ of the year ending March 2022.</w:t>
      </w:r>
    </w:p>
    <w:sectPr w:rsidR="00C47B7A" w:rsidRPr="00A27005" w:rsidSect="00AE2800">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F6F15" w14:textId="77777777" w:rsidR="001B73B7" w:rsidRDefault="001B73B7" w:rsidP="00D23A45">
      <w:pPr>
        <w:spacing w:after="0" w:line="240" w:lineRule="auto"/>
      </w:pPr>
      <w:r>
        <w:separator/>
      </w:r>
    </w:p>
  </w:endnote>
  <w:endnote w:type="continuationSeparator" w:id="0">
    <w:p w14:paraId="1CF4E6FD" w14:textId="77777777" w:rsidR="001B73B7" w:rsidRDefault="001B73B7" w:rsidP="00D23A45">
      <w:pPr>
        <w:spacing w:after="0" w:line="240" w:lineRule="auto"/>
      </w:pPr>
      <w:r>
        <w:continuationSeparator/>
      </w:r>
    </w:p>
  </w:endnote>
  <w:endnote w:type="continuationNotice" w:id="1">
    <w:p w14:paraId="277DFD20" w14:textId="77777777" w:rsidR="001B73B7" w:rsidRDefault="001B7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useo Sans 700">
    <w:altName w:val="Calibri"/>
    <w:panose1 w:val="00000000000000000000"/>
    <w:charset w:val="00"/>
    <w:family w:val="swiss"/>
    <w:notTrueType/>
    <w:pitch w:val="default"/>
    <w:sig w:usb0="00000003" w:usb1="00000000" w:usb2="00000000" w:usb3="00000000" w:csb0="00000001" w:csb1="00000000"/>
  </w:font>
  <w:font w:name="Museo Sans 300">
    <w:altName w:val="Calibri"/>
    <w:panose1 w:val="00000000000000000000"/>
    <w:charset w:val="00"/>
    <w:family w:val="swiss"/>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Museo Sans 500">
    <w:altName w:val="Calibri"/>
    <w:panose1 w:val="00000000000000000000"/>
    <w:charset w:val="00"/>
    <w:family w:val="swiss"/>
    <w:notTrueType/>
    <w:pitch w:val="default"/>
    <w:sig w:usb0="00000003" w:usb1="00000000" w:usb2="00000000" w:usb3="00000000" w:csb0="00000001" w:csb1="00000000"/>
  </w:font>
  <w:font w:name="InterstateLigh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702F" w14:textId="77777777" w:rsidR="00E84D61" w:rsidRDefault="00E84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029708"/>
      <w:docPartObj>
        <w:docPartGallery w:val="Page Numbers (Bottom of Page)"/>
        <w:docPartUnique/>
      </w:docPartObj>
    </w:sdtPr>
    <w:sdtEndPr>
      <w:rPr>
        <w:noProof/>
      </w:rPr>
    </w:sdtEndPr>
    <w:sdtContent>
      <w:p w14:paraId="50900583" w14:textId="334B8B2B" w:rsidR="00E84D61" w:rsidRDefault="00E84D61">
        <w:pPr>
          <w:pStyle w:val="Footer"/>
          <w:jc w:val="right"/>
        </w:pPr>
        <w:r>
          <w:fldChar w:fldCharType="begin"/>
        </w:r>
        <w:r>
          <w:instrText xml:space="preserve"> PAGE   \* MERGEFORMAT </w:instrText>
        </w:r>
        <w:r>
          <w:fldChar w:fldCharType="separate"/>
        </w:r>
        <w:r w:rsidR="00026B46">
          <w:rPr>
            <w:noProof/>
          </w:rPr>
          <w:t>5</w:t>
        </w:r>
        <w:r>
          <w:rPr>
            <w:noProof/>
          </w:rPr>
          <w:fldChar w:fldCharType="end"/>
        </w:r>
      </w:p>
    </w:sdtContent>
  </w:sdt>
  <w:p w14:paraId="6824B052" w14:textId="77777777" w:rsidR="00E84D61" w:rsidRDefault="00E84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62BC" w14:textId="638B00E3" w:rsidR="00E84D61" w:rsidRPr="0063006D" w:rsidRDefault="00E84D61" w:rsidP="00977647">
    <w:pPr>
      <w:pStyle w:val="Footer"/>
      <w:spacing w:after="240"/>
      <w:ind w:left="1440"/>
      <w:rPr>
        <w:rFonts w:ascii="InterstateLight" w:hAnsi="InterstateLight"/>
      </w:rPr>
    </w:pPr>
    <w:r w:rsidRPr="0063006D">
      <w:rPr>
        <w:rFonts w:ascii="InterstateLight" w:hAnsi="InterstateLight"/>
        <w:noProof/>
        <w:lang w:eastAsia="en-NZ"/>
      </w:rPr>
      <w:drawing>
        <wp:anchor distT="0" distB="0" distL="114300" distR="114300" simplePos="0" relativeHeight="251658240" behindDoc="0" locked="0" layoutInCell="1" allowOverlap="1" wp14:anchorId="76DE7A21" wp14:editId="76457146">
          <wp:simplePos x="0" y="0"/>
          <wp:positionH relativeFrom="margin">
            <wp:posOffset>4733496</wp:posOffset>
          </wp:positionH>
          <wp:positionV relativeFrom="margin">
            <wp:posOffset>7383322</wp:posOffset>
          </wp:positionV>
          <wp:extent cx="1346200" cy="1100455"/>
          <wp:effectExtent l="0" t="0" r="6350" b="4445"/>
          <wp:wrapSquare wrapText="bothSides"/>
          <wp:docPr id="2023470901" name="Picture 20234709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70901" name="Picture 2023470901"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620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06D">
      <w:rPr>
        <w:rFonts w:ascii="InterstateLight" w:hAnsi="InterstateLight"/>
        <w:noProof/>
        <w:szCs w:val="24"/>
        <w:lang w:eastAsia="en-NZ"/>
      </w:rPr>
      <mc:AlternateContent>
        <mc:Choice Requires="wps">
          <w:drawing>
            <wp:anchor distT="4294967295" distB="4294967295" distL="114300" distR="114300" simplePos="0" relativeHeight="251658241" behindDoc="0" locked="0" layoutInCell="1" allowOverlap="1" wp14:anchorId="69AB9B7D" wp14:editId="7778F867">
              <wp:simplePos x="0" y="0"/>
              <wp:positionH relativeFrom="column">
                <wp:posOffset>889146</wp:posOffset>
              </wp:positionH>
              <wp:positionV relativeFrom="paragraph">
                <wp:posOffset>303530</wp:posOffset>
              </wp:positionV>
              <wp:extent cx="5151120" cy="0"/>
              <wp:effectExtent l="0" t="38100" r="3048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112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78B9C" id="Straight Connector 11"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pt,23.9pt" to="475.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" strokecolor="#538135 [2409]" strokeweight="6pt">
              <v:stroke joinstyle="miter"/>
              <o:lock v:ext="edit" shapetype="f"/>
            </v:line>
          </w:pict>
        </mc:Fallback>
      </mc:AlternateContent>
    </w:r>
    <w:r w:rsidRPr="00794CD0">
      <w:rPr>
        <w:rFonts w:ascii="InterstateLight" w:hAnsi="InterstateLight"/>
        <w:szCs w:val="24"/>
      </w:rPr>
      <w:t>Caitlin Neuwelt-Kearns, Innes Asher, Alan Johnson</w:t>
    </w:r>
  </w:p>
  <w:p w14:paraId="0DF2F00A" w14:textId="77777777" w:rsidR="00E84D61" w:rsidRDefault="00E84D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7DA7" w14:textId="77777777" w:rsidR="00E84D61" w:rsidRDefault="00E84D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764399"/>
      <w:docPartObj>
        <w:docPartGallery w:val="Page Numbers (Bottom of Page)"/>
        <w:docPartUnique/>
      </w:docPartObj>
    </w:sdtPr>
    <w:sdtEndPr>
      <w:rPr>
        <w:noProof/>
      </w:rPr>
    </w:sdtEndPr>
    <w:sdtContent>
      <w:p w14:paraId="2C0F0D0B" w14:textId="62FA3EAC" w:rsidR="00E84D61" w:rsidRDefault="00E84D61">
        <w:pPr>
          <w:pStyle w:val="Footer"/>
          <w:jc w:val="right"/>
        </w:pPr>
        <w:r>
          <w:fldChar w:fldCharType="begin"/>
        </w:r>
        <w:r>
          <w:instrText xml:space="preserve"> PAGE   \* MERGEFORMAT </w:instrText>
        </w:r>
        <w:r>
          <w:fldChar w:fldCharType="separate"/>
        </w:r>
        <w:r w:rsidR="00026B46">
          <w:rPr>
            <w:noProof/>
          </w:rPr>
          <w:t>99</w:t>
        </w:r>
        <w:r>
          <w:rPr>
            <w:noProof/>
          </w:rPr>
          <w:fldChar w:fldCharType="end"/>
        </w:r>
      </w:p>
    </w:sdtContent>
  </w:sdt>
  <w:p w14:paraId="587420DB" w14:textId="77777777" w:rsidR="00E84D61" w:rsidRDefault="00E84D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7933" w14:textId="77777777" w:rsidR="00E84D61" w:rsidRDefault="00E8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BD843" w14:textId="77777777" w:rsidR="001B73B7" w:rsidRDefault="001B73B7" w:rsidP="00D23A45">
      <w:pPr>
        <w:spacing w:after="0" w:line="240" w:lineRule="auto"/>
      </w:pPr>
      <w:r>
        <w:separator/>
      </w:r>
    </w:p>
  </w:footnote>
  <w:footnote w:type="continuationSeparator" w:id="0">
    <w:p w14:paraId="7DE8DFF1" w14:textId="77777777" w:rsidR="001B73B7" w:rsidRDefault="001B73B7" w:rsidP="00D23A45">
      <w:pPr>
        <w:spacing w:after="0" w:line="240" w:lineRule="auto"/>
      </w:pPr>
      <w:r>
        <w:continuationSeparator/>
      </w:r>
    </w:p>
  </w:footnote>
  <w:footnote w:type="continuationNotice" w:id="1">
    <w:p w14:paraId="6C73A458" w14:textId="77777777" w:rsidR="001B73B7" w:rsidRDefault="001B73B7">
      <w:pPr>
        <w:spacing w:after="0" w:line="240" w:lineRule="auto"/>
      </w:pPr>
    </w:p>
  </w:footnote>
  <w:footnote w:id="2">
    <w:p w14:paraId="1C4CFA9C" w14:textId="71602A2F" w:rsidR="00E84D61" w:rsidRPr="00CC0237" w:rsidRDefault="00E84D61" w:rsidP="00525EBC">
      <w:pPr>
        <w:pStyle w:val="FootnoteText"/>
        <w:rPr>
          <w:lang w:val="en-US"/>
        </w:rPr>
      </w:pPr>
      <w:r>
        <w:rPr>
          <w:rStyle w:val="FootnoteReference"/>
        </w:rPr>
        <w:footnoteRef/>
      </w:r>
      <w:r>
        <w:t xml:space="preserve"> </w:t>
      </w:r>
      <w:r>
        <w:rPr>
          <w:lang w:val="en-US"/>
        </w:rPr>
        <w:t xml:space="preserve">See </w:t>
      </w:r>
      <w:hyperlink r:id="rId1" w:history="1">
        <w:r w:rsidRPr="00C470BE">
          <w:rPr>
            <w:rStyle w:val="Hyperlink"/>
          </w:rPr>
          <w:t>McAllister (2021) – The Government’s response to lockdown hardship has been piecemeal and inadequate. Why?</w:t>
        </w:r>
      </w:hyperlink>
      <w:r>
        <w:t xml:space="preserve"> </w:t>
      </w:r>
      <w:r>
        <w:rPr>
          <w:lang w:val="en-US"/>
        </w:rPr>
        <w:t>for more analysis on foodbanks vs income assistance in the August 2021 lockdown.</w:t>
      </w:r>
    </w:p>
  </w:footnote>
  <w:footnote w:id="3">
    <w:p w14:paraId="31DF7AD1" w14:textId="77777777" w:rsidR="00E84D61" w:rsidRPr="00D13904" w:rsidRDefault="00E84D61" w:rsidP="00F70759">
      <w:pPr>
        <w:pStyle w:val="FootnoteText"/>
        <w:rPr>
          <w:rFonts w:ascii="Calibri" w:hAnsi="Calibri" w:cs="Calibri"/>
          <w:lang w:val="mi-NZ"/>
        </w:rPr>
      </w:pPr>
      <w:r>
        <w:rPr>
          <w:rStyle w:val="FootnoteReference"/>
        </w:rPr>
        <w:footnoteRef/>
      </w:r>
      <w:r>
        <w:t xml:space="preserve"> </w:t>
      </w:r>
      <w:r>
        <w:rPr>
          <w:lang w:val="mi-NZ"/>
        </w:rPr>
        <w:t xml:space="preserve">For further </w:t>
      </w:r>
      <w:r w:rsidRPr="00D13904">
        <w:rPr>
          <w:rFonts w:ascii="Calibri" w:hAnsi="Calibri" w:cs="Calibri"/>
          <w:lang w:val="mi-NZ"/>
        </w:rPr>
        <w:t xml:space="preserve">discussion of these principles, see </w:t>
      </w:r>
      <w:hyperlink r:id="rId2" w:history="1">
        <w:r w:rsidRPr="00D13904">
          <w:rPr>
            <w:rStyle w:val="Hyperlink"/>
            <w:rFonts w:ascii="Calibri" w:hAnsi="Calibri" w:cs="Calibri"/>
            <w:shd w:val="clear" w:color="auto" w:fill="FFFFFF"/>
          </w:rPr>
          <w:t xml:space="preserve">McMeeking S, Kahi H, Kururangi G, Maurice E (2019). </w:t>
        </w:r>
        <w:r w:rsidRPr="00D13904">
          <w:rPr>
            <w:rStyle w:val="Hyperlink"/>
            <w:rFonts w:ascii="Calibri" w:hAnsi="Calibri" w:cs="Calibri"/>
            <w:i/>
            <w:iCs/>
            <w:shd w:val="clear" w:color="auto" w:fill="FFFFFF"/>
          </w:rPr>
          <w:t>Kia Piki Ake Te Mana Tāngata— Review of the WEAG Tikanga Framework. Ministry of Social Development</w:t>
        </w:r>
        <w:r w:rsidRPr="00D13904">
          <w:rPr>
            <w:rStyle w:val="Hyperlink"/>
            <w:rFonts w:ascii="Calibri" w:hAnsi="Calibri" w:cs="Calibri"/>
            <w:shd w:val="clear" w:color="auto" w:fill="FFFFFF"/>
          </w:rPr>
          <w:t>. Welfare Expert Advisory Group. Ministry of Social Development.</w:t>
        </w:r>
      </w:hyperlink>
      <w:r>
        <w:rPr>
          <w:rFonts w:ascii="Calibri" w:hAnsi="Calibri" w:cs="Calibri"/>
          <w:color w:val="333333"/>
          <w:shd w:val="clear" w:color="auto" w:fill="FFFFFF"/>
        </w:rPr>
        <w:t xml:space="preserve"> Also Andrews, Fred (2020) </w:t>
      </w:r>
      <w:hyperlink r:id="rId3" w:history="1">
        <w:r w:rsidRPr="00B1380D">
          <w:rPr>
            <w:rStyle w:val="Hyperlink"/>
            <w:rFonts w:ascii="Calibri" w:hAnsi="Calibri" w:cs="Calibri"/>
            <w:shd w:val="clear" w:color="auto" w:fill="FFFFFF"/>
          </w:rPr>
          <w:t>Kia Piki Ake Te Mana Tangata: Kōrero with Matua Fred</w:t>
        </w:r>
      </w:hyperlink>
      <w:r>
        <w:rPr>
          <w:rFonts w:ascii="Calibri" w:hAnsi="Calibri" w:cs="Calibri"/>
          <w:color w:val="333333"/>
          <w:shd w:val="clear" w:color="auto" w:fill="FFFFFF"/>
        </w:rPr>
        <w:t xml:space="preserve"> (videos). Child Poverty Action Group.</w:t>
      </w:r>
    </w:p>
  </w:footnote>
  <w:footnote w:id="4">
    <w:p w14:paraId="466D0F65" w14:textId="5641B61B" w:rsidR="00E84D61" w:rsidRPr="00AF1F26" w:rsidRDefault="00E84D61">
      <w:pPr>
        <w:pStyle w:val="FootnoteText"/>
        <w:rPr>
          <w:lang w:val="mi-NZ"/>
        </w:rPr>
      </w:pPr>
      <w:r>
        <w:rPr>
          <w:rStyle w:val="FootnoteReference"/>
        </w:rPr>
        <w:footnoteRef/>
      </w:r>
      <w:r>
        <w:t xml:space="preserve"> WEAG also intended that families in paid work would get up to a maximum of $50 per week Earned Income Tax Credit (not child related) to replace the In-Work Tax Credit. </w:t>
      </w:r>
    </w:p>
  </w:footnote>
  <w:footnote w:id="5">
    <w:p w14:paraId="37168414" w14:textId="7056041A" w:rsidR="00E84D61" w:rsidRPr="009A6994" w:rsidRDefault="00E84D61" w:rsidP="00350E05">
      <w:pPr>
        <w:pStyle w:val="FootnoteText"/>
        <w:rPr>
          <w:lang w:val="mi-NZ"/>
        </w:rPr>
      </w:pPr>
      <w:r>
        <w:rPr>
          <w:rStyle w:val="FootnoteReference"/>
        </w:rPr>
        <w:footnoteRef/>
      </w:r>
      <w:r>
        <w:t xml:space="preserve"> </w:t>
      </w:r>
      <w:r w:rsidRPr="004A648F">
        <w:rPr>
          <w:lang w:val="mi-NZ"/>
        </w:rPr>
        <w:t>CPAG does not support the establishment of an Earned Income Tax Credit as the quid pro quo for abolishing the IWTC and increasing the FTC. The EITC involves overlapping abatements that will require compensatory changes to the abatement of WFF. Paid-work incentives are best met with other tools, such as increases in the minimum wage, while enablers of paid-work for those caregivers for whom it is possible and appropriate include high quality, accessible and free childcare.</w:t>
      </w:r>
      <w:r>
        <w:rPr>
          <w:lang w:val="mi-NZ"/>
        </w:rPr>
        <w:t xml:space="preserve"> </w:t>
      </w:r>
    </w:p>
  </w:footnote>
  <w:footnote w:id="6">
    <w:p w14:paraId="275FA6CF" w14:textId="08AAE758" w:rsidR="00E84D61" w:rsidRPr="00FE03EF" w:rsidRDefault="00E84D61">
      <w:pPr>
        <w:pStyle w:val="FootnoteText"/>
        <w:rPr>
          <w:lang w:val="mi-NZ"/>
        </w:rPr>
      </w:pPr>
      <w:r>
        <w:rPr>
          <w:rStyle w:val="FootnoteReference"/>
        </w:rPr>
        <w:footnoteRef/>
      </w:r>
      <w:r>
        <w:t xml:space="preserve"> </w:t>
      </w:r>
      <w:r>
        <w:rPr>
          <w:lang w:val="mi-NZ"/>
        </w:rPr>
        <w:t xml:space="preserve">As </w:t>
      </w:r>
      <w:r w:rsidRPr="00CA2018">
        <w:t>reported in the Ministry of Business Innovation and Employment’s (MBIE’s) Tenancy Bond Division dataset</w:t>
      </w:r>
      <w:r>
        <w:t>.</w:t>
      </w:r>
    </w:p>
  </w:footnote>
  <w:footnote w:id="7">
    <w:p w14:paraId="4523BA55" w14:textId="76FB1357" w:rsidR="00E84D61" w:rsidRPr="00BD7F92" w:rsidRDefault="00E84D61">
      <w:pPr>
        <w:pStyle w:val="FootnoteText"/>
        <w:rPr>
          <w:lang w:val="mi-NZ"/>
        </w:rPr>
      </w:pPr>
      <w:r>
        <w:rPr>
          <w:rStyle w:val="FootnoteReference"/>
        </w:rPr>
        <w:footnoteRef/>
      </w:r>
      <w:r>
        <w:t xml:space="preserve"> Note that t</w:t>
      </w:r>
      <w:r w:rsidRPr="00CA2018">
        <w:t xml:space="preserve">he </w:t>
      </w:r>
      <w:r>
        <w:t>CPI</w:t>
      </w:r>
      <w:r w:rsidRPr="00CA2018">
        <w:t xml:space="preserve"> for rent as reported by </w:t>
      </w:r>
      <w:r>
        <w:t>Stats NZ</w:t>
      </w:r>
      <w:r w:rsidRPr="00CA2018">
        <w:t xml:space="preserve"> is less reliable</w:t>
      </w:r>
      <w:r>
        <w:t>; i</w:t>
      </w:r>
      <w:r w:rsidRPr="00CA2018">
        <w:t xml:space="preserve">t shows more modest increases in households’ spending on rents of 3.3% over the 12-month period and 4.8% over two years. The reasons for this difference between these two datasets </w:t>
      </w:r>
      <w:r>
        <w:t>are</w:t>
      </w:r>
      <w:r w:rsidRPr="00CA2018">
        <w:t xml:space="preserve"> not known</w:t>
      </w:r>
      <w:r>
        <w:t>,</w:t>
      </w:r>
      <w:r w:rsidRPr="00CA2018">
        <w:t xml:space="preserve"> but may be due to the inclusion</w:t>
      </w:r>
      <w:r>
        <w:t xml:space="preserve"> of</w:t>
      </w:r>
      <w:r w:rsidRPr="00CA2018">
        <w:t xml:space="preserve"> households in social housing or family</w:t>
      </w:r>
      <w:r>
        <w:t>-</w:t>
      </w:r>
      <w:r w:rsidRPr="00CA2018">
        <w:t xml:space="preserve">owned </w:t>
      </w:r>
      <w:r>
        <w:t xml:space="preserve">housing </w:t>
      </w:r>
      <w:r w:rsidRPr="00CA2018">
        <w:t>where the rents are lower and more stable.</w:t>
      </w:r>
      <w:r>
        <w:t xml:space="preserve"> </w:t>
      </w:r>
    </w:p>
  </w:footnote>
  <w:footnote w:id="8">
    <w:p w14:paraId="3601C371" w14:textId="7A4C5B39" w:rsidR="00E84D61" w:rsidRPr="00054384" w:rsidRDefault="00E84D61">
      <w:pPr>
        <w:pStyle w:val="FootnoteText"/>
        <w:rPr>
          <w:lang w:val="mi-NZ"/>
        </w:rPr>
      </w:pPr>
      <w:r>
        <w:rPr>
          <w:rStyle w:val="FootnoteReference"/>
        </w:rPr>
        <w:footnoteRef/>
      </w:r>
      <w:r>
        <w:t xml:space="preserve"> </w:t>
      </w:r>
      <w:r w:rsidRPr="00054384">
        <w:t>The difference between the total stock and the number of IRRS tenancies is due to vacant houses and a small number of tenants paying market rents.</w:t>
      </w:r>
    </w:p>
  </w:footnote>
  <w:footnote w:id="9">
    <w:p w14:paraId="4FB80D40" w14:textId="3470197C" w:rsidR="00E84D61" w:rsidRPr="00D81D27" w:rsidRDefault="00E84D61" w:rsidP="001C5A41">
      <w:pPr>
        <w:pStyle w:val="FootnoteText"/>
        <w:rPr>
          <w:lang w:val="en-US"/>
        </w:rPr>
      </w:pPr>
      <w:r>
        <w:rPr>
          <w:rStyle w:val="FootnoteReference"/>
        </w:rPr>
        <w:footnoteRef/>
      </w:r>
      <w:r>
        <w:t xml:space="preserve"> </w:t>
      </w:r>
      <w:r>
        <w:rPr>
          <w:lang w:val="en-US"/>
        </w:rPr>
        <w:t xml:space="preserve">There seems to be a small discrepancy of 209 units between HUD and Kainga Ora figures on this point: 63,995 vs 64,206, possibly explained by differences in snapshot dates or calculations of when builds or transactions are finished. </w:t>
      </w:r>
    </w:p>
  </w:footnote>
  <w:footnote w:id="10">
    <w:p w14:paraId="786D9917" w14:textId="3C699CDC" w:rsidR="00E84D61" w:rsidRPr="0038527A" w:rsidRDefault="00E84D61" w:rsidP="007D5E58">
      <w:pPr>
        <w:pStyle w:val="FootnoteText"/>
        <w:rPr>
          <w:lang w:val="en-US"/>
        </w:rPr>
      </w:pPr>
      <w:r>
        <w:rPr>
          <w:rStyle w:val="FootnoteReference"/>
        </w:rPr>
        <w:footnoteRef/>
      </w:r>
      <w:r>
        <w:t xml:space="preserve"> </w:t>
      </w:r>
      <w:r>
        <w:rPr>
          <w:lang w:val="en-US"/>
        </w:rPr>
        <w:t xml:space="preserve">For a discussion of the consequences of no implementation see Duff, Michelle, 3 Oct 2021: The mothers struggling to feed their babies while the state keeps all their child support </w:t>
      </w:r>
      <w:hyperlink r:id="rId4" w:history="1">
        <w:r w:rsidRPr="002F2E08">
          <w:rPr>
            <w:rStyle w:val="Hyperlink"/>
            <w:lang w:val="en-US"/>
          </w:rPr>
          <w:t>https://www.stuff.co.nz/national/300418067/the-mothers-struggling-to-feed-their-babies-while-the-state-keeps-all-their-child-support?rm=a</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078EF" w14:textId="21A25296" w:rsidR="00E84D61" w:rsidRDefault="00E84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B66E" w14:textId="6B46FBC9" w:rsidR="00E84D61" w:rsidRDefault="00E84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DB01" w14:textId="097D2934" w:rsidR="00E84D61" w:rsidRDefault="00E84D61">
    <w:pPr>
      <w:pStyle w:val="Header"/>
    </w:pPr>
    <w:r>
      <w:rPr>
        <w:noProof/>
        <w:lang w:eastAsia="en-NZ"/>
      </w:rPr>
      <w:drawing>
        <wp:inline distT="0" distB="0" distL="0" distR="0" wp14:anchorId="4627366A" wp14:editId="695F5C4B">
          <wp:extent cx="5448200" cy="952500"/>
          <wp:effectExtent l="0" t="0" r="635" b="0"/>
          <wp:docPr id="2023470900" name="Picture 2023470900"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70900" name="Picture 2023470900" descr="A collage of a perso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085" cy="959123"/>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3C3B" w14:textId="47AE6F17" w:rsidR="00E84D61" w:rsidRDefault="00E84D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6547" w14:textId="09E8ADA9" w:rsidR="00E84D61" w:rsidRDefault="00E84D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CDE2" w14:textId="1D36502C" w:rsidR="00E84D61" w:rsidRDefault="00E84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6A32"/>
    <w:multiLevelType w:val="hybridMultilevel"/>
    <w:tmpl w:val="7CE2556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87B0751"/>
    <w:multiLevelType w:val="hybridMultilevel"/>
    <w:tmpl w:val="CBD8B04E"/>
    <w:lvl w:ilvl="0" w:tplc="F2D6AF0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152BDD"/>
    <w:multiLevelType w:val="hybridMultilevel"/>
    <w:tmpl w:val="E542D720"/>
    <w:lvl w:ilvl="0" w:tplc="F2D6AF0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084CCC"/>
    <w:multiLevelType w:val="hybridMultilevel"/>
    <w:tmpl w:val="09EC271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3329B6"/>
    <w:multiLevelType w:val="hybridMultilevel"/>
    <w:tmpl w:val="D090C7E0"/>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5" w15:restartNumberingAfterBreak="0">
    <w:nsid w:val="0C9E2D70"/>
    <w:multiLevelType w:val="hybridMultilevel"/>
    <w:tmpl w:val="CD642E9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F9868A5"/>
    <w:multiLevelType w:val="hybridMultilevel"/>
    <w:tmpl w:val="7EDAEE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617B60"/>
    <w:multiLevelType w:val="hybridMultilevel"/>
    <w:tmpl w:val="903A9492"/>
    <w:lvl w:ilvl="0" w:tplc="F2D6AF0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2A0D26"/>
    <w:multiLevelType w:val="hybridMultilevel"/>
    <w:tmpl w:val="6114A2A6"/>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59B10E1"/>
    <w:multiLevelType w:val="hybridMultilevel"/>
    <w:tmpl w:val="A536964A"/>
    <w:lvl w:ilvl="0" w:tplc="1409000F">
      <w:start w:val="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BDB56A7"/>
    <w:multiLevelType w:val="hybridMultilevel"/>
    <w:tmpl w:val="3DE49E70"/>
    <w:lvl w:ilvl="0" w:tplc="2FC4F7E2">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1" w15:restartNumberingAfterBreak="0">
    <w:nsid w:val="1E31776F"/>
    <w:multiLevelType w:val="hybridMultilevel"/>
    <w:tmpl w:val="43626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C94BD0"/>
    <w:multiLevelType w:val="hybridMultilevel"/>
    <w:tmpl w:val="3B1AA4A6"/>
    <w:lvl w:ilvl="0" w:tplc="8828F1A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DB2384"/>
    <w:multiLevelType w:val="hybridMultilevel"/>
    <w:tmpl w:val="37007A5C"/>
    <w:lvl w:ilvl="0" w:tplc="E4787E3E">
      <w:start w:val="202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263734"/>
    <w:multiLevelType w:val="hybridMultilevel"/>
    <w:tmpl w:val="0A6C15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6925FC6"/>
    <w:multiLevelType w:val="hybridMultilevel"/>
    <w:tmpl w:val="FAF4E992"/>
    <w:lvl w:ilvl="0" w:tplc="DDB858FA">
      <w:start w:val="124"/>
      <w:numFmt w:val="decimal"/>
      <w:lvlText w:val="%1."/>
      <w:lvlJc w:val="left"/>
      <w:pPr>
        <w:ind w:left="735" w:hanging="37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9460E66"/>
    <w:multiLevelType w:val="hybridMultilevel"/>
    <w:tmpl w:val="E0664414"/>
    <w:lvl w:ilvl="0" w:tplc="8340A510">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011B2C"/>
    <w:multiLevelType w:val="hybridMultilevel"/>
    <w:tmpl w:val="4A4E1264"/>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2FB7D2B"/>
    <w:multiLevelType w:val="hybridMultilevel"/>
    <w:tmpl w:val="5FA47C58"/>
    <w:lvl w:ilvl="0" w:tplc="9984F898">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75D3B06"/>
    <w:multiLevelType w:val="hybridMultilevel"/>
    <w:tmpl w:val="3C725B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F640FEC"/>
    <w:multiLevelType w:val="hybridMultilevel"/>
    <w:tmpl w:val="E5928FC4"/>
    <w:lvl w:ilvl="0" w:tplc="F2D6AF0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754733"/>
    <w:multiLevelType w:val="hybridMultilevel"/>
    <w:tmpl w:val="6A34BBA6"/>
    <w:lvl w:ilvl="0" w:tplc="F2D6AF0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3C728A"/>
    <w:multiLevelType w:val="hybridMultilevel"/>
    <w:tmpl w:val="C9184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AF1D70"/>
    <w:multiLevelType w:val="hybridMultilevel"/>
    <w:tmpl w:val="2660852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239C4"/>
    <w:multiLevelType w:val="hybridMultilevel"/>
    <w:tmpl w:val="B6A08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8703C55"/>
    <w:multiLevelType w:val="hybridMultilevel"/>
    <w:tmpl w:val="5D2A9EAE"/>
    <w:lvl w:ilvl="0" w:tplc="D78E0C34">
      <w:numFmt w:val="bullet"/>
      <w:lvlText w:val="–"/>
      <w:lvlJc w:val="left"/>
      <w:pPr>
        <w:ind w:left="1260" w:hanging="360"/>
      </w:pPr>
      <w:rPr>
        <w:rFonts w:ascii="Calibri" w:eastAsiaTheme="minorHAnsi" w:hAnsi="Calibri" w:cs="Calibri" w:hint="default"/>
      </w:rPr>
    </w:lvl>
    <w:lvl w:ilvl="1" w:tplc="14090003" w:tentative="1">
      <w:start w:val="1"/>
      <w:numFmt w:val="bullet"/>
      <w:lvlText w:val="o"/>
      <w:lvlJc w:val="left"/>
      <w:pPr>
        <w:ind w:left="1980" w:hanging="360"/>
      </w:pPr>
      <w:rPr>
        <w:rFonts w:ascii="Courier New" w:hAnsi="Courier New" w:cs="Courier New" w:hint="default"/>
      </w:rPr>
    </w:lvl>
    <w:lvl w:ilvl="2" w:tplc="14090005" w:tentative="1">
      <w:start w:val="1"/>
      <w:numFmt w:val="bullet"/>
      <w:lvlText w:val=""/>
      <w:lvlJc w:val="left"/>
      <w:pPr>
        <w:ind w:left="2700" w:hanging="360"/>
      </w:pPr>
      <w:rPr>
        <w:rFonts w:ascii="Wingdings" w:hAnsi="Wingdings" w:hint="default"/>
      </w:rPr>
    </w:lvl>
    <w:lvl w:ilvl="3" w:tplc="14090001" w:tentative="1">
      <w:start w:val="1"/>
      <w:numFmt w:val="bullet"/>
      <w:lvlText w:val=""/>
      <w:lvlJc w:val="left"/>
      <w:pPr>
        <w:ind w:left="3420" w:hanging="360"/>
      </w:pPr>
      <w:rPr>
        <w:rFonts w:ascii="Symbol" w:hAnsi="Symbol" w:hint="default"/>
      </w:rPr>
    </w:lvl>
    <w:lvl w:ilvl="4" w:tplc="14090003" w:tentative="1">
      <w:start w:val="1"/>
      <w:numFmt w:val="bullet"/>
      <w:lvlText w:val="o"/>
      <w:lvlJc w:val="left"/>
      <w:pPr>
        <w:ind w:left="4140" w:hanging="360"/>
      </w:pPr>
      <w:rPr>
        <w:rFonts w:ascii="Courier New" w:hAnsi="Courier New" w:cs="Courier New" w:hint="default"/>
      </w:rPr>
    </w:lvl>
    <w:lvl w:ilvl="5" w:tplc="14090005" w:tentative="1">
      <w:start w:val="1"/>
      <w:numFmt w:val="bullet"/>
      <w:lvlText w:val=""/>
      <w:lvlJc w:val="left"/>
      <w:pPr>
        <w:ind w:left="4860" w:hanging="360"/>
      </w:pPr>
      <w:rPr>
        <w:rFonts w:ascii="Wingdings" w:hAnsi="Wingdings" w:hint="default"/>
      </w:rPr>
    </w:lvl>
    <w:lvl w:ilvl="6" w:tplc="14090001" w:tentative="1">
      <w:start w:val="1"/>
      <w:numFmt w:val="bullet"/>
      <w:lvlText w:val=""/>
      <w:lvlJc w:val="left"/>
      <w:pPr>
        <w:ind w:left="5580" w:hanging="360"/>
      </w:pPr>
      <w:rPr>
        <w:rFonts w:ascii="Symbol" w:hAnsi="Symbol" w:hint="default"/>
      </w:rPr>
    </w:lvl>
    <w:lvl w:ilvl="7" w:tplc="14090003" w:tentative="1">
      <w:start w:val="1"/>
      <w:numFmt w:val="bullet"/>
      <w:lvlText w:val="o"/>
      <w:lvlJc w:val="left"/>
      <w:pPr>
        <w:ind w:left="6300" w:hanging="360"/>
      </w:pPr>
      <w:rPr>
        <w:rFonts w:ascii="Courier New" w:hAnsi="Courier New" w:cs="Courier New" w:hint="default"/>
      </w:rPr>
    </w:lvl>
    <w:lvl w:ilvl="8" w:tplc="14090005" w:tentative="1">
      <w:start w:val="1"/>
      <w:numFmt w:val="bullet"/>
      <w:lvlText w:val=""/>
      <w:lvlJc w:val="left"/>
      <w:pPr>
        <w:ind w:left="7020" w:hanging="360"/>
      </w:pPr>
      <w:rPr>
        <w:rFonts w:ascii="Wingdings" w:hAnsi="Wingdings" w:hint="default"/>
      </w:rPr>
    </w:lvl>
  </w:abstractNum>
  <w:abstractNum w:abstractNumId="26" w15:restartNumberingAfterBreak="0">
    <w:nsid w:val="4A502F21"/>
    <w:multiLevelType w:val="hybridMultilevel"/>
    <w:tmpl w:val="95DA437E"/>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27" w15:restartNumberingAfterBreak="0">
    <w:nsid w:val="4D0C79BB"/>
    <w:multiLevelType w:val="hybridMultilevel"/>
    <w:tmpl w:val="D0FE3E04"/>
    <w:lvl w:ilvl="0" w:tplc="1409000F">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07A1E7C"/>
    <w:multiLevelType w:val="hybridMultilevel"/>
    <w:tmpl w:val="64360302"/>
    <w:lvl w:ilvl="0" w:tplc="B9E87E30">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1417573"/>
    <w:multiLevelType w:val="hybridMultilevel"/>
    <w:tmpl w:val="FE42D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6205D35"/>
    <w:multiLevelType w:val="hybridMultilevel"/>
    <w:tmpl w:val="D9BEFCE0"/>
    <w:lvl w:ilvl="0" w:tplc="D9D413D4">
      <w:start w:val="1"/>
      <w:numFmt w:val="decimal"/>
      <w:lvlText w:val="%1."/>
      <w:lvlJc w:val="left"/>
      <w:pPr>
        <w:ind w:left="45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82E330A"/>
    <w:multiLevelType w:val="hybridMultilevel"/>
    <w:tmpl w:val="2FC61A26"/>
    <w:lvl w:ilvl="0" w:tplc="F2D6AF0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D792A33"/>
    <w:multiLevelType w:val="hybridMultilevel"/>
    <w:tmpl w:val="33DE5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EC16E32"/>
    <w:multiLevelType w:val="hybridMultilevel"/>
    <w:tmpl w:val="93A6D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6050F3E"/>
    <w:multiLevelType w:val="hybridMultilevel"/>
    <w:tmpl w:val="F37227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63267E7"/>
    <w:multiLevelType w:val="hybridMultilevel"/>
    <w:tmpl w:val="C8A4B1FA"/>
    <w:lvl w:ilvl="0" w:tplc="A1E2EDA8">
      <w:start w:val="1"/>
      <w:numFmt w:val="decimal"/>
      <w:lvlText w:val="%1."/>
      <w:lvlJc w:val="left"/>
      <w:pPr>
        <w:ind w:left="446" w:hanging="360"/>
      </w:pPr>
      <w:rPr>
        <w:rFonts w:hint="default"/>
      </w:rPr>
    </w:lvl>
    <w:lvl w:ilvl="1" w:tplc="14090019" w:tentative="1">
      <w:start w:val="1"/>
      <w:numFmt w:val="lowerLetter"/>
      <w:lvlText w:val="%2."/>
      <w:lvlJc w:val="left"/>
      <w:pPr>
        <w:ind w:left="1166" w:hanging="360"/>
      </w:pPr>
    </w:lvl>
    <w:lvl w:ilvl="2" w:tplc="1409001B" w:tentative="1">
      <w:start w:val="1"/>
      <w:numFmt w:val="lowerRoman"/>
      <w:lvlText w:val="%3."/>
      <w:lvlJc w:val="right"/>
      <w:pPr>
        <w:ind w:left="1886" w:hanging="180"/>
      </w:pPr>
    </w:lvl>
    <w:lvl w:ilvl="3" w:tplc="1409000F" w:tentative="1">
      <w:start w:val="1"/>
      <w:numFmt w:val="decimal"/>
      <w:lvlText w:val="%4."/>
      <w:lvlJc w:val="left"/>
      <w:pPr>
        <w:ind w:left="2606" w:hanging="360"/>
      </w:pPr>
    </w:lvl>
    <w:lvl w:ilvl="4" w:tplc="14090019" w:tentative="1">
      <w:start w:val="1"/>
      <w:numFmt w:val="lowerLetter"/>
      <w:lvlText w:val="%5."/>
      <w:lvlJc w:val="left"/>
      <w:pPr>
        <w:ind w:left="3326" w:hanging="360"/>
      </w:pPr>
    </w:lvl>
    <w:lvl w:ilvl="5" w:tplc="1409001B" w:tentative="1">
      <w:start w:val="1"/>
      <w:numFmt w:val="lowerRoman"/>
      <w:lvlText w:val="%6."/>
      <w:lvlJc w:val="right"/>
      <w:pPr>
        <w:ind w:left="4046" w:hanging="180"/>
      </w:pPr>
    </w:lvl>
    <w:lvl w:ilvl="6" w:tplc="1409000F" w:tentative="1">
      <w:start w:val="1"/>
      <w:numFmt w:val="decimal"/>
      <w:lvlText w:val="%7."/>
      <w:lvlJc w:val="left"/>
      <w:pPr>
        <w:ind w:left="4766" w:hanging="360"/>
      </w:pPr>
    </w:lvl>
    <w:lvl w:ilvl="7" w:tplc="14090019" w:tentative="1">
      <w:start w:val="1"/>
      <w:numFmt w:val="lowerLetter"/>
      <w:lvlText w:val="%8."/>
      <w:lvlJc w:val="left"/>
      <w:pPr>
        <w:ind w:left="5486" w:hanging="360"/>
      </w:pPr>
    </w:lvl>
    <w:lvl w:ilvl="8" w:tplc="1409001B" w:tentative="1">
      <w:start w:val="1"/>
      <w:numFmt w:val="lowerRoman"/>
      <w:lvlText w:val="%9."/>
      <w:lvlJc w:val="right"/>
      <w:pPr>
        <w:ind w:left="6206" w:hanging="180"/>
      </w:pPr>
    </w:lvl>
  </w:abstractNum>
  <w:abstractNum w:abstractNumId="36" w15:restartNumberingAfterBreak="0">
    <w:nsid w:val="69163042"/>
    <w:multiLevelType w:val="hybridMultilevel"/>
    <w:tmpl w:val="4A4E1264"/>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DF92E09"/>
    <w:multiLevelType w:val="hybridMultilevel"/>
    <w:tmpl w:val="BBBEE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F59006F"/>
    <w:multiLevelType w:val="hybridMultilevel"/>
    <w:tmpl w:val="7BEC8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6A61C15"/>
    <w:multiLevelType w:val="hybridMultilevel"/>
    <w:tmpl w:val="931887B8"/>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3"/>
  </w:num>
  <w:num w:numId="5">
    <w:abstractNumId w:val="34"/>
  </w:num>
  <w:num w:numId="6">
    <w:abstractNumId w:val="22"/>
  </w:num>
  <w:num w:numId="7">
    <w:abstractNumId w:val="31"/>
  </w:num>
  <w:num w:numId="8">
    <w:abstractNumId w:val="21"/>
  </w:num>
  <w:num w:numId="9">
    <w:abstractNumId w:val="2"/>
  </w:num>
  <w:num w:numId="10">
    <w:abstractNumId w:val="20"/>
  </w:num>
  <w:num w:numId="11">
    <w:abstractNumId w:val="1"/>
  </w:num>
  <w:num w:numId="12">
    <w:abstractNumId w:val="12"/>
  </w:num>
  <w:num w:numId="13">
    <w:abstractNumId w:val="25"/>
  </w:num>
  <w:num w:numId="14">
    <w:abstractNumId w:val="26"/>
  </w:num>
  <w:num w:numId="15">
    <w:abstractNumId w:val="30"/>
  </w:num>
  <w:num w:numId="16">
    <w:abstractNumId w:val="15"/>
  </w:num>
  <w:num w:numId="17">
    <w:abstractNumId w:val="39"/>
  </w:num>
  <w:num w:numId="18">
    <w:abstractNumId w:val="6"/>
  </w:num>
  <w:num w:numId="19">
    <w:abstractNumId w:val="17"/>
  </w:num>
  <w:num w:numId="20">
    <w:abstractNumId w:val="38"/>
  </w:num>
  <w:num w:numId="21">
    <w:abstractNumId w:val="19"/>
  </w:num>
  <w:num w:numId="22">
    <w:abstractNumId w:val="5"/>
  </w:num>
  <w:num w:numId="23">
    <w:abstractNumId w:val="32"/>
  </w:num>
  <w:num w:numId="24">
    <w:abstractNumId w:val="36"/>
  </w:num>
  <w:num w:numId="25">
    <w:abstractNumId w:val="28"/>
  </w:num>
  <w:num w:numId="26">
    <w:abstractNumId w:val="18"/>
  </w:num>
  <w:num w:numId="27">
    <w:abstractNumId w:val="9"/>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 w:numId="31">
    <w:abstractNumId w:val="29"/>
  </w:num>
  <w:num w:numId="32">
    <w:abstractNumId w:val="35"/>
  </w:num>
  <w:num w:numId="33">
    <w:abstractNumId w:val="13"/>
  </w:num>
  <w:num w:numId="34">
    <w:abstractNumId w:val="24"/>
  </w:num>
  <w:num w:numId="35">
    <w:abstractNumId w:val="33"/>
  </w:num>
  <w:num w:numId="36">
    <w:abstractNumId w:val="14"/>
  </w:num>
  <w:num w:numId="37">
    <w:abstractNumId w:val="37"/>
  </w:num>
  <w:num w:numId="38">
    <w:abstractNumId w:val="23"/>
  </w:num>
  <w:num w:numId="39">
    <w:abstractNumId w:val="27"/>
  </w:num>
  <w:num w:numId="40">
    <w:abstractNumId w:val="8"/>
  </w:num>
  <w:num w:numId="41">
    <w:abstractNumId w:val="16"/>
  </w:num>
  <w:num w:numId="42">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8B0"/>
    <w:rsid w:val="00000738"/>
    <w:rsid w:val="000009A5"/>
    <w:rsid w:val="0000354F"/>
    <w:rsid w:val="00005354"/>
    <w:rsid w:val="0000590B"/>
    <w:rsid w:val="00006269"/>
    <w:rsid w:val="0000789E"/>
    <w:rsid w:val="000115FD"/>
    <w:rsid w:val="00012BB8"/>
    <w:rsid w:val="00012E8F"/>
    <w:rsid w:val="00013406"/>
    <w:rsid w:val="00013A1B"/>
    <w:rsid w:val="00014098"/>
    <w:rsid w:val="000158D0"/>
    <w:rsid w:val="00017394"/>
    <w:rsid w:val="0001774C"/>
    <w:rsid w:val="000177F1"/>
    <w:rsid w:val="00017891"/>
    <w:rsid w:val="00017A06"/>
    <w:rsid w:val="00017B16"/>
    <w:rsid w:val="00020AFA"/>
    <w:rsid w:val="00021799"/>
    <w:rsid w:val="00021891"/>
    <w:rsid w:val="000219B4"/>
    <w:rsid w:val="00021EE7"/>
    <w:rsid w:val="000220CE"/>
    <w:rsid w:val="0002312C"/>
    <w:rsid w:val="0002521D"/>
    <w:rsid w:val="00025493"/>
    <w:rsid w:val="0002561F"/>
    <w:rsid w:val="000267F2"/>
    <w:rsid w:val="00026B46"/>
    <w:rsid w:val="00026C19"/>
    <w:rsid w:val="00026CD2"/>
    <w:rsid w:val="00026D64"/>
    <w:rsid w:val="00026FE5"/>
    <w:rsid w:val="00031DCE"/>
    <w:rsid w:val="00032E95"/>
    <w:rsid w:val="00034305"/>
    <w:rsid w:val="000372C9"/>
    <w:rsid w:val="00037461"/>
    <w:rsid w:val="00040965"/>
    <w:rsid w:val="0004186D"/>
    <w:rsid w:val="000429CA"/>
    <w:rsid w:val="00043A41"/>
    <w:rsid w:val="00043C68"/>
    <w:rsid w:val="000442DD"/>
    <w:rsid w:val="00044CBB"/>
    <w:rsid w:val="000457D2"/>
    <w:rsid w:val="00045875"/>
    <w:rsid w:val="00045E9D"/>
    <w:rsid w:val="00046347"/>
    <w:rsid w:val="00046766"/>
    <w:rsid w:val="00046C39"/>
    <w:rsid w:val="00050360"/>
    <w:rsid w:val="0005037E"/>
    <w:rsid w:val="00050862"/>
    <w:rsid w:val="00050F77"/>
    <w:rsid w:val="00051189"/>
    <w:rsid w:val="00051D28"/>
    <w:rsid w:val="0005281D"/>
    <w:rsid w:val="00053799"/>
    <w:rsid w:val="00054384"/>
    <w:rsid w:val="00054C22"/>
    <w:rsid w:val="00054EAA"/>
    <w:rsid w:val="00055328"/>
    <w:rsid w:val="000555EC"/>
    <w:rsid w:val="00055F02"/>
    <w:rsid w:val="0005648D"/>
    <w:rsid w:val="00062036"/>
    <w:rsid w:val="0006211D"/>
    <w:rsid w:val="00063B85"/>
    <w:rsid w:val="0006461B"/>
    <w:rsid w:val="00064838"/>
    <w:rsid w:val="0006569B"/>
    <w:rsid w:val="0006614C"/>
    <w:rsid w:val="00066CF5"/>
    <w:rsid w:val="0007005A"/>
    <w:rsid w:val="000705D9"/>
    <w:rsid w:val="00071406"/>
    <w:rsid w:val="000719A8"/>
    <w:rsid w:val="00071CD3"/>
    <w:rsid w:val="00072158"/>
    <w:rsid w:val="00073FDF"/>
    <w:rsid w:val="0007607D"/>
    <w:rsid w:val="000773FE"/>
    <w:rsid w:val="0007742E"/>
    <w:rsid w:val="00077704"/>
    <w:rsid w:val="000779EB"/>
    <w:rsid w:val="00081C10"/>
    <w:rsid w:val="00081C35"/>
    <w:rsid w:val="00083194"/>
    <w:rsid w:val="000833AE"/>
    <w:rsid w:val="00084CE4"/>
    <w:rsid w:val="00085168"/>
    <w:rsid w:val="00085412"/>
    <w:rsid w:val="00085E6B"/>
    <w:rsid w:val="000867F2"/>
    <w:rsid w:val="00086E7A"/>
    <w:rsid w:val="000872D1"/>
    <w:rsid w:val="00091539"/>
    <w:rsid w:val="00091D0D"/>
    <w:rsid w:val="00092EAE"/>
    <w:rsid w:val="000935C8"/>
    <w:rsid w:val="00093AFF"/>
    <w:rsid w:val="000946B5"/>
    <w:rsid w:val="00095987"/>
    <w:rsid w:val="00095AEC"/>
    <w:rsid w:val="00095D3C"/>
    <w:rsid w:val="000964B8"/>
    <w:rsid w:val="00096849"/>
    <w:rsid w:val="00097DEB"/>
    <w:rsid w:val="000A0D5D"/>
    <w:rsid w:val="000A0F6C"/>
    <w:rsid w:val="000A1523"/>
    <w:rsid w:val="000A169B"/>
    <w:rsid w:val="000A3680"/>
    <w:rsid w:val="000A387C"/>
    <w:rsid w:val="000A3D0C"/>
    <w:rsid w:val="000A3E80"/>
    <w:rsid w:val="000A4056"/>
    <w:rsid w:val="000A476D"/>
    <w:rsid w:val="000A5E59"/>
    <w:rsid w:val="000A5F92"/>
    <w:rsid w:val="000A7D05"/>
    <w:rsid w:val="000A7EB2"/>
    <w:rsid w:val="000B070A"/>
    <w:rsid w:val="000B0CF0"/>
    <w:rsid w:val="000B1A24"/>
    <w:rsid w:val="000B233A"/>
    <w:rsid w:val="000B3B02"/>
    <w:rsid w:val="000B3FB9"/>
    <w:rsid w:val="000B5417"/>
    <w:rsid w:val="000B562B"/>
    <w:rsid w:val="000B69B5"/>
    <w:rsid w:val="000B7E92"/>
    <w:rsid w:val="000B7EF9"/>
    <w:rsid w:val="000C0513"/>
    <w:rsid w:val="000C05A5"/>
    <w:rsid w:val="000C1111"/>
    <w:rsid w:val="000C13AF"/>
    <w:rsid w:val="000C2866"/>
    <w:rsid w:val="000C38AE"/>
    <w:rsid w:val="000C4189"/>
    <w:rsid w:val="000C4D28"/>
    <w:rsid w:val="000C518F"/>
    <w:rsid w:val="000C5627"/>
    <w:rsid w:val="000C584E"/>
    <w:rsid w:val="000C59AE"/>
    <w:rsid w:val="000C777F"/>
    <w:rsid w:val="000C7944"/>
    <w:rsid w:val="000C7C2F"/>
    <w:rsid w:val="000D3841"/>
    <w:rsid w:val="000D7C03"/>
    <w:rsid w:val="000E009E"/>
    <w:rsid w:val="000E0966"/>
    <w:rsid w:val="000E116A"/>
    <w:rsid w:val="000E11CF"/>
    <w:rsid w:val="000E15EA"/>
    <w:rsid w:val="000E175A"/>
    <w:rsid w:val="000E3612"/>
    <w:rsid w:val="000E361E"/>
    <w:rsid w:val="000E365F"/>
    <w:rsid w:val="000E3BAD"/>
    <w:rsid w:val="000E44F0"/>
    <w:rsid w:val="000E4B74"/>
    <w:rsid w:val="000E4D55"/>
    <w:rsid w:val="000E592D"/>
    <w:rsid w:val="000E5CED"/>
    <w:rsid w:val="000E63C4"/>
    <w:rsid w:val="000F0B30"/>
    <w:rsid w:val="000F0C95"/>
    <w:rsid w:val="000F200D"/>
    <w:rsid w:val="000F2FBD"/>
    <w:rsid w:val="000F30B2"/>
    <w:rsid w:val="000F32DF"/>
    <w:rsid w:val="000F34FA"/>
    <w:rsid w:val="000F41F1"/>
    <w:rsid w:val="000F42AD"/>
    <w:rsid w:val="000F4FA1"/>
    <w:rsid w:val="000F5879"/>
    <w:rsid w:val="000F647B"/>
    <w:rsid w:val="000F66CA"/>
    <w:rsid w:val="000F72C5"/>
    <w:rsid w:val="001008FE"/>
    <w:rsid w:val="00101BAC"/>
    <w:rsid w:val="0010235B"/>
    <w:rsid w:val="0010296A"/>
    <w:rsid w:val="00102BE3"/>
    <w:rsid w:val="001039B6"/>
    <w:rsid w:val="001044F3"/>
    <w:rsid w:val="001047F3"/>
    <w:rsid w:val="00104D21"/>
    <w:rsid w:val="00105A53"/>
    <w:rsid w:val="00105EB9"/>
    <w:rsid w:val="00106525"/>
    <w:rsid w:val="00107251"/>
    <w:rsid w:val="00107C88"/>
    <w:rsid w:val="00111A52"/>
    <w:rsid w:val="00111F08"/>
    <w:rsid w:val="001133B3"/>
    <w:rsid w:val="00116F78"/>
    <w:rsid w:val="0011748B"/>
    <w:rsid w:val="0012088F"/>
    <w:rsid w:val="00120FAE"/>
    <w:rsid w:val="001215B4"/>
    <w:rsid w:val="00121B8E"/>
    <w:rsid w:val="0012255B"/>
    <w:rsid w:val="001225B9"/>
    <w:rsid w:val="00123453"/>
    <w:rsid w:val="001238F6"/>
    <w:rsid w:val="00123CAA"/>
    <w:rsid w:val="0012430A"/>
    <w:rsid w:val="0012502B"/>
    <w:rsid w:val="00125216"/>
    <w:rsid w:val="001309C3"/>
    <w:rsid w:val="00131B1B"/>
    <w:rsid w:val="00132831"/>
    <w:rsid w:val="00134E37"/>
    <w:rsid w:val="00135127"/>
    <w:rsid w:val="001355CE"/>
    <w:rsid w:val="001363C5"/>
    <w:rsid w:val="00137DE3"/>
    <w:rsid w:val="00140181"/>
    <w:rsid w:val="00140751"/>
    <w:rsid w:val="001407AF"/>
    <w:rsid w:val="0014081B"/>
    <w:rsid w:val="00140925"/>
    <w:rsid w:val="00140F2A"/>
    <w:rsid w:val="00141C98"/>
    <w:rsid w:val="00142DCD"/>
    <w:rsid w:val="00143512"/>
    <w:rsid w:val="00144A54"/>
    <w:rsid w:val="00144C68"/>
    <w:rsid w:val="0014505E"/>
    <w:rsid w:val="00145165"/>
    <w:rsid w:val="00146272"/>
    <w:rsid w:val="001463C0"/>
    <w:rsid w:val="001516DE"/>
    <w:rsid w:val="00151A0B"/>
    <w:rsid w:val="00152101"/>
    <w:rsid w:val="0015434D"/>
    <w:rsid w:val="00154554"/>
    <w:rsid w:val="001548D4"/>
    <w:rsid w:val="00155238"/>
    <w:rsid w:val="00155CB9"/>
    <w:rsid w:val="00156FC8"/>
    <w:rsid w:val="00157040"/>
    <w:rsid w:val="00160F4C"/>
    <w:rsid w:val="001619C5"/>
    <w:rsid w:val="00162354"/>
    <w:rsid w:val="00163329"/>
    <w:rsid w:val="00164A22"/>
    <w:rsid w:val="0016599F"/>
    <w:rsid w:val="00165AFC"/>
    <w:rsid w:val="00165E95"/>
    <w:rsid w:val="001675A6"/>
    <w:rsid w:val="001679AF"/>
    <w:rsid w:val="00167D55"/>
    <w:rsid w:val="0017114F"/>
    <w:rsid w:val="00171CE1"/>
    <w:rsid w:val="00173931"/>
    <w:rsid w:val="00173F99"/>
    <w:rsid w:val="00174782"/>
    <w:rsid w:val="0017493C"/>
    <w:rsid w:val="00174D52"/>
    <w:rsid w:val="001756F4"/>
    <w:rsid w:val="00175DF9"/>
    <w:rsid w:val="001807DA"/>
    <w:rsid w:val="001821C1"/>
    <w:rsid w:val="00184124"/>
    <w:rsid w:val="00184466"/>
    <w:rsid w:val="00184D15"/>
    <w:rsid w:val="001855FC"/>
    <w:rsid w:val="001904B7"/>
    <w:rsid w:val="00190860"/>
    <w:rsid w:val="00190992"/>
    <w:rsid w:val="00191DEC"/>
    <w:rsid w:val="00192517"/>
    <w:rsid w:val="00192522"/>
    <w:rsid w:val="001954C8"/>
    <w:rsid w:val="001A06D4"/>
    <w:rsid w:val="001A0A54"/>
    <w:rsid w:val="001A0F2C"/>
    <w:rsid w:val="001A23DD"/>
    <w:rsid w:val="001A361B"/>
    <w:rsid w:val="001A3ECC"/>
    <w:rsid w:val="001A5B2E"/>
    <w:rsid w:val="001A5D2F"/>
    <w:rsid w:val="001A6A49"/>
    <w:rsid w:val="001A6CFC"/>
    <w:rsid w:val="001B269A"/>
    <w:rsid w:val="001B2FAB"/>
    <w:rsid w:val="001B362F"/>
    <w:rsid w:val="001B4B15"/>
    <w:rsid w:val="001B504C"/>
    <w:rsid w:val="001B5CCD"/>
    <w:rsid w:val="001B5E0D"/>
    <w:rsid w:val="001B73B7"/>
    <w:rsid w:val="001C19A3"/>
    <w:rsid w:val="001C2940"/>
    <w:rsid w:val="001C42D8"/>
    <w:rsid w:val="001C468A"/>
    <w:rsid w:val="001C5A41"/>
    <w:rsid w:val="001C5EF3"/>
    <w:rsid w:val="001C5FD0"/>
    <w:rsid w:val="001C715E"/>
    <w:rsid w:val="001D1553"/>
    <w:rsid w:val="001D3432"/>
    <w:rsid w:val="001D4CFD"/>
    <w:rsid w:val="001D61C3"/>
    <w:rsid w:val="001D6454"/>
    <w:rsid w:val="001D72DF"/>
    <w:rsid w:val="001D7467"/>
    <w:rsid w:val="001D79EE"/>
    <w:rsid w:val="001D7E5B"/>
    <w:rsid w:val="001E13BD"/>
    <w:rsid w:val="001E15FF"/>
    <w:rsid w:val="001E1864"/>
    <w:rsid w:val="001E25AF"/>
    <w:rsid w:val="001E2E62"/>
    <w:rsid w:val="001E2E7D"/>
    <w:rsid w:val="001E39A7"/>
    <w:rsid w:val="001E4874"/>
    <w:rsid w:val="001E70BF"/>
    <w:rsid w:val="001E7AE2"/>
    <w:rsid w:val="001F1017"/>
    <w:rsid w:val="001F13EF"/>
    <w:rsid w:val="001F2426"/>
    <w:rsid w:val="001F25A3"/>
    <w:rsid w:val="001F51BC"/>
    <w:rsid w:val="001F587B"/>
    <w:rsid w:val="001F5E88"/>
    <w:rsid w:val="001F63E7"/>
    <w:rsid w:val="001F6D49"/>
    <w:rsid w:val="001F741A"/>
    <w:rsid w:val="0020126D"/>
    <w:rsid w:val="00202140"/>
    <w:rsid w:val="0020470A"/>
    <w:rsid w:val="00205733"/>
    <w:rsid w:val="0020619B"/>
    <w:rsid w:val="00207A5A"/>
    <w:rsid w:val="002110DB"/>
    <w:rsid w:val="00211293"/>
    <w:rsid w:val="00211878"/>
    <w:rsid w:val="00212371"/>
    <w:rsid w:val="00213976"/>
    <w:rsid w:val="00214127"/>
    <w:rsid w:val="00214A4A"/>
    <w:rsid w:val="002157BC"/>
    <w:rsid w:val="002157F1"/>
    <w:rsid w:val="002167E4"/>
    <w:rsid w:val="00216BC2"/>
    <w:rsid w:val="00216C52"/>
    <w:rsid w:val="00217E0A"/>
    <w:rsid w:val="002204D8"/>
    <w:rsid w:val="00221EA2"/>
    <w:rsid w:val="00222E6B"/>
    <w:rsid w:val="00223305"/>
    <w:rsid w:val="00223DDB"/>
    <w:rsid w:val="00225432"/>
    <w:rsid w:val="00225496"/>
    <w:rsid w:val="002256C1"/>
    <w:rsid w:val="00226016"/>
    <w:rsid w:val="0022603C"/>
    <w:rsid w:val="002264D7"/>
    <w:rsid w:val="00226CB6"/>
    <w:rsid w:val="00230116"/>
    <w:rsid w:val="0023068C"/>
    <w:rsid w:val="00230BF0"/>
    <w:rsid w:val="002310AC"/>
    <w:rsid w:val="00233A82"/>
    <w:rsid w:val="002376E5"/>
    <w:rsid w:val="00240683"/>
    <w:rsid w:val="00240FB9"/>
    <w:rsid w:val="00244A54"/>
    <w:rsid w:val="00245C81"/>
    <w:rsid w:val="0024625D"/>
    <w:rsid w:val="002470B6"/>
    <w:rsid w:val="0025030E"/>
    <w:rsid w:val="00251712"/>
    <w:rsid w:val="002535C6"/>
    <w:rsid w:val="0025408D"/>
    <w:rsid w:val="0025418B"/>
    <w:rsid w:val="002546F7"/>
    <w:rsid w:val="00254C37"/>
    <w:rsid w:val="00257FDC"/>
    <w:rsid w:val="0026208E"/>
    <w:rsid w:val="00262CC2"/>
    <w:rsid w:val="00263938"/>
    <w:rsid w:val="002659B5"/>
    <w:rsid w:val="00266B12"/>
    <w:rsid w:val="0026778F"/>
    <w:rsid w:val="002677B1"/>
    <w:rsid w:val="00270808"/>
    <w:rsid w:val="00271973"/>
    <w:rsid w:val="00273905"/>
    <w:rsid w:val="00273B45"/>
    <w:rsid w:val="0027484C"/>
    <w:rsid w:val="00276416"/>
    <w:rsid w:val="002764F5"/>
    <w:rsid w:val="00277315"/>
    <w:rsid w:val="002804B9"/>
    <w:rsid w:val="002808A7"/>
    <w:rsid w:val="00280AA2"/>
    <w:rsid w:val="00281216"/>
    <w:rsid w:val="00281C50"/>
    <w:rsid w:val="00282174"/>
    <w:rsid w:val="00283ED5"/>
    <w:rsid w:val="0028607F"/>
    <w:rsid w:val="0028608A"/>
    <w:rsid w:val="00287A42"/>
    <w:rsid w:val="00287D67"/>
    <w:rsid w:val="00291255"/>
    <w:rsid w:val="00292BE7"/>
    <w:rsid w:val="00293297"/>
    <w:rsid w:val="00293681"/>
    <w:rsid w:val="00293E0A"/>
    <w:rsid w:val="00294048"/>
    <w:rsid w:val="002943F2"/>
    <w:rsid w:val="00295DD1"/>
    <w:rsid w:val="002971C1"/>
    <w:rsid w:val="002971DF"/>
    <w:rsid w:val="00297990"/>
    <w:rsid w:val="002A075A"/>
    <w:rsid w:val="002A0CA7"/>
    <w:rsid w:val="002A1BC5"/>
    <w:rsid w:val="002A2CDF"/>
    <w:rsid w:val="002A30E9"/>
    <w:rsid w:val="002A5945"/>
    <w:rsid w:val="002A6E02"/>
    <w:rsid w:val="002B0832"/>
    <w:rsid w:val="002B1763"/>
    <w:rsid w:val="002B2300"/>
    <w:rsid w:val="002B4B6E"/>
    <w:rsid w:val="002C0447"/>
    <w:rsid w:val="002C05C1"/>
    <w:rsid w:val="002C280D"/>
    <w:rsid w:val="002C2B45"/>
    <w:rsid w:val="002C2C79"/>
    <w:rsid w:val="002C32EF"/>
    <w:rsid w:val="002C3B6A"/>
    <w:rsid w:val="002C4BCE"/>
    <w:rsid w:val="002C57D0"/>
    <w:rsid w:val="002C5CF6"/>
    <w:rsid w:val="002C615C"/>
    <w:rsid w:val="002C7646"/>
    <w:rsid w:val="002C7A83"/>
    <w:rsid w:val="002C7E26"/>
    <w:rsid w:val="002D0B0B"/>
    <w:rsid w:val="002D295D"/>
    <w:rsid w:val="002D32FA"/>
    <w:rsid w:val="002D3416"/>
    <w:rsid w:val="002D4254"/>
    <w:rsid w:val="002D54CD"/>
    <w:rsid w:val="002D57F9"/>
    <w:rsid w:val="002D6604"/>
    <w:rsid w:val="002E02E8"/>
    <w:rsid w:val="002E5821"/>
    <w:rsid w:val="002E58C3"/>
    <w:rsid w:val="002E5A84"/>
    <w:rsid w:val="002E6527"/>
    <w:rsid w:val="002E69C2"/>
    <w:rsid w:val="002E72A7"/>
    <w:rsid w:val="002E75A4"/>
    <w:rsid w:val="002E7CE9"/>
    <w:rsid w:val="002F0591"/>
    <w:rsid w:val="002F05D9"/>
    <w:rsid w:val="002F14E6"/>
    <w:rsid w:val="002F1A0A"/>
    <w:rsid w:val="002F2EED"/>
    <w:rsid w:val="002F3B34"/>
    <w:rsid w:val="002F4E82"/>
    <w:rsid w:val="002F6CFE"/>
    <w:rsid w:val="002F6D20"/>
    <w:rsid w:val="002F71D1"/>
    <w:rsid w:val="00300953"/>
    <w:rsid w:val="00300A65"/>
    <w:rsid w:val="00301152"/>
    <w:rsid w:val="003023E8"/>
    <w:rsid w:val="003027E1"/>
    <w:rsid w:val="0030318F"/>
    <w:rsid w:val="0030580D"/>
    <w:rsid w:val="00305E57"/>
    <w:rsid w:val="003060C6"/>
    <w:rsid w:val="00306520"/>
    <w:rsid w:val="00306F48"/>
    <w:rsid w:val="003118F0"/>
    <w:rsid w:val="00311BE8"/>
    <w:rsid w:val="00312CD6"/>
    <w:rsid w:val="0031305A"/>
    <w:rsid w:val="00314BB2"/>
    <w:rsid w:val="00315679"/>
    <w:rsid w:val="00315972"/>
    <w:rsid w:val="00316DB1"/>
    <w:rsid w:val="00317133"/>
    <w:rsid w:val="003205F2"/>
    <w:rsid w:val="00320867"/>
    <w:rsid w:val="00320988"/>
    <w:rsid w:val="003218C6"/>
    <w:rsid w:val="00321D16"/>
    <w:rsid w:val="003233E3"/>
    <w:rsid w:val="00323794"/>
    <w:rsid w:val="00324FFF"/>
    <w:rsid w:val="00327EA8"/>
    <w:rsid w:val="0033088F"/>
    <w:rsid w:val="00330A48"/>
    <w:rsid w:val="00332481"/>
    <w:rsid w:val="00333116"/>
    <w:rsid w:val="003332BC"/>
    <w:rsid w:val="0033423C"/>
    <w:rsid w:val="00334481"/>
    <w:rsid w:val="00335525"/>
    <w:rsid w:val="00335A5E"/>
    <w:rsid w:val="00335FA2"/>
    <w:rsid w:val="00336AA4"/>
    <w:rsid w:val="00336D0D"/>
    <w:rsid w:val="003378FB"/>
    <w:rsid w:val="00337E2A"/>
    <w:rsid w:val="003406A0"/>
    <w:rsid w:val="003416AA"/>
    <w:rsid w:val="003423F7"/>
    <w:rsid w:val="00344186"/>
    <w:rsid w:val="003453D2"/>
    <w:rsid w:val="00345697"/>
    <w:rsid w:val="00345EC0"/>
    <w:rsid w:val="00346288"/>
    <w:rsid w:val="00350E05"/>
    <w:rsid w:val="0035262D"/>
    <w:rsid w:val="003526A9"/>
    <w:rsid w:val="003527C9"/>
    <w:rsid w:val="00352E61"/>
    <w:rsid w:val="003540CB"/>
    <w:rsid w:val="003568CA"/>
    <w:rsid w:val="00356B9F"/>
    <w:rsid w:val="0035707C"/>
    <w:rsid w:val="003572AD"/>
    <w:rsid w:val="003577CE"/>
    <w:rsid w:val="00357870"/>
    <w:rsid w:val="00357A87"/>
    <w:rsid w:val="0036049B"/>
    <w:rsid w:val="0036066C"/>
    <w:rsid w:val="00360A42"/>
    <w:rsid w:val="00361862"/>
    <w:rsid w:val="00362323"/>
    <w:rsid w:val="003669A5"/>
    <w:rsid w:val="00366D3E"/>
    <w:rsid w:val="00367E63"/>
    <w:rsid w:val="0037019B"/>
    <w:rsid w:val="003706A6"/>
    <w:rsid w:val="00371F85"/>
    <w:rsid w:val="00372708"/>
    <w:rsid w:val="00373060"/>
    <w:rsid w:val="00373D4C"/>
    <w:rsid w:val="00374FF0"/>
    <w:rsid w:val="00375DE5"/>
    <w:rsid w:val="003767B4"/>
    <w:rsid w:val="00376BC1"/>
    <w:rsid w:val="00380D5D"/>
    <w:rsid w:val="00381C7E"/>
    <w:rsid w:val="00382CF5"/>
    <w:rsid w:val="0038487A"/>
    <w:rsid w:val="00384B68"/>
    <w:rsid w:val="0038527A"/>
    <w:rsid w:val="00385DC3"/>
    <w:rsid w:val="0038767A"/>
    <w:rsid w:val="00393EDD"/>
    <w:rsid w:val="003946FF"/>
    <w:rsid w:val="00395378"/>
    <w:rsid w:val="00396042"/>
    <w:rsid w:val="00397403"/>
    <w:rsid w:val="0039749B"/>
    <w:rsid w:val="003974F8"/>
    <w:rsid w:val="003979A1"/>
    <w:rsid w:val="00397B75"/>
    <w:rsid w:val="003A0E12"/>
    <w:rsid w:val="003A1A80"/>
    <w:rsid w:val="003A1C57"/>
    <w:rsid w:val="003A27A3"/>
    <w:rsid w:val="003A2CCC"/>
    <w:rsid w:val="003A3330"/>
    <w:rsid w:val="003A334A"/>
    <w:rsid w:val="003A3ACB"/>
    <w:rsid w:val="003A5223"/>
    <w:rsid w:val="003A55B5"/>
    <w:rsid w:val="003A55ED"/>
    <w:rsid w:val="003A56FB"/>
    <w:rsid w:val="003B0D7E"/>
    <w:rsid w:val="003B1359"/>
    <w:rsid w:val="003B162E"/>
    <w:rsid w:val="003B1720"/>
    <w:rsid w:val="003B1AD2"/>
    <w:rsid w:val="003B1B64"/>
    <w:rsid w:val="003B2174"/>
    <w:rsid w:val="003B24F7"/>
    <w:rsid w:val="003B2DC6"/>
    <w:rsid w:val="003B5D79"/>
    <w:rsid w:val="003B65C3"/>
    <w:rsid w:val="003B6625"/>
    <w:rsid w:val="003B7306"/>
    <w:rsid w:val="003B7EA0"/>
    <w:rsid w:val="003B7FBC"/>
    <w:rsid w:val="003C0266"/>
    <w:rsid w:val="003C23B3"/>
    <w:rsid w:val="003C27EE"/>
    <w:rsid w:val="003C2A42"/>
    <w:rsid w:val="003C2C84"/>
    <w:rsid w:val="003C3C13"/>
    <w:rsid w:val="003C4FBE"/>
    <w:rsid w:val="003C50B7"/>
    <w:rsid w:val="003C54EB"/>
    <w:rsid w:val="003C5D22"/>
    <w:rsid w:val="003C5E4E"/>
    <w:rsid w:val="003C60F9"/>
    <w:rsid w:val="003C692E"/>
    <w:rsid w:val="003C6AE0"/>
    <w:rsid w:val="003C7E71"/>
    <w:rsid w:val="003D052C"/>
    <w:rsid w:val="003D07B7"/>
    <w:rsid w:val="003D0D4D"/>
    <w:rsid w:val="003D2C1A"/>
    <w:rsid w:val="003D35F4"/>
    <w:rsid w:val="003D3721"/>
    <w:rsid w:val="003D3BB4"/>
    <w:rsid w:val="003D3EE4"/>
    <w:rsid w:val="003D4752"/>
    <w:rsid w:val="003D4779"/>
    <w:rsid w:val="003D5E46"/>
    <w:rsid w:val="003D70E8"/>
    <w:rsid w:val="003D7215"/>
    <w:rsid w:val="003D76AA"/>
    <w:rsid w:val="003E1ACA"/>
    <w:rsid w:val="003E1C3D"/>
    <w:rsid w:val="003E2775"/>
    <w:rsid w:val="003E28B7"/>
    <w:rsid w:val="003E479A"/>
    <w:rsid w:val="003E58F6"/>
    <w:rsid w:val="003E5C85"/>
    <w:rsid w:val="003E646E"/>
    <w:rsid w:val="003E72C9"/>
    <w:rsid w:val="003E7D58"/>
    <w:rsid w:val="003F0365"/>
    <w:rsid w:val="003F05ED"/>
    <w:rsid w:val="003F0B0B"/>
    <w:rsid w:val="003F11DD"/>
    <w:rsid w:val="003F13CC"/>
    <w:rsid w:val="003F16D6"/>
    <w:rsid w:val="003F3419"/>
    <w:rsid w:val="003F40FF"/>
    <w:rsid w:val="003F5353"/>
    <w:rsid w:val="003F54DE"/>
    <w:rsid w:val="003F5811"/>
    <w:rsid w:val="003F58DC"/>
    <w:rsid w:val="003F5C3B"/>
    <w:rsid w:val="003F73B1"/>
    <w:rsid w:val="00401308"/>
    <w:rsid w:val="00401C41"/>
    <w:rsid w:val="0040315F"/>
    <w:rsid w:val="004041A1"/>
    <w:rsid w:val="004058BF"/>
    <w:rsid w:val="00405F40"/>
    <w:rsid w:val="00407DDE"/>
    <w:rsid w:val="004102E2"/>
    <w:rsid w:val="00410B70"/>
    <w:rsid w:val="004124FA"/>
    <w:rsid w:val="00412DD7"/>
    <w:rsid w:val="00413212"/>
    <w:rsid w:val="0041395D"/>
    <w:rsid w:val="00417BF7"/>
    <w:rsid w:val="0042010D"/>
    <w:rsid w:val="0042283A"/>
    <w:rsid w:val="00425000"/>
    <w:rsid w:val="00425268"/>
    <w:rsid w:val="004261B2"/>
    <w:rsid w:val="00426D55"/>
    <w:rsid w:val="00427473"/>
    <w:rsid w:val="004276F8"/>
    <w:rsid w:val="00427AD4"/>
    <w:rsid w:val="00431A1A"/>
    <w:rsid w:val="00432627"/>
    <w:rsid w:val="00433FF6"/>
    <w:rsid w:val="004351F5"/>
    <w:rsid w:val="004361C2"/>
    <w:rsid w:val="00436F6B"/>
    <w:rsid w:val="00440340"/>
    <w:rsid w:val="00440850"/>
    <w:rsid w:val="004414B7"/>
    <w:rsid w:val="00443ACB"/>
    <w:rsid w:val="004453DC"/>
    <w:rsid w:val="004454B5"/>
    <w:rsid w:val="00445F7E"/>
    <w:rsid w:val="0044628C"/>
    <w:rsid w:val="0044744C"/>
    <w:rsid w:val="00447D82"/>
    <w:rsid w:val="00450BD1"/>
    <w:rsid w:val="004511CA"/>
    <w:rsid w:val="00451653"/>
    <w:rsid w:val="0045252C"/>
    <w:rsid w:val="0045389C"/>
    <w:rsid w:val="00453D84"/>
    <w:rsid w:val="00454CAA"/>
    <w:rsid w:val="00454ED8"/>
    <w:rsid w:val="00454F69"/>
    <w:rsid w:val="0045545B"/>
    <w:rsid w:val="0045647D"/>
    <w:rsid w:val="00457B53"/>
    <w:rsid w:val="00457F9C"/>
    <w:rsid w:val="00461A74"/>
    <w:rsid w:val="0046283F"/>
    <w:rsid w:val="00463B16"/>
    <w:rsid w:val="00463C93"/>
    <w:rsid w:val="00463E74"/>
    <w:rsid w:val="0046459C"/>
    <w:rsid w:val="00464B5C"/>
    <w:rsid w:val="004651A7"/>
    <w:rsid w:val="00466B53"/>
    <w:rsid w:val="004746B5"/>
    <w:rsid w:val="004759BC"/>
    <w:rsid w:val="00476380"/>
    <w:rsid w:val="00476903"/>
    <w:rsid w:val="00476C07"/>
    <w:rsid w:val="00476DCC"/>
    <w:rsid w:val="004778EF"/>
    <w:rsid w:val="00477B31"/>
    <w:rsid w:val="00477DB6"/>
    <w:rsid w:val="00480409"/>
    <w:rsid w:val="00480699"/>
    <w:rsid w:val="0048070C"/>
    <w:rsid w:val="0048081E"/>
    <w:rsid w:val="004809BC"/>
    <w:rsid w:val="004810FB"/>
    <w:rsid w:val="00481AB3"/>
    <w:rsid w:val="00482AF6"/>
    <w:rsid w:val="0048321F"/>
    <w:rsid w:val="00483F03"/>
    <w:rsid w:val="0048462E"/>
    <w:rsid w:val="004856A3"/>
    <w:rsid w:val="00487B8E"/>
    <w:rsid w:val="00487D66"/>
    <w:rsid w:val="00487F52"/>
    <w:rsid w:val="00490E1D"/>
    <w:rsid w:val="00493A2A"/>
    <w:rsid w:val="004943BE"/>
    <w:rsid w:val="0049458D"/>
    <w:rsid w:val="00494DBD"/>
    <w:rsid w:val="00495983"/>
    <w:rsid w:val="0049599C"/>
    <w:rsid w:val="00497659"/>
    <w:rsid w:val="004A3002"/>
    <w:rsid w:val="004A3121"/>
    <w:rsid w:val="004A3BC2"/>
    <w:rsid w:val="004A4183"/>
    <w:rsid w:val="004A41E5"/>
    <w:rsid w:val="004A513C"/>
    <w:rsid w:val="004A51D7"/>
    <w:rsid w:val="004A58A8"/>
    <w:rsid w:val="004A5B82"/>
    <w:rsid w:val="004A632D"/>
    <w:rsid w:val="004A648F"/>
    <w:rsid w:val="004A65DA"/>
    <w:rsid w:val="004B0723"/>
    <w:rsid w:val="004B16F3"/>
    <w:rsid w:val="004B2773"/>
    <w:rsid w:val="004B32C2"/>
    <w:rsid w:val="004B3CB5"/>
    <w:rsid w:val="004B5234"/>
    <w:rsid w:val="004B6E22"/>
    <w:rsid w:val="004B6E5F"/>
    <w:rsid w:val="004B77EF"/>
    <w:rsid w:val="004B7F2E"/>
    <w:rsid w:val="004C0FAC"/>
    <w:rsid w:val="004C13B2"/>
    <w:rsid w:val="004C23A1"/>
    <w:rsid w:val="004C4047"/>
    <w:rsid w:val="004C503C"/>
    <w:rsid w:val="004C51D7"/>
    <w:rsid w:val="004C54CD"/>
    <w:rsid w:val="004C658B"/>
    <w:rsid w:val="004C7A9D"/>
    <w:rsid w:val="004D04CF"/>
    <w:rsid w:val="004D0510"/>
    <w:rsid w:val="004D3246"/>
    <w:rsid w:val="004D6561"/>
    <w:rsid w:val="004D7037"/>
    <w:rsid w:val="004D7BF8"/>
    <w:rsid w:val="004E1A41"/>
    <w:rsid w:val="004E1BE5"/>
    <w:rsid w:val="004E3C24"/>
    <w:rsid w:val="004E4B03"/>
    <w:rsid w:val="004E4B42"/>
    <w:rsid w:val="004E5B81"/>
    <w:rsid w:val="004E5D36"/>
    <w:rsid w:val="004E6499"/>
    <w:rsid w:val="004E7CE0"/>
    <w:rsid w:val="004F1932"/>
    <w:rsid w:val="004F212E"/>
    <w:rsid w:val="004F331E"/>
    <w:rsid w:val="004F3CE9"/>
    <w:rsid w:val="004F43C8"/>
    <w:rsid w:val="004F5F1A"/>
    <w:rsid w:val="004F7E4D"/>
    <w:rsid w:val="00501478"/>
    <w:rsid w:val="005019B7"/>
    <w:rsid w:val="00501AC0"/>
    <w:rsid w:val="005040E9"/>
    <w:rsid w:val="00505998"/>
    <w:rsid w:val="00505F4F"/>
    <w:rsid w:val="0050618D"/>
    <w:rsid w:val="00506860"/>
    <w:rsid w:val="00507F35"/>
    <w:rsid w:val="00507FB9"/>
    <w:rsid w:val="00511A22"/>
    <w:rsid w:val="00513368"/>
    <w:rsid w:val="00513629"/>
    <w:rsid w:val="00513839"/>
    <w:rsid w:val="00514997"/>
    <w:rsid w:val="00515153"/>
    <w:rsid w:val="00517204"/>
    <w:rsid w:val="00517F72"/>
    <w:rsid w:val="005215D1"/>
    <w:rsid w:val="00521B35"/>
    <w:rsid w:val="005224FF"/>
    <w:rsid w:val="005254F9"/>
    <w:rsid w:val="0052559E"/>
    <w:rsid w:val="00525788"/>
    <w:rsid w:val="00525EBC"/>
    <w:rsid w:val="005302F8"/>
    <w:rsid w:val="00530E67"/>
    <w:rsid w:val="005313DA"/>
    <w:rsid w:val="0053255A"/>
    <w:rsid w:val="00532722"/>
    <w:rsid w:val="00532AD6"/>
    <w:rsid w:val="005357C5"/>
    <w:rsid w:val="00535EA0"/>
    <w:rsid w:val="00536802"/>
    <w:rsid w:val="0054101B"/>
    <w:rsid w:val="0054137C"/>
    <w:rsid w:val="00542A8F"/>
    <w:rsid w:val="0054431B"/>
    <w:rsid w:val="00544489"/>
    <w:rsid w:val="005446BD"/>
    <w:rsid w:val="00544E90"/>
    <w:rsid w:val="00545312"/>
    <w:rsid w:val="005453C0"/>
    <w:rsid w:val="00545677"/>
    <w:rsid w:val="0054629B"/>
    <w:rsid w:val="00547C55"/>
    <w:rsid w:val="00547F8E"/>
    <w:rsid w:val="005510FD"/>
    <w:rsid w:val="0055149E"/>
    <w:rsid w:val="0055245B"/>
    <w:rsid w:val="0055406F"/>
    <w:rsid w:val="0055445B"/>
    <w:rsid w:val="005547E7"/>
    <w:rsid w:val="00554C45"/>
    <w:rsid w:val="00555E7C"/>
    <w:rsid w:val="005566D4"/>
    <w:rsid w:val="00557E37"/>
    <w:rsid w:val="005602EB"/>
    <w:rsid w:val="005603A8"/>
    <w:rsid w:val="00560854"/>
    <w:rsid w:val="00562F86"/>
    <w:rsid w:val="00563ED5"/>
    <w:rsid w:val="00564741"/>
    <w:rsid w:val="00564B88"/>
    <w:rsid w:val="00564E74"/>
    <w:rsid w:val="005653CD"/>
    <w:rsid w:val="00565729"/>
    <w:rsid w:val="005662FB"/>
    <w:rsid w:val="005663CF"/>
    <w:rsid w:val="00567747"/>
    <w:rsid w:val="0057058E"/>
    <w:rsid w:val="0057297B"/>
    <w:rsid w:val="00573689"/>
    <w:rsid w:val="005739CB"/>
    <w:rsid w:val="00573DA8"/>
    <w:rsid w:val="00574CC3"/>
    <w:rsid w:val="00575F2D"/>
    <w:rsid w:val="005763CC"/>
    <w:rsid w:val="00576E39"/>
    <w:rsid w:val="00577642"/>
    <w:rsid w:val="00577DDE"/>
    <w:rsid w:val="0058105B"/>
    <w:rsid w:val="0058156D"/>
    <w:rsid w:val="005834DD"/>
    <w:rsid w:val="005838D2"/>
    <w:rsid w:val="00583B10"/>
    <w:rsid w:val="00583DD4"/>
    <w:rsid w:val="00586118"/>
    <w:rsid w:val="00586628"/>
    <w:rsid w:val="00587112"/>
    <w:rsid w:val="00587F29"/>
    <w:rsid w:val="00590A21"/>
    <w:rsid w:val="00592283"/>
    <w:rsid w:val="005928A3"/>
    <w:rsid w:val="00593C58"/>
    <w:rsid w:val="00593EC1"/>
    <w:rsid w:val="00593F8A"/>
    <w:rsid w:val="00594A28"/>
    <w:rsid w:val="00595512"/>
    <w:rsid w:val="00595D8F"/>
    <w:rsid w:val="00596080"/>
    <w:rsid w:val="005965EC"/>
    <w:rsid w:val="005A049F"/>
    <w:rsid w:val="005A16DE"/>
    <w:rsid w:val="005A1A26"/>
    <w:rsid w:val="005A2049"/>
    <w:rsid w:val="005A2414"/>
    <w:rsid w:val="005A26A4"/>
    <w:rsid w:val="005A44CF"/>
    <w:rsid w:val="005A4D27"/>
    <w:rsid w:val="005A5B30"/>
    <w:rsid w:val="005A66BF"/>
    <w:rsid w:val="005A73F9"/>
    <w:rsid w:val="005A79AE"/>
    <w:rsid w:val="005B13D2"/>
    <w:rsid w:val="005B1608"/>
    <w:rsid w:val="005B1880"/>
    <w:rsid w:val="005B37D2"/>
    <w:rsid w:val="005B4693"/>
    <w:rsid w:val="005B4835"/>
    <w:rsid w:val="005B500D"/>
    <w:rsid w:val="005B52F5"/>
    <w:rsid w:val="005B5840"/>
    <w:rsid w:val="005B63FC"/>
    <w:rsid w:val="005B68B0"/>
    <w:rsid w:val="005B6E11"/>
    <w:rsid w:val="005C08A0"/>
    <w:rsid w:val="005C1D07"/>
    <w:rsid w:val="005C23B1"/>
    <w:rsid w:val="005C2D5B"/>
    <w:rsid w:val="005C676D"/>
    <w:rsid w:val="005C7233"/>
    <w:rsid w:val="005C750B"/>
    <w:rsid w:val="005C7AD1"/>
    <w:rsid w:val="005D1447"/>
    <w:rsid w:val="005D16C4"/>
    <w:rsid w:val="005D4327"/>
    <w:rsid w:val="005D5C7E"/>
    <w:rsid w:val="005D7ABA"/>
    <w:rsid w:val="005E2252"/>
    <w:rsid w:val="005E2470"/>
    <w:rsid w:val="005E28E9"/>
    <w:rsid w:val="005E294D"/>
    <w:rsid w:val="005E30E4"/>
    <w:rsid w:val="005E3783"/>
    <w:rsid w:val="005E3BE8"/>
    <w:rsid w:val="005E4658"/>
    <w:rsid w:val="005E7C75"/>
    <w:rsid w:val="005F0B5A"/>
    <w:rsid w:val="005F0BC3"/>
    <w:rsid w:val="005F0D08"/>
    <w:rsid w:val="005F1B9C"/>
    <w:rsid w:val="005F23FA"/>
    <w:rsid w:val="005F4832"/>
    <w:rsid w:val="005F65FE"/>
    <w:rsid w:val="005F6945"/>
    <w:rsid w:val="0060009E"/>
    <w:rsid w:val="00602783"/>
    <w:rsid w:val="00602D9C"/>
    <w:rsid w:val="00603065"/>
    <w:rsid w:val="00603704"/>
    <w:rsid w:val="00603E42"/>
    <w:rsid w:val="00604016"/>
    <w:rsid w:val="006062BA"/>
    <w:rsid w:val="00606949"/>
    <w:rsid w:val="00606B49"/>
    <w:rsid w:val="00606D40"/>
    <w:rsid w:val="00606FEE"/>
    <w:rsid w:val="00607B8F"/>
    <w:rsid w:val="0061178F"/>
    <w:rsid w:val="00611E82"/>
    <w:rsid w:val="0061251D"/>
    <w:rsid w:val="006131D1"/>
    <w:rsid w:val="006134B6"/>
    <w:rsid w:val="00613D61"/>
    <w:rsid w:val="00615850"/>
    <w:rsid w:val="0061658B"/>
    <w:rsid w:val="00616EDE"/>
    <w:rsid w:val="00622266"/>
    <w:rsid w:val="00622EF8"/>
    <w:rsid w:val="0062468E"/>
    <w:rsid w:val="0062570D"/>
    <w:rsid w:val="00625719"/>
    <w:rsid w:val="0062613D"/>
    <w:rsid w:val="006265C7"/>
    <w:rsid w:val="00626C3A"/>
    <w:rsid w:val="00626E38"/>
    <w:rsid w:val="0063006D"/>
    <w:rsid w:val="006309FC"/>
    <w:rsid w:val="00630C3E"/>
    <w:rsid w:val="00630E6C"/>
    <w:rsid w:val="00632C55"/>
    <w:rsid w:val="00633DBB"/>
    <w:rsid w:val="006343DD"/>
    <w:rsid w:val="0063544E"/>
    <w:rsid w:val="00635AD7"/>
    <w:rsid w:val="00635C32"/>
    <w:rsid w:val="00636384"/>
    <w:rsid w:val="0064156C"/>
    <w:rsid w:val="00641F3E"/>
    <w:rsid w:val="00642FD8"/>
    <w:rsid w:val="006430E3"/>
    <w:rsid w:val="0064573B"/>
    <w:rsid w:val="00645913"/>
    <w:rsid w:val="00646CCB"/>
    <w:rsid w:val="00647C5F"/>
    <w:rsid w:val="0065120A"/>
    <w:rsid w:val="0065314B"/>
    <w:rsid w:val="00653B4A"/>
    <w:rsid w:val="00653CFF"/>
    <w:rsid w:val="00653F3D"/>
    <w:rsid w:val="006556E6"/>
    <w:rsid w:val="00656AEA"/>
    <w:rsid w:val="00657515"/>
    <w:rsid w:val="0066217E"/>
    <w:rsid w:val="00662840"/>
    <w:rsid w:val="00664989"/>
    <w:rsid w:val="00664A25"/>
    <w:rsid w:val="00666E02"/>
    <w:rsid w:val="0066726A"/>
    <w:rsid w:val="00667664"/>
    <w:rsid w:val="00667ED9"/>
    <w:rsid w:val="00670554"/>
    <w:rsid w:val="0067101E"/>
    <w:rsid w:val="00671F9D"/>
    <w:rsid w:val="006722AD"/>
    <w:rsid w:val="00674324"/>
    <w:rsid w:val="006746A9"/>
    <w:rsid w:val="006748B0"/>
    <w:rsid w:val="0067537B"/>
    <w:rsid w:val="00675AD3"/>
    <w:rsid w:val="00676443"/>
    <w:rsid w:val="00676F33"/>
    <w:rsid w:val="00677D84"/>
    <w:rsid w:val="00680C16"/>
    <w:rsid w:val="00680CD3"/>
    <w:rsid w:val="0068176D"/>
    <w:rsid w:val="006825B1"/>
    <w:rsid w:val="00682651"/>
    <w:rsid w:val="00683DA1"/>
    <w:rsid w:val="006840AD"/>
    <w:rsid w:val="00684F63"/>
    <w:rsid w:val="00685125"/>
    <w:rsid w:val="0068561F"/>
    <w:rsid w:val="00685AD3"/>
    <w:rsid w:val="00685FB5"/>
    <w:rsid w:val="00686099"/>
    <w:rsid w:val="006870E6"/>
    <w:rsid w:val="00687472"/>
    <w:rsid w:val="00690067"/>
    <w:rsid w:val="006914BA"/>
    <w:rsid w:val="006926FB"/>
    <w:rsid w:val="00693AC6"/>
    <w:rsid w:val="00693E6B"/>
    <w:rsid w:val="00693F0B"/>
    <w:rsid w:val="0069413C"/>
    <w:rsid w:val="006943C5"/>
    <w:rsid w:val="006963CD"/>
    <w:rsid w:val="006A39AD"/>
    <w:rsid w:val="006A4B4D"/>
    <w:rsid w:val="006A6928"/>
    <w:rsid w:val="006A6DC4"/>
    <w:rsid w:val="006A6F63"/>
    <w:rsid w:val="006A75FB"/>
    <w:rsid w:val="006B1CF3"/>
    <w:rsid w:val="006B1F84"/>
    <w:rsid w:val="006B2417"/>
    <w:rsid w:val="006B26F3"/>
    <w:rsid w:val="006B4765"/>
    <w:rsid w:val="006B59C1"/>
    <w:rsid w:val="006B6055"/>
    <w:rsid w:val="006B623B"/>
    <w:rsid w:val="006B77B1"/>
    <w:rsid w:val="006C1287"/>
    <w:rsid w:val="006C1386"/>
    <w:rsid w:val="006C1E2F"/>
    <w:rsid w:val="006C3723"/>
    <w:rsid w:val="006C40C4"/>
    <w:rsid w:val="006C4A34"/>
    <w:rsid w:val="006C514C"/>
    <w:rsid w:val="006C515B"/>
    <w:rsid w:val="006C53C7"/>
    <w:rsid w:val="006C699E"/>
    <w:rsid w:val="006C7030"/>
    <w:rsid w:val="006C70D0"/>
    <w:rsid w:val="006C722A"/>
    <w:rsid w:val="006D07E8"/>
    <w:rsid w:val="006D38CE"/>
    <w:rsid w:val="006D5338"/>
    <w:rsid w:val="006D612F"/>
    <w:rsid w:val="006D638A"/>
    <w:rsid w:val="006E0337"/>
    <w:rsid w:val="006E039A"/>
    <w:rsid w:val="006E19CA"/>
    <w:rsid w:val="006E1B5D"/>
    <w:rsid w:val="006E2F24"/>
    <w:rsid w:val="006E30CF"/>
    <w:rsid w:val="006E323C"/>
    <w:rsid w:val="006E4DBF"/>
    <w:rsid w:val="006E6A9E"/>
    <w:rsid w:val="006E73DF"/>
    <w:rsid w:val="006E7D05"/>
    <w:rsid w:val="006F17CE"/>
    <w:rsid w:val="006F2A3B"/>
    <w:rsid w:val="006F32C7"/>
    <w:rsid w:val="006F3775"/>
    <w:rsid w:val="006F3E51"/>
    <w:rsid w:val="006F40AF"/>
    <w:rsid w:val="006F49E9"/>
    <w:rsid w:val="006F4ACC"/>
    <w:rsid w:val="006F4C2C"/>
    <w:rsid w:val="006F4C7B"/>
    <w:rsid w:val="006F51CD"/>
    <w:rsid w:val="006F56F8"/>
    <w:rsid w:val="006F5C3C"/>
    <w:rsid w:val="006F5E19"/>
    <w:rsid w:val="006F7428"/>
    <w:rsid w:val="006F75FD"/>
    <w:rsid w:val="00700A88"/>
    <w:rsid w:val="00702571"/>
    <w:rsid w:val="007036CB"/>
    <w:rsid w:val="00703821"/>
    <w:rsid w:val="007040B0"/>
    <w:rsid w:val="007041F2"/>
    <w:rsid w:val="0070456F"/>
    <w:rsid w:val="0070576D"/>
    <w:rsid w:val="00705E1D"/>
    <w:rsid w:val="00705E92"/>
    <w:rsid w:val="00706B9E"/>
    <w:rsid w:val="0070785D"/>
    <w:rsid w:val="00707C63"/>
    <w:rsid w:val="00707E95"/>
    <w:rsid w:val="0071024A"/>
    <w:rsid w:val="007105B1"/>
    <w:rsid w:val="00712415"/>
    <w:rsid w:val="00713597"/>
    <w:rsid w:val="00713BFF"/>
    <w:rsid w:val="007142C1"/>
    <w:rsid w:val="00714BDD"/>
    <w:rsid w:val="00715B2E"/>
    <w:rsid w:val="007168C4"/>
    <w:rsid w:val="00716D67"/>
    <w:rsid w:val="00716FC1"/>
    <w:rsid w:val="00717562"/>
    <w:rsid w:val="00720053"/>
    <w:rsid w:val="00720636"/>
    <w:rsid w:val="007209F1"/>
    <w:rsid w:val="00720D82"/>
    <w:rsid w:val="007235CE"/>
    <w:rsid w:val="00723B25"/>
    <w:rsid w:val="007259AB"/>
    <w:rsid w:val="00725C97"/>
    <w:rsid w:val="00727095"/>
    <w:rsid w:val="0073114B"/>
    <w:rsid w:val="007320AB"/>
    <w:rsid w:val="00732160"/>
    <w:rsid w:val="00732D70"/>
    <w:rsid w:val="00734400"/>
    <w:rsid w:val="007348DA"/>
    <w:rsid w:val="00735BE3"/>
    <w:rsid w:val="00735E92"/>
    <w:rsid w:val="00737628"/>
    <w:rsid w:val="00740179"/>
    <w:rsid w:val="00740B1F"/>
    <w:rsid w:val="00740D7C"/>
    <w:rsid w:val="00741DFA"/>
    <w:rsid w:val="00741E5D"/>
    <w:rsid w:val="00742250"/>
    <w:rsid w:val="007428D9"/>
    <w:rsid w:val="007429A2"/>
    <w:rsid w:val="00744D27"/>
    <w:rsid w:val="00744D3B"/>
    <w:rsid w:val="00745363"/>
    <w:rsid w:val="00745814"/>
    <w:rsid w:val="0074682E"/>
    <w:rsid w:val="0074692B"/>
    <w:rsid w:val="00750157"/>
    <w:rsid w:val="00750627"/>
    <w:rsid w:val="007523B8"/>
    <w:rsid w:val="007530F7"/>
    <w:rsid w:val="00753B8F"/>
    <w:rsid w:val="007574C8"/>
    <w:rsid w:val="00760577"/>
    <w:rsid w:val="00760E5D"/>
    <w:rsid w:val="007611C6"/>
    <w:rsid w:val="0076230D"/>
    <w:rsid w:val="00762649"/>
    <w:rsid w:val="007635FB"/>
    <w:rsid w:val="007664A8"/>
    <w:rsid w:val="007710B1"/>
    <w:rsid w:val="007712DB"/>
    <w:rsid w:val="00772D4B"/>
    <w:rsid w:val="00772D54"/>
    <w:rsid w:val="00773055"/>
    <w:rsid w:val="00773059"/>
    <w:rsid w:val="00773241"/>
    <w:rsid w:val="0077340C"/>
    <w:rsid w:val="00774A88"/>
    <w:rsid w:val="00774D6B"/>
    <w:rsid w:val="0077671A"/>
    <w:rsid w:val="007809AC"/>
    <w:rsid w:val="00782151"/>
    <w:rsid w:val="00782479"/>
    <w:rsid w:val="007827B6"/>
    <w:rsid w:val="00783BF0"/>
    <w:rsid w:val="007862B0"/>
    <w:rsid w:val="00790556"/>
    <w:rsid w:val="00790D5D"/>
    <w:rsid w:val="007914B2"/>
    <w:rsid w:val="0079274E"/>
    <w:rsid w:val="00792AD9"/>
    <w:rsid w:val="0079329B"/>
    <w:rsid w:val="00793362"/>
    <w:rsid w:val="00793D69"/>
    <w:rsid w:val="00793EA7"/>
    <w:rsid w:val="00794078"/>
    <w:rsid w:val="00795CE7"/>
    <w:rsid w:val="00795D70"/>
    <w:rsid w:val="007963BB"/>
    <w:rsid w:val="00797692"/>
    <w:rsid w:val="007A1C03"/>
    <w:rsid w:val="007A20A0"/>
    <w:rsid w:val="007A3AFB"/>
    <w:rsid w:val="007A4440"/>
    <w:rsid w:val="007A4EB9"/>
    <w:rsid w:val="007A4F8C"/>
    <w:rsid w:val="007A5B7D"/>
    <w:rsid w:val="007A66A1"/>
    <w:rsid w:val="007A6CD8"/>
    <w:rsid w:val="007A798B"/>
    <w:rsid w:val="007B0AFB"/>
    <w:rsid w:val="007B0E31"/>
    <w:rsid w:val="007B2BFC"/>
    <w:rsid w:val="007B3740"/>
    <w:rsid w:val="007B3F1F"/>
    <w:rsid w:val="007B435F"/>
    <w:rsid w:val="007B4475"/>
    <w:rsid w:val="007B44B9"/>
    <w:rsid w:val="007B5139"/>
    <w:rsid w:val="007B5295"/>
    <w:rsid w:val="007B5F94"/>
    <w:rsid w:val="007B60FF"/>
    <w:rsid w:val="007B7861"/>
    <w:rsid w:val="007B7A07"/>
    <w:rsid w:val="007C0C75"/>
    <w:rsid w:val="007C2195"/>
    <w:rsid w:val="007C27BA"/>
    <w:rsid w:val="007C38A0"/>
    <w:rsid w:val="007C42D4"/>
    <w:rsid w:val="007C594B"/>
    <w:rsid w:val="007C63FC"/>
    <w:rsid w:val="007C6546"/>
    <w:rsid w:val="007C730B"/>
    <w:rsid w:val="007C7837"/>
    <w:rsid w:val="007C7C6B"/>
    <w:rsid w:val="007C7E24"/>
    <w:rsid w:val="007C7FED"/>
    <w:rsid w:val="007D2025"/>
    <w:rsid w:val="007D2091"/>
    <w:rsid w:val="007D20A6"/>
    <w:rsid w:val="007D2CA8"/>
    <w:rsid w:val="007D45EC"/>
    <w:rsid w:val="007D47C5"/>
    <w:rsid w:val="007D5E58"/>
    <w:rsid w:val="007D661B"/>
    <w:rsid w:val="007D68DF"/>
    <w:rsid w:val="007D69F6"/>
    <w:rsid w:val="007D6DFB"/>
    <w:rsid w:val="007D785A"/>
    <w:rsid w:val="007D78BF"/>
    <w:rsid w:val="007D7BD2"/>
    <w:rsid w:val="007D7F09"/>
    <w:rsid w:val="007E0754"/>
    <w:rsid w:val="007E0832"/>
    <w:rsid w:val="007E0947"/>
    <w:rsid w:val="007E1D21"/>
    <w:rsid w:val="007E1F92"/>
    <w:rsid w:val="007E2940"/>
    <w:rsid w:val="007E2D9E"/>
    <w:rsid w:val="007E36E0"/>
    <w:rsid w:val="007E4139"/>
    <w:rsid w:val="007E4BC7"/>
    <w:rsid w:val="007E4E0E"/>
    <w:rsid w:val="007E4E13"/>
    <w:rsid w:val="007E4E16"/>
    <w:rsid w:val="007E5ED7"/>
    <w:rsid w:val="007E70DD"/>
    <w:rsid w:val="007E76F1"/>
    <w:rsid w:val="007F0A21"/>
    <w:rsid w:val="007F20EF"/>
    <w:rsid w:val="007F2130"/>
    <w:rsid w:val="007F27A5"/>
    <w:rsid w:val="007F3096"/>
    <w:rsid w:val="007F3A7C"/>
    <w:rsid w:val="007F4485"/>
    <w:rsid w:val="007F5B5C"/>
    <w:rsid w:val="007F74AB"/>
    <w:rsid w:val="007F7E85"/>
    <w:rsid w:val="008018C5"/>
    <w:rsid w:val="00803FB8"/>
    <w:rsid w:val="00804675"/>
    <w:rsid w:val="00805942"/>
    <w:rsid w:val="00806693"/>
    <w:rsid w:val="008066EE"/>
    <w:rsid w:val="00806A16"/>
    <w:rsid w:val="00806D90"/>
    <w:rsid w:val="00807E63"/>
    <w:rsid w:val="00810E5C"/>
    <w:rsid w:val="008110DB"/>
    <w:rsid w:val="008111D9"/>
    <w:rsid w:val="0081154A"/>
    <w:rsid w:val="0081293F"/>
    <w:rsid w:val="00813063"/>
    <w:rsid w:val="0081382D"/>
    <w:rsid w:val="00813E3E"/>
    <w:rsid w:val="00814F82"/>
    <w:rsid w:val="00815207"/>
    <w:rsid w:val="00815B0B"/>
    <w:rsid w:val="008177E2"/>
    <w:rsid w:val="00817BCD"/>
    <w:rsid w:val="00817D0B"/>
    <w:rsid w:val="00820774"/>
    <w:rsid w:val="00821AD1"/>
    <w:rsid w:val="00822590"/>
    <w:rsid w:val="008236AA"/>
    <w:rsid w:val="00823CE5"/>
    <w:rsid w:val="00826AAD"/>
    <w:rsid w:val="00826DBA"/>
    <w:rsid w:val="00827C1B"/>
    <w:rsid w:val="00827E3E"/>
    <w:rsid w:val="008300D5"/>
    <w:rsid w:val="00831C82"/>
    <w:rsid w:val="00832301"/>
    <w:rsid w:val="008330F9"/>
    <w:rsid w:val="00834AF5"/>
    <w:rsid w:val="00834BA3"/>
    <w:rsid w:val="008352D7"/>
    <w:rsid w:val="0083566B"/>
    <w:rsid w:val="008356FB"/>
    <w:rsid w:val="00835B67"/>
    <w:rsid w:val="00835ED8"/>
    <w:rsid w:val="008369E8"/>
    <w:rsid w:val="008379B3"/>
    <w:rsid w:val="00840382"/>
    <w:rsid w:val="00841074"/>
    <w:rsid w:val="00841AA3"/>
    <w:rsid w:val="00841CA7"/>
    <w:rsid w:val="00841FEA"/>
    <w:rsid w:val="008434C5"/>
    <w:rsid w:val="0084398F"/>
    <w:rsid w:val="00843F88"/>
    <w:rsid w:val="0084425E"/>
    <w:rsid w:val="008446C9"/>
    <w:rsid w:val="00844C5F"/>
    <w:rsid w:val="00845BAD"/>
    <w:rsid w:val="00845CB0"/>
    <w:rsid w:val="0085162B"/>
    <w:rsid w:val="0085347D"/>
    <w:rsid w:val="00853FD3"/>
    <w:rsid w:val="008555D8"/>
    <w:rsid w:val="00856FEE"/>
    <w:rsid w:val="0085748D"/>
    <w:rsid w:val="008604AE"/>
    <w:rsid w:val="0086303D"/>
    <w:rsid w:val="008636C3"/>
    <w:rsid w:val="00863AA8"/>
    <w:rsid w:val="0086517E"/>
    <w:rsid w:val="008671C4"/>
    <w:rsid w:val="00867292"/>
    <w:rsid w:val="00870878"/>
    <w:rsid w:val="00870BB1"/>
    <w:rsid w:val="00873A9D"/>
    <w:rsid w:val="00875A55"/>
    <w:rsid w:val="00876D99"/>
    <w:rsid w:val="008809D8"/>
    <w:rsid w:val="008822FE"/>
    <w:rsid w:val="008838C5"/>
    <w:rsid w:val="00884F64"/>
    <w:rsid w:val="00885742"/>
    <w:rsid w:val="0088637D"/>
    <w:rsid w:val="00887B01"/>
    <w:rsid w:val="00890E7A"/>
    <w:rsid w:val="0089289D"/>
    <w:rsid w:val="008928A7"/>
    <w:rsid w:val="00892A40"/>
    <w:rsid w:val="00893C58"/>
    <w:rsid w:val="0089418B"/>
    <w:rsid w:val="008970A3"/>
    <w:rsid w:val="00897231"/>
    <w:rsid w:val="008978C1"/>
    <w:rsid w:val="008A0F92"/>
    <w:rsid w:val="008A21A4"/>
    <w:rsid w:val="008A22D0"/>
    <w:rsid w:val="008A2316"/>
    <w:rsid w:val="008A32BF"/>
    <w:rsid w:val="008A3B00"/>
    <w:rsid w:val="008A67BF"/>
    <w:rsid w:val="008A787D"/>
    <w:rsid w:val="008B1307"/>
    <w:rsid w:val="008B38A8"/>
    <w:rsid w:val="008B4523"/>
    <w:rsid w:val="008B50BD"/>
    <w:rsid w:val="008B5C74"/>
    <w:rsid w:val="008B5D87"/>
    <w:rsid w:val="008B6765"/>
    <w:rsid w:val="008B702D"/>
    <w:rsid w:val="008B7136"/>
    <w:rsid w:val="008B7835"/>
    <w:rsid w:val="008C1CCB"/>
    <w:rsid w:val="008C38FA"/>
    <w:rsid w:val="008C3C49"/>
    <w:rsid w:val="008C4805"/>
    <w:rsid w:val="008C5168"/>
    <w:rsid w:val="008C5FD5"/>
    <w:rsid w:val="008C6148"/>
    <w:rsid w:val="008C6FC3"/>
    <w:rsid w:val="008D031C"/>
    <w:rsid w:val="008D1954"/>
    <w:rsid w:val="008D1A63"/>
    <w:rsid w:val="008D222C"/>
    <w:rsid w:val="008D228E"/>
    <w:rsid w:val="008D2449"/>
    <w:rsid w:val="008D2E7B"/>
    <w:rsid w:val="008D46D8"/>
    <w:rsid w:val="008D597E"/>
    <w:rsid w:val="008D6002"/>
    <w:rsid w:val="008D637A"/>
    <w:rsid w:val="008D69A1"/>
    <w:rsid w:val="008D7857"/>
    <w:rsid w:val="008D7D57"/>
    <w:rsid w:val="008E02CE"/>
    <w:rsid w:val="008E034B"/>
    <w:rsid w:val="008E0763"/>
    <w:rsid w:val="008E16F1"/>
    <w:rsid w:val="008E271E"/>
    <w:rsid w:val="008E2B37"/>
    <w:rsid w:val="008E3B29"/>
    <w:rsid w:val="008E3EDA"/>
    <w:rsid w:val="008E3F90"/>
    <w:rsid w:val="008E4EE1"/>
    <w:rsid w:val="008E5AE5"/>
    <w:rsid w:val="008E5B38"/>
    <w:rsid w:val="008E627D"/>
    <w:rsid w:val="008E6353"/>
    <w:rsid w:val="008E6526"/>
    <w:rsid w:val="008F0327"/>
    <w:rsid w:val="008F1F74"/>
    <w:rsid w:val="008F41C9"/>
    <w:rsid w:val="008F46F3"/>
    <w:rsid w:val="008F479B"/>
    <w:rsid w:val="008F52AE"/>
    <w:rsid w:val="008F6638"/>
    <w:rsid w:val="008F6C8A"/>
    <w:rsid w:val="00900025"/>
    <w:rsid w:val="0090065C"/>
    <w:rsid w:val="00900ADF"/>
    <w:rsid w:val="009012CA"/>
    <w:rsid w:val="009014B1"/>
    <w:rsid w:val="00902393"/>
    <w:rsid w:val="00904E3D"/>
    <w:rsid w:val="009052DD"/>
    <w:rsid w:val="00905684"/>
    <w:rsid w:val="00906103"/>
    <w:rsid w:val="00906380"/>
    <w:rsid w:val="009068E6"/>
    <w:rsid w:val="0090780F"/>
    <w:rsid w:val="00907DED"/>
    <w:rsid w:val="00910102"/>
    <w:rsid w:val="00911153"/>
    <w:rsid w:val="00911824"/>
    <w:rsid w:val="009126C7"/>
    <w:rsid w:val="00912825"/>
    <w:rsid w:val="00913B69"/>
    <w:rsid w:val="00914410"/>
    <w:rsid w:val="009144F3"/>
    <w:rsid w:val="00914E34"/>
    <w:rsid w:val="009150D1"/>
    <w:rsid w:val="009176C4"/>
    <w:rsid w:val="00921E75"/>
    <w:rsid w:val="00922381"/>
    <w:rsid w:val="009229C7"/>
    <w:rsid w:val="00922F1D"/>
    <w:rsid w:val="0092424C"/>
    <w:rsid w:val="0092477E"/>
    <w:rsid w:val="0092497D"/>
    <w:rsid w:val="00924E70"/>
    <w:rsid w:val="00925858"/>
    <w:rsid w:val="009269BF"/>
    <w:rsid w:val="00927421"/>
    <w:rsid w:val="00930FD3"/>
    <w:rsid w:val="009317EE"/>
    <w:rsid w:val="0093336A"/>
    <w:rsid w:val="009346F7"/>
    <w:rsid w:val="0093478D"/>
    <w:rsid w:val="00934FD5"/>
    <w:rsid w:val="00935803"/>
    <w:rsid w:val="00937A3F"/>
    <w:rsid w:val="00940477"/>
    <w:rsid w:val="00940682"/>
    <w:rsid w:val="009416B4"/>
    <w:rsid w:val="00941AC1"/>
    <w:rsid w:val="009424A0"/>
    <w:rsid w:val="009426FA"/>
    <w:rsid w:val="0094284B"/>
    <w:rsid w:val="00943217"/>
    <w:rsid w:val="009436B7"/>
    <w:rsid w:val="0094439A"/>
    <w:rsid w:val="00944A6A"/>
    <w:rsid w:val="0094600B"/>
    <w:rsid w:val="00946237"/>
    <w:rsid w:val="00946720"/>
    <w:rsid w:val="00946B84"/>
    <w:rsid w:val="0094743B"/>
    <w:rsid w:val="00951594"/>
    <w:rsid w:val="00952554"/>
    <w:rsid w:val="00952671"/>
    <w:rsid w:val="009531F8"/>
    <w:rsid w:val="00955149"/>
    <w:rsid w:val="009552DA"/>
    <w:rsid w:val="00955E91"/>
    <w:rsid w:val="00955EA7"/>
    <w:rsid w:val="00956710"/>
    <w:rsid w:val="00957512"/>
    <w:rsid w:val="009621DC"/>
    <w:rsid w:val="0096327E"/>
    <w:rsid w:val="00964BBE"/>
    <w:rsid w:val="00965619"/>
    <w:rsid w:val="00965849"/>
    <w:rsid w:val="00965B8E"/>
    <w:rsid w:val="00967440"/>
    <w:rsid w:val="00967A69"/>
    <w:rsid w:val="00971D9C"/>
    <w:rsid w:val="009728A7"/>
    <w:rsid w:val="00974425"/>
    <w:rsid w:val="00974A3A"/>
    <w:rsid w:val="009759B4"/>
    <w:rsid w:val="00976623"/>
    <w:rsid w:val="00977493"/>
    <w:rsid w:val="00977647"/>
    <w:rsid w:val="00980256"/>
    <w:rsid w:val="00981126"/>
    <w:rsid w:val="00981671"/>
    <w:rsid w:val="00984A8D"/>
    <w:rsid w:val="00984C0B"/>
    <w:rsid w:val="00987920"/>
    <w:rsid w:val="00987FE5"/>
    <w:rsid w:val="009900F2"/>
    <w:rsid w:val="00990EB8"/>
    <w:rsid w:val="00992A39"/>
    <w:rsid w:val="00993061"/>
    <w:rsid w:val="00994094"/>
    <w:rsid w:val="009950FE"/>
    <w:rsid w:val="00995436"/>
    <w:rsid w:val="00995760"/>
    <w:rsid w:val="0099680E"/>
    <w:rsid w:val="00996CB7"/>
    <w:rsid w:val="00997708"/>
    <w:rsid w:val="009A043F"/>
    <w:rsid w:val="009A1242"/>
    <w:rsid w:val="009A12C3"/>
    <w:rsid w:val="009A1C24"/>
    <w:rsid w:val="009A2B5D"/>
    <w:rsid w:val="009A368E"/>
    <w:rsid w:val="009A43C0"/>
    <w:rsid w:val="009A4A87"/>
    <w:rsid w:val="009A4E39"/>
    <w:rsid w:val="009A5AA5"/>
    <w:rsid w:val="009A6994"/>
    <w:rsid w:val="009A6B77"/>
    <w:rsid w:val="009A79A3"/>
    <w:rsid w:val="009B18B5"/>
    <w:rsid w:val="009B324D"/>
    <w:rsid w:val="009B3E60"/>
    <w:rsid w:val="009B4CE9"/>
    <w:rsid w:val="009B5423"/>
    <w:rsid w:val="009B609A"/>
    <w:rsid w:val="009B68A9"/>
    <w:rsid w:val="009B7946"/>
    <w:rsid w:val="009B7F26"/>
    <w:rsid w:val="009C0497"/>
    <w:rsid w:val="009C1278"/>
    <w:rsid w:val="009C1573"/>
    <w:rsid w:val="009C174F"/>
    <w:rsid w:val="009C1794"/>
    <w:rsid w:val="009C22AF"/>
    <w:rsid w:val="009C2F06"/>
    <w:rsid w:val="009C4696"/>
    <w:rsid w:val="009C5F94"/>
    <w:rsid w:val="009D1CEC"/>
    <w:rsid w:val="009D28DD"/>
    <w:rsid w:val="009D29FE"/>
    <w:rsid w:val="009D43CD"/>
    <w:rsid w:val="009D5108"/>
    <w:rsid w:val="009D5E00"/>
    <w:rsid w:val="009D5FBF"/>
    <w:rsid w:val="009E062D"/>
    <w:rsid w:val="009E0B68"/>
    <w:rsid w:val="009E13CF"/>
    <w:rsid w:val="009E4B31"/>
    <w:rsid w:val="009E567C"/>
    <w:rsid w:val="009E6000"/>
    <w:rsid w:val="009E6A05"/>
    <w:rsid w:val="009E72A5"/>
    <w:rsid w:val="009E756E"/>
    <w:rsid w:val="009F0B70"/>
    <w:rsid w:val="009F1775"/>
    <w:rsid w:val="009F1B5B"/>
    <w:rsid w:val="009F21CF"/>
    <w:rsid w:val="009F22FA"/>
    <w:rsid w:val="009F5C97"/>
    <w:rsid w:val="009F6BB5"/>
    <w:rsid w:val="009F6CC6"/>
    <w:rsid w:val="009F7426"/>
    <w:rsid w:val="009F7D57"/>
    <w:rsid w:val="009F7DE9"/>
    <w:rsid w:val="00A00AE6"/>
    <w:rsid w:val="00A0172E"/>
    <w:rsid w:val="00A01F23"/>
    <w:rsid w:val="00A021B4"/>
    <w:rsid w:val="00A024F1"/>
    <w:rsid w:val="00A02F85"/>
    <w:rsid w:val="00A03B16"/>
    <w:rsid w:val="00A04929"/>
    <w:rsid w:val="00A04A32"/>
    <w:rsid w:val="00A04AEE"/>
    <w:rsid w:val="00A050A2"/>
    <w:rsid w:val="00A067E1"/>
    <w:rsid w:val="00A06A75"/>
    <w:rsid w:val="00A1036F"/>
    <w:rsid w:val="00A104B2"/>
    <w:rsid w:val="00A11159"/>
    <w:rsid w:val="00A120AE"/>
    <w:rsid w:val="00A12D9A"/>
    <w:rsid w:val="00A13B1D"/>
    <w:rsid w:val="00A13D1E"/>
    <w:rsid w:val="00A14EBB"/>
    <w:rsid w:val="00A160D3"/>
    <w:rsid w:val="00A1647C"/>
    <w:rsid w:val="00A2065C"/>
    <w:rsid w:val="00A20B05"/>
    <w:rsid w:val="00A22784"/>
    <w:rsid w:val="00A23914"/>
    <w:rsid w:val="00A2416C"/>
    <w:rsid w:val="00A254F3"/>
    <w:rsid w:val="00A264A0"/>
    <w:rsid w:val="00A27005"/>
    <w:rsid w:val="00A31156"/>
    <w:rsid w:val="00A3262D"/>
    <w:rsid w:val="00A32A0D"/>
    <w:rsid w:val="00A33782"/>
    <w:rsid w:val="00A35746"/>
    <w:rsid w:val="00A37413"/>
    <w:rsid w:val="00A40500"/>
    <w:rsid w:val="00A42487"/>
    <w:rsid w:val="00A43E42"/>
    <w:rsid w:val="00A43E6C"/>
    <w:rsid w:val="00A445BF"/>
    <w:rsid w:val="00A45883"/>
    <w:rsid w:val="00A45ABB"/>
    <w:rsid w:val="00A469A1"/>
    <w:rsid w:val="00A46E94"/>
    <w:rsid w:val="00A47445"/>
    <w:rsid w:val="00A5037A"/>
    <w:rsid w:val="00A50D2B"/>
    <w:rsid w:val="00A50E65"/>
    <w:rsid w:val="00A50F73"/>
    <w:rsid w:val="00A51819"/>
    <w:rsid w:val="00A51E62"/>
    <w:rsid w:val="00A52764"/>
    <w:rsid w:val="00A53039"/>
    <w:rsid w:val="00A53840"/>
    <w:rsid w:val="00A55912"/>
    <w:rsid w:val="00A55A65"/>
    <w:rsid w:val="00A5730D"/>
    <w:rsid w:val="00A57731"/>
    <w:rsid w:val="00A57759"/>
    <w:rsid w:val="00A60BD8"/>
    <w:rsid w:val="00A60D9B"/>
    <w:rsid w:val="00A60F53"/>
    <w:rsid w:val="00A6103A"/>
    <w:rsid w:val="00A63398"/>
    <w:rsid w:val="00A63548"/>
    <w:rsid w:val="00A6498C"/>
    <w:rsid w:val="00A67859"/>
    <w:rsid w:val="00A72206"/>
    <w:rsid w:val="00A72639"/>
    <w:rsid w:val="00A7320D"/>
    <w:rsid w:val="00A739D3"/>
    <w:rsid w:val="00A753D1"/>
    <w:rsid w:val="00A75AA3"/>
    <w:rsid w:val="00A75DC3"/>
    <w:rsid w:val="00A76735"/>
    <w:rsid w:val="00A76804"/>
    <w:rsid w:val="00A77242"/>
    <w:rsid w:val="00A77B80"/>
    <w:rsid w:val="00A8124B"/>
    <w:rsid w:val="00A82ADD"/>
    <w:rsid w:val="00A82B17"/>
    <w:rsid w:val="00A8487A"/>
    <w:rsid w:val="00A86281"/>
    <w:rsid w:val="00A8632B"/>
    <w:rsid w:val="00A86CBB"/>
    <w:rsid w:val="00A86F27"/>
    <w:rsid w:val="00A877BF"/>
    <w:rsid w:val="00A90E36"/>
    <w:rsid w:val="00A91577"/>
    <w:rsid w:val="00A91B2D"/>
    <w:rsid w:val="00A91BA2"/>
    <w:rsid w:val="00A936FB"/>
    <w:rsid w:val="00A93852"/>
    <w:rsid w:val="00A9590E"/>
    <w:rsid w:val="00A96060"/>
    <w:rsid w:val="00A968C1"/>
    <w:rsid w:val="00A97AAF"/>
    <w:rsid w:val="00AA175C"/>
    <w:rsid w:val="00AA3D4C"/>
    <w:rsid w:val="00AA4818"/>
    <w:rsid w:val="00AA4B2E"/>
    <w:rsid w:val="00AA5FFA"/>
    <w:rsid w:val="00AA6374"/>
    <w:rsid w:val="00AA6569"/>
    <w:rsid w:val="00AA7A9E"/>
    <w:rsid w:val="00AB09B1"/>
    <w:rsid w:val="00AB1F6E"/>
    <w:rsid w:val="00AB2990"/>
    <w:rsid w:val="00AB44CB"/>
    <w:rsid w:val="00AB4C26"/>
    <w:rsid w:val="00AB5B43"/>
    <w:rsid w:val="00AB669E"/>
    <w:rsid w:val="00AB6CEE"/>
    <w:rsid w:val="00AB711B"/>
    <w:rsid w:val="00AB73F8"/>
    <w:rsid w:val="00AB7C9F"/>
    <w:rsid w:val="00AC0766"/>
    <w:rsid w:val="00AC0ABE"/>
    <w:rsid w:val="00AC236C"/>
    <w:rsid w:val="00AC32AC"/>
    <w:rsid w:val="00AC5E64"/>
    <w:rsid w:val="00AC6CCF"/>
    <w:rsid w:val="00AD1527"/>
    <w:rsid w:val="00AD1FE6"/>
    <w:rsid w:val="00AD38D0"/>
    <w:rsid w:val="00AD41A2"/>
    <w:rsid w:val="00AD4DCE"/>
    <w:rsid w:val="00AD758F"/>
    <w:rsid w:val="00AD7BA9"/>
    <w:rsid w:val="00AE00CD"/>
    <w:rsid w:val="00AE0F97"/>
    <w:rsid w:val="00AE1848"/>
    <w:rsid w:val="00AE231D"/>
    <w:rsid w:val="00AE2800"/>
    <w:rsid w:val="00AE3882"/>
    <w:rsid w:val="00AE3E7B"/>
    <w:rsid w:val="00AE57E9"/>
    <w:rsid w:val="00AE5D27"/>
    <w:rsid w:val="00AF0B68"/>
    <w:rsid w:val="00AF0CA5"/>
    <w:rsid w:val="00AF1F26"/>
    <w:rsid w:val="00AF20CA"/>
    <w:rsid w:val="00AF396B"/>
    <w:rsid w:val="00AF3A63"/>
    <w:rsid w:val="00AF3E6A"/>
    <w:rsid w:val="00AF45EF"/>
    <w:rsid w:val="00AF46CC"/>
    <w:rsid w:val="00AF4B84"/>
    <w:rsid w:val="00AF5E0E"/>
    <w:rsid w:val="00AF6B2D"/>
    <w:rsid w:val="00AF7212"/>
    <w:rsid w:val="00AF7483"/>
    <w:rsid w:val="00AF7A23"/>
    <w:rsid w:val="00AF7F51"/>
    <w:rsid w:val="00B00BE7"/>
    <w:rsid w:val="00B0106F"/>
    <w:rsid w:val="00B012E5"/>
    <w:rsid w:val="00B02C05"/>
    <w:rsid w:val="00B02F75"/>
    <w:rsid w:val="00B03C05"/>
    <w:rsid w:val="00B0420F"/>
    <w:rsid w:val="00B04FCD"/>
    <w:rsid w:val="00B059D5"/>
    <w:rsid w:val="00B075EA"/>
    <w:rsid w:val="00B078D0"/>
    <w:rsid w:val="00B07C36"/>
    <w:rsid w:val="00B103F9"/>
    <w:rsid w:val="00B10764"/>
    <w:rsid w:val="00B1110F"/>
    <w:rsid w:val="00B11A65"/>
    <w:rsid w:val="00B134BB"/>
    <w:rsid w:val="00B1380D"/>
    <w:rsid w:val="00B13AF6"/>
    <w:rsid w:val="00B13F58"/>
    <w:rsid w:val="00B14A18"/>
    <w:rsid w:val="00B150F9"/>
    <w:rsid w:val="00B16B6C"/>
    <w:rsid w:val="00B17362"/>
    <w:rsid w:val="00B20F90"/>
    <w:rsid w:val="00B20FDA"/>
    <w:rsid w:val="00B2130E"/>
    <w:rsid w:val="00B21C52"/>
    <w:rsid w:val="00B24092"/>
    <w:rsid w:val="00B2463A"/>
    <w:rsid w:val="00B24F75"/>
    <w:rsid w:val="00B2660E"/>
    <w:rsid w:val="00B26688"/>
    <w:rsid w:val="00B26CB3"/>
    <w:rsid w:val="00B2701D"/>
    <w:rsid w:val="00B271F8"/>
    <w:rsid w:val="00B301A7"/>
    <w:rsid w:val="00B31931"/>
    <w:rsid w:val="00B31A88"/>
    <w:rsid w:val="00B32709"/>
    <w:rsid w:val="00B32812"/>
    <w:rsid w:val="00B33860"/>
    <w:rsid w:val="00B33B97"/>
    <w:rsid w:val="00B3534B"/>
    <w:rsid w:val="00B35433"/>
    <w:rsid w:val="00B35957"/>
    <w:rsid w:val="00B3636D"/>
    <w:rsid w:val="00B3666D"/>
    <w:rsid w:val="00B37110"/>
    <w:rsid w:val="00B37285"/>
    <w:rsid w:val="00B372B3"/>
    <w:rsid w:val="00B37526"/>
    <w:rsid w:val="00B40EA8"/>
    <w:rsid w:val="00B428C8"/>
    <w:rsid w:val="00B43E8B"/>
    <w:rsid w:val="00B459B3"/>
    <w:rsid w:val="00B45D7C"/>
    <w:rsid w:val="00B462AB"/>
    <w:rsid w:val="00B47429"/>
    <w:rsid w:val="00B47C0B"/>
    <w:rsid w:val="00B503C7"/>
    <w:rsid w:val="00B504C4"/>
    <w:rsid w:val="00B52A2A"/>
    <w:rsid w:val="00B530C9"/>
    <w:rsid w:val="00B53420"/>
    <w:rsid w:val="00B54A79"/>
    <w:rsid w:val="00B55669"/>
    <w:rsid w:val="00B55FDD"/>
    <w:rsid w:val="00B565CA"/>
    <w:rsid w:val="00B57C7F"/>
    <w:rsid w:val="00B602A9"/>
    <w:rsid w:val="00B60367"/>
    <w:rsid w:val="00B60944"/>
    <w:rsid w:val="00B6322C"/>
    <w:rsid w:val="00B64415"/>
    <w:rsid w:val="00B64C72"/>
    <w:rsid w:val="00B656DE"/>
    <w:rsid w:val="00B65DF9"/>
    <w:rsid w:val="00B66EA6"/>
    <w:rsid w:val="00B676D4"/>
    <w:rsid w:val="00B71ED6"/>
    <w:rsid w:val="00B73FD7"/>
    <w:rsid w:val="00B7459A"/>
    <w:rsid w:val="00B77FEE"/>
    <w:rsid w:val="00B80D54"/>
    <w:rsid w:val="00B812F5"/>
    <w:rsid w:val="00B81D03"/>
    <w:rsid w:val="00B8204F"/>
    <w:rsid w:val="00B82687"/>
    <w:rsid w:val="00B82F86"/>
    <w:rsid w:val="00B82FFA"/>
    <w:rsid w:val="00B8502B"/>
    <w:rsid w:val="00B85116"/>
    <w:rsid w:val="00B85816"/>
    <w:rsid w:val="00B85A63"/>
    <w:rsid w:val="00B867E4"/>
    <w:rsid w:val="00B86C96"/>
    <w:rsid w:val="00B90CE3"/>
    <w:rsid w:val="00B91B0F"/>
    <w:rsid w:val="00B92883"/>
    <w:rsid w:val="00B92DAC"/>
    <w:rsid w:val="00B93152"/>
    <w:rsid w:val="00B96CA1"/>
    <w:rsid w:val="00B9774C"/>
    <w:rsid w:val="00B97E2F"/>
    <w:rsid w:val="00BA0C75"/>
    <w:rsid w:val="00BA0CE8"/>
    <w:rsid w:val="00BA23CD"/>
    <w:rsid w:val="00BA23E1"/>
    <w:rsid w:val="00BA37A7"/>
    <w:rsid w:val="00BA395C"/>
    <w:rsid w:val="00BA54A2"/>
    <w:rsid w:val="00BA6BE9"/>
    <w:rsid w:val="00BA6BF3"/>
    <w:rsid w:val="00BB20BA"/>
    <w:rsid w:val="00BB25F3"/>
    <w:rsid w:val="00BB2E25"/>
    <w:rsid w:val="00BB350D"/>
    <w:rsid w:val="00BB3734"/>
    <w:rsid w:val="00BB49F6"/>
    <w:rsid w:val="00BB4F5E"/>
    <w:rsid w:val="00BB5DBB"/>
    <w:rsid w:val="00BB5ED5"/>
    <w:rsid w:val="00BB62F1"/>
    <w:rsid w:val="00BB666B"/>
    <w:rsid w:val="00BB6CF0"/>
    <w:rsid w:val="00BB7852"/>
    <w:rsid w:val="00BC110A"/>
    <w:rsid w:val="00BC1D38"/>
    <w:rsid w:val="00BC21F7"/>
    <w:rsid w:val="00BC320A"/>
    <w:rsid w:val="00BC3977"/>
    <w:rsid w:val="00BC3F9A"/>
    <w:rsid w:val="00BC58F2"/>
    <w:rsid w:val="00BC6E4A"/>
    <w:rsid w:val="00BD04B3"/>
    <w:rsid w:val="00BD0C0A"/>
    <w:rsid w:val="00BD105E"/>
    <w:rsid w:val="00BD137F"/>
    <w:rsid w:val="00BD1A9A"/>
    <w:rsid w:val="00BD2A6F"/>
    <w:rsid w:val="00BD3C0E"/>
    <w:rsid w:val="00BD58DB"/>
    <w:rsid w:val="00BD6741"/>
    <w:rsid w:val="00BD699C"/>
    <w:rsid w:val="00BD721A"/>
    <w:rsid w:val="00BD7BFB"/>
    <w:rsid w:val="00BD7F92"/>
    <w:rsid w:val="00BE03EA"/>
    <w:rsid w:val="00BE05B9"/>
    <w:rsid w:val="00BE17C4"/>
    <w:rsid w:val="00BE185B"/>
    <w:rsid w:val="00BE2231"/>
    <w:rsid w:val="00BE40DD"/>
    <w:rsid w:val="00BE6953"/>
    <w:rsid w:val="00BE75DC"/>
    <w:rsid w:val="00BF066C"/>
    <w:rsid w:val="00BF19C0"/>
    <w:rsid w:val="00BF1A11"/>
    <w:rsid w:val="00BF29F7"/>
    <w:rsid w:val="00BF2E3E"/>
    <w:rsid w:val="00BF4686"/>
    <w:rsid w:val="00BF4D3A"/>
    <w:rsid w:val="00BF5463"/>
    <w:rsid w:val="00BF5F5E"/>
    <w:rsid w:val="00BF6A4A"/>
    <w:rsid w:val="00BF73B3"/>
    <w:rsid w:val="00BF76CB"/>
    <w:rsid w:val="00C00A05"/>
    <w:rsid w:val="00C025D8"/>
    <w:rsid w:val="00C02A69"/>
    <w:rsid w:val="00C0388A"/>
    <w:rsid w:val="00C03B8A"/>
    <w:rsid w:val="00C04DA8"/>
    <w:rsid w:val="00C04DC2"/>
    <w:rsid w:val="00C04F2E"/>
    <w:rsid w:val="00C058FA"/>
    <w:rsid w:val="00C0601A"/>
    <w:rsid w:val="00C06200"/>
    <w:rsid w:val="00C10470"/>
    <w:rsid w:val="00C1080B"/>
    <w:rsid w:val="00C10F2A"/>
    <w:rsid w:val="00C1133C"/>
    <w:rsid w:val="00C119AB"/>
    <w:rsid w:val="00C13A0E"/>
    <w:rsid w:val="00C13BB5"/>
    <w:rsid w:val="00C13D56"/>
    <w:rsid w:val="00C1486F"/>
    <w:rsid w:val="00C15BF1"/>
    <w:rsid w:val="00C15C71"/>
    <w:rsid w:val="00C15D97"/>
    <w:rsid w:val="00C16896"/>
    <w:rsid w:val="00C168C1"/>
    <w:rsid w:val="00C16E36"/>
    <w:rsid w:val="00C17B95"/>
    <w:rsid w:val="00C17C78"/>
    <w:rsid w:val="00C17D27"/>
    <w:rsid w:val="00C20549"/>
    <w:rsid w:val="00C21643"/>
    <w:rsid w:val="00C2314A"/>
    <w:rsid w:val="00C23600"/>
    <w:rsid w:val="00C25E94"/>
    <w:rsid w:val="00C25EDA"/>
    <w:rsid w:val="00C35379"/>
    <w:rsid w:val="00C357ED"/>
    <w:rsid w:val="00C35932"/>
    <w:rsid w:val="00C36549"/>
    <w:rsid w:val="00C41133"/>
    <w:rsid w:val="00C413AD"/>
    <w:rsid w:val="00C42386"/>
    <w:rsid w:val="00C43AF7"/>
    <w:rsid w:val="00C44578"/>
    <w:rsid w:val="00C448FF"/>
    <w:rsid w:val="00C470BE"/>
    <w:rsid w:val="00C4741C"/>
    <w:rsid w:val="00C47B7A"/>
    <w:rsid w:val="00C47E7E"/>
    <w:rsid w:val="00C51266"/>
    <w:rsid w:val="00C51AFA"/>
    <w:rsid w:val="00C52279"/>
    <w:rsid w:val="00C52733"/>
    <w:rsid w:val="00C52C57"/>
    <w:rsid w:val="00C52F59"/>
    <w:rsid w:val="00C53588"/>
    <w:rsid w:val="00C542B3"/>
    <w:rsid w:val="00C549F1"/>
    <w:rsid w:val="00C54F43"/>
    <w:rsid w:val="00C5512A"/>
    <w:rsid w:val="00C55859"/>
    <w:rsid w:val="00C55F14"/>
    <w:rsid w:val="00C562B9"/>
    <w:rsid w:val="00C56CD6"/>
    <w:rsid w:val="00C60007"/>
    <w:rsid w:val="00C6082E"/>
    <w:rsid w:val="00C6308A"/>
    <w:rsid w:val="00C641EB"/>
    <w:rsid w:val="00C642A5"/>
    <w:rsid w:val="00C64575"/>
    <w:rsid w:val="00C64E5A"/>
    <w:rsid w:val="00C66D45"/>
    <w:rsid w:val="00C670AB"/>
    <w:rsid w:val="00C67EF8"/>
    <w:rsid w:val="00C7058D"/>
    <w:rsid w:val="00C71032"/>
    <w:rsid w:val="00C72E3E"/>
    <w:rsid w:val="00C738F1"/>
    <w:rsid w:val="00C74D8D"/>
    <w:rsid w:val="00C76B83"/>
    <w:rsid w:val="00C80BAD"/>
    <w:rsid w:val="00C82566"/>
    <w:rsid w:val="00C82B99"/>
    <w:rsid w:val="00C84AE0"/>
    <w:rsid w:val="00C84DEC"/>
    <w:rsid w:val="00C8623C"/>
    <w:rsid w:val="00C87243"/>
    <w:rsid w:val="00C87CCB"/>
    <w:rsid w:val="00C93295"/>
    <w:rsid w:val="00C9392B"/>
    <w:rsid w:val="00C93D1D"/>
    <w:rsid w:val="00C941FE"/>
    <w:rsid w:val="00C95AEB"/>
    <w:rsid w:val="00CA0DB2"/>
    <w:rsid w:val="00CA0DF1"/>
    <w:rsid w:val="00CA0E4A"/>
    <w:rsid w:val="00CA1F40"/>
    <w:rsid w:val="00CA2018"/>
    <w:rsid w:val="00CA23D4"/>
    <w:rsid w:val="00CA3013"/>
    <w:rsid w:val="00CA30E6"/>
    <w:rsid w:val="00CA3A9E"/>
    <w:rsid w:val="00CA42A0"/>
    <w:rsid w:val="00CA48E9"/>
    <w:rsid w:val="00CA4B04"/>
    <w:rsid w:val="00CA5E11"/>
    <w:rsid w:val="00CA6FA7"/>
    <w:rsid w:val="00CB08F8"/>
    <w:rsid w:val="00CB1853"/>
    <w:rsid w:val="00CB30A2"/>
    <w:rsid w:val="00CB4B07"/>
    <w:rsid w:val="00CB54DF"/>
    <w:rsid w:val="00CB55F0"/>
    <w:rsid w:val="00CB5969"/>
    <w:rsid w:val="00CB684D"/>
    <w:rsid w:val="00CB739F"/>
    <w:rsid w:val="00CB74A4"/>
    <w:rsid w:val="00CC0237"/>
    <w:rsid w:val="00CC1437"/>
    <w:rsid w:val="00CC314C"/>
    <w:rsid w:val="00CC3B24"/>
    <w:rsid w:val="00CC424F"/>
    <w:rsid w:val="00CC51BE"/>
    <w:rsid w:val="00CC567F"/>
    <w:rsid w:val="00CC5CA3"/>
    <w:rsid w:val="00CC6544"/>
    <w:rsid w:val="00CC6F06"/>
    <w:rsid w:val="00CC7100"/>
    <w:rsid w:val="00CC7916"/>
    <w:rsid w:val="00CC7B56"/>
    <w:rsid w:val="00CC7D0F"/>
    <w:rsid w:val="00CD059C"/>
    <w:rsid w:val="00CD10DC"/>
    <w:rsid w:val="00CD1821"/>
    <w:rsid w:val="00CD2D67"/>
    <w:rsid w:val="00CD2E18"/>
    <w:rsid w:val="00CD30F0"/>
    <w:rsid w:val="00CD5019"/>
    <w:rsid w:val="00CD515C"/>
    <w:rsid w:val="00CD66CC"/>
    <w:rsid w:val="00CD766F"/>
    <w:rsid w:val="00CE1465"/>
    <w:rsid w:val="00CE18A7"/>
    <w:rsid w:val="00CE1968"/>
    <w:rsid w:val="00CE4CA1"/>
    <w:rsid w:val="00CE5F68"/>
    <w:rsid w:val="00CE7FC7"/>
    <w:rsid w:val="00CF090B"/>
    <w:rsid w:val="00CF1B17"/>
    <w:rsid w:val="00CF1B57"/>
    <w:rsid w:val="00CF243A"/>
    <w:rsid w:val="00CF24F3"/>
    <w:rsid w:val="00CF4781"/>
    <w:rsid w:val="00CF4D9C"/>
    <w:rsid w:val="00CF5F2B"/>
    <w:rsid w:val="00CF697A"/>
    <w:rsid w:val="00D0060F"/>
    <w:rsid w:val="00D00AD5"/>
    <w:rsid w:val="00D02767"/>
    <w:rsid w:val="00D02E10"/>
    <w:rsid w:val="00D030E8"/>
    <w:rsid w:val="00D035DB"/>
    <w:rsid w:val="00D03C56"/>
    <w:rsid w:val="00D041DD"/>
    <w:rsid w:val="00D044A9"/>
    <w:rsid w:val="00D04E1F"/>
    <w:rsid w:val="00D05EC7"/>
    <w:rsid w:val="00D0630C"/>
    <w:rsid w:val="00D06865"/>
    <w:rsid w:val="00D07723"/>
    <w:rsid w:val="00D10036"/>
    <w:rsid w:val="00D1107C"/>
    <w:rsid w:val="00D11622"/>
    <w:rsid w:val="00D1248A"/>
    <w:rsid w:val="00D13904"/>
    <w:rsid w:val="00D14B17"/>
    <w:rsid w:val="00D150A0"/>
    <w:rsid w:val="00D154B5"/>
    <w:rsid w:val="00D15917"/>
    <w:rsid w:val="00D15D72"/>
    <w:rsid w:val="00D1728D"/>
    <w:rsid w:val="00D17A5E"/>
    <w:rsid w:val="00D20A70"/>
    <w:rsid w:val="00D20B24"/>
    <w:rsid w:val="00D21300"/>
    <w:rsid w:val="00D21B58"/>
    <w:rsid w:val="00D21C39"/>
    <w:rsid w:val="00D21C4C"/>
    <w:rsid w:val="00D228F3"/>
    <w:rsid w:val="00D22E74"/>
    <w:rsid w:val="00D23025"/>
    <w:rsid w:val="00D23A45"/>
    <w:rsid w:val="00D25E01"/>
    <w:rsid w:val="00D26CB9"/>
    <w:rsid w:val="00D274CD"/>
    <w:rsid w:val="00D341B0"/>
    <w:rsid w:val="00D34D47"/>
    <w:rsid w:val="00D34EB2"/>
    <w:rsid w:val="00D34ED7"/>
    <w:rsid w:val="00D35295"/>
    <w:rsid w:val="00D36D03"/>
    <w:rsid w:val="00D371DD"/>
    <w:rsid w:val="00D375F9"/>
    <w:rsid w:val="00D40410"/>
    <w:rsid w:val="00D413A6"/>
    <w:rsid w:val="00D418B0"/>
    <w:rsid w:val="00D418F8"/>
    <w:rsid w:val="00D41C42"/>
    <w:rsid w:val="00D436DF"/>
    <w:rsid w:val="00D44A39"/>
    <w:rsid w:val="00D45284"/>
    <w:rsid w:val="00D455C3"/>
    <w:rsid w:val="00D45ABA"/>
    <w:rsid w:val="00D4737B"/>
    <w:rsid w:val="00D47FDE"/>
    <w:rsid w:val="00D50929"/>
    <w:rsid w:val="00D51615"/>
    <w:rsid w:val="00D52A3A"/>
    <w:rsid w:val="00D54074"/>
    <w:rsid w:val="00D540A7"/>
    <w:rsid w:val="00D5412E"/>
    <w:rsid w:val="00D55173"/>
    <w:rsid w:val="00D558F1"/>
    <w:rsid w:val="00D55EB0"/>
    <w:rsid w:val="00D563B0"/>
    <w:rsid w:val="00D60CD2"/>
    <w:rsid w:val="00D625AF"/>
    <w:rsid w:val="00D6281A"/>
    <w:rsid w:val="00D62875"/>
    <w:rsid w:val="00D6360D"/>
    <w:rsid w:val="00D63681"/>
    <w:rsid w:val="00D6372D"/>
    <w:rsid w:val="00D63F82"/>
    <w:rsid w:val="00D642D9"/>
    <w:rsid w:val="00D66528"/>
    <w:rsid w:val="00D66557"/>
    <w:rsid w:val="00D66BC4"/>
    <w:rsid w:val="00D678E7"/>
    <w:rsid w:val="00D70908"/>
    <w:rsid w:val="00D71A7F"/>
    <w:rsid w:val="00D71AFB"/>
    <w:rsid w:val="00D7262E"/>
    <w:rsid w:val="00D72BA2"/>
    <w:rsid w:val="00D735D1"/>
    <w:rsid w:val="00D74B14"/>
    <w:rsid w:val="00D75888"/>
    <w:rsid w:val="00D76936"/>
    <w:rsid w:val="00D76B3C"/>
    <w:rsid w:val="00D76E1E"/>
    <w:rsid w:val="00D76E53"/>
    <w:rsid w:val="00D80799"/>
    <w:rsid w:val="00D80A6E"/>
    <w:rsid w:val="00D80F2D"/>
    <w:rsid w:val="00D81F8D"/>
    <w:rsid w:val="00D84677"/>
    <w:rsid w:val="00D85C26"/>
    <w:rsid w:val="00D86326"/>
    <w:rsid w:val="00D86749"/>
    <w:rsid w:val="00D867F3"/>
    <w:rsid w:val="00D8715E"/>
    <w:rsid w:val="00D9103D"/>
    <w:rsid w:val="00D913D8"/>
    <w:rsid w:val="00D935B0"/>
    <w:rsid w:val="00D939D1"/>
    <w:rsid w:val="00D94649"/>
    <w:rsid w:val="00D948CA"/>
    <w:rsid w:val="00D97E15"/>
    <w:rsid w:val="00DA0E81"/>
    <w:rsid w:val="00DA1ABB"/>
    <w:rsid w:val="00DA22DB"/>
    <w:rsid w:val="00DA2CBF"/>
    <w:rsid w:val="00DA344E"/>
    <w:rsid w:val="00DA4242"/>
    <w:rsid w:val="00DA46EF"/>
    <w:rsid w:val="00DA47A9"/>
    <w:rsid w:val="00DA4DC7"/>
    <w:rsid w:val="00DA60A8"/>
    <w:rsid w:val="00DA6AE1"/>
    <w:rsid w:val="00DA6B08"/>
    <w:rsid w:val="00DB043A"/>
    <w:rsid w:val="00DB1935"/>
    <w:rsid w:val="00DB1BFC"/>
    <w:rsid w:val="00DB2912"/>
    <w:rsid w:val="00DB40E7"/>
    <w:rsid w:val="00DB4868"/>
    <w:rsid w:val="00DB50E8"/>
    <w:rsid w:val="00DB6633"/>
    <w:rsid w:val="00DB66F4"/>
    <w:rsid w:val="00DB6BEC"/>
    <w:rsid w:val="00DB7162"/>
    <w:rsid w:val="00DC116B"/>
    <w:rsid w:val="00DC1218"/>
    <w:rsid w:val="00DC1492"/>
    <w:rsid w:val="00DC1DA5"/>
    <w:rsid w:val="00DC2A41"/>
    <w:rsid w:val="00DC30E7"/>
    <w:rsid w:val="00DC3FCB"/>
    <w:rsid w:val="00DC5AC4"/>
    <w:rsid w:val="00DC6201"/>
    <w:rsid w:val="00DC72A0"/>
    <w:rsid w:val="00DD00E7"/>
    <w:rsid w:val="00DD064E"/>
    <w:rsid w:val="00DD0778"/>
    <w:rsid w:val="00DD1805"/>
    <w:rsid w:val="00DD53A5"/>
    <w:rsid w:val="00DD5C3D"/>
    <w:rsid w:val="00DD6074"/>
    <w:rsid w:val="00DD6E72"/>
    <w:rsid w:val="00DD7A44"/>
    <w:rsid w:val="00DE0BFD"/>
    <w:rsid w:val="00DE18DA"/>
    <w:rsid w:val="00DE3417"/>
    <w:rsid w:val="00DE3B13"/>
    <w:rsid w:val="00DE58C0"/>
    <w:rsid w:val="00DE6DF9"/>
    <w:rsid w:val="00DF241B"/>
    <w:rsid w:val="00DF39A1"/>
    <w:rsid w:val="00DF39EE"/>
    <w:rsid w:val="00DF3CE5"/>
    <w:rsid w:val="00DF3EDE"/>
    <w:rsid w:val="00DF4C4D"/>
    <w:rsid w:val="00DF5BB8"/>
    <w:rsid w:val="00DF5C72"/>
    <w:rsid w:val="00DF5CCD"/>
    <w:rsid w:val="00DF707B"/>
    <w:rsid w:val="00E0000B"/>
    <w:rsid w:val="00E00085"/>
    <w:rsid w:val="00E00F17"/>
    <w:rsid w:val="00E02181"/>
    <w:rsid w:val="00E025C2"/>
    <w:rsid w:val="00E02AA5"/>
    <w:rsid w:val="00E0379F"/>
    <w:rsid w:val="00E0443F"/>
    <w:rsid w:val="00E05045"/>
    <w:rsid w:val="00E0666F"/>
    <w:rsid w:val="00E06A8E"/>
    <w:rsid w:val="00E06B08"/>
    <w:rsid w:val="00E07206"/>
    <w:rsid w:val="00E07354"/>
    <w:rsid w:val="00E07E68"/>
    <w:rsid w:val="00E112C4"/>
    <w:rsid w:val="00E11410"/>
    <w:rsid w:val="00E125CC"/>
    <w:rsid w:val="00E1327B"/>
    <w:rsid w:val="00E13D2A"/>
    <w:rsid w:val="00E13DBF"/>
    <w:rsid w:val="00E14A5E"/>
    <w:rsid w:val="00E160E4"/>
    <w:rsid w:val="00E168BE"/>
    <w:rsid w:val="00E1746E"/>
    <w:rsid w:val="00E17CEC"/>
    <w:rsid w:val="00E17E19"/>
    <w:rsid w:val="00E208D6"/>
    <w:rsid w:val="00E21009"/>
    <w:rsid w:val="00E216D4"/>
    <w:rsid w:val="00E21716"/>
    <w:rsid w:val="00E22D9A"/>
    <w:rsid w:val="00E23842"/>
    <w:rsid w:val="00E24ABC"/>
    <w:rsid w:val="00E250C1"/>
    <w:rsid w:val="00E252ED"/>
    <w:rsid w:val="00E253C7"/>
    <w:rsid w:val="00E25BF7"/>
    <w:rsid w:val="00E26188"/>
    <w:rsid w:val="00E2699D"/>
    <w:rsid w:val="00E27268"/>
    <w:rsid w:val="00E3001C"/>
    <w:rsid w:val="00E31E20"/>
    <w:rsid w:val="00E3201E"/>
    <w:rsid w:val="00E32498"/>
    <w:rsid w:val="00E32978"/>
    <w:rsid w:val="00E33131"/>
    <w:rsid w:val="00E33739"/>
    <w:rsid w:val="00E350A9"/>
    <w:rsid w:val="00E36852"/>
    <w:rsid w:val="00E37A0B"/>
    <w:rsid w:val="00E43EB2"/>
    <w:rsid w:val="00E44275"/>
    <w:rsid w:val="00E44B46"/>
    <w:rsid w:val="00E44E77"/>
    <w:rsid w:val="00E45D12"/>
    <w:rsid w:val="00E50219"/>
    <w:rsid w:val="00E50410"/>
    <w:rsid w:val="00E50C8C"/>
    <w:rsid w:val="00E517D9"/>
    <w:rsid w:val="00E52452"/>
    <w:rsid w:val="00E532F4"/>
    <w:rsid w:val="00E54754"/>
    <w:rsid w:val="00E54F59"/>
    <w:rsid w:val="00E568B3"/>
    <w:rsid w:val="00E5769A"/>
    <w:rsid w:val="00E57D6B"/>
    <w:rsid w:val="00E60460"/>
    <w:rsid w:val="00E61596"/>
    <w:rsid w:val="00E61829"/>
    <w:rsid w:val="00E62179"/>
    <w:rsid w:val="00E629DA"/>
    <w:rsid w:val="00E63067"/>
    <w:rsid w:val="00E63313"/>
    <w:rsid w:val="00E641C6"/>
    <w:rsid w:val="00E6429A"/>
    <w:rsid w:val="00E65C29"/>
    <w:rsid w:val="00E6611A"/>
    <w:rsid w:val="00E6735F"/>
    <w:rsid w:val="00E673DB"/>
    <w:rsid w:val="00E6765E"/>
    <w:rsid w:val="00E71C2A"/>
    <w:rsid w:val="00E7316C"/>
    <w:rsid w:val="00E73685"/>
    <w:rsid w:val="00E73861"/>
    <w:rsid w:val="00E7463E"/>
    <w:rsid w:val="00E74818"/>
    <w:rsid w:val="00E752D4"/>
    <w:rsid w:val="00E75728"/>
    <w:rsid w:val="00E7622D"/>
    <w:rsid w:val="00E768FA"/>
    <w:rsid w:val="00E76F04"/>
    <w:rsid w:val="00E80EF3"/>
    <w:rsid w:val="00E8216A"/>
    <w:rsid w:val="00E82716"/>
    <w:rsid w:val="00E83D48"/>
    <w:rsid w:val="00E844ED"/>
    <w:rsid w:val="00E84936"/>
    <w:rsid w:val="00E84D61"/>
    <w:rsid w:val="00E85394"/>
    <w:rsid w:val="00E85E3B"/>
    <w:rsid w:val="00E86192"/>
    <w:rsid w:val="00E86590"/>
    <w:rsid w:val="00E87BA0"/>
    <w:rsid w:val="00E90E9B"/>
    <w:rsid w:val="00E91A96"/>
    <w:rsid w:val="00E93BC7"/>
    <w:rsid w:val="00E951C2"/>
    <w:rsid w:val="00E9539A"/>
    <w:rsid w:val="00E95F77"/>
    <w:rsid w:val="00E968ED"/>
    <w:rsid w:val="00E9771E"/>
    <w:rsid w:val="00E97781"/>
    <w:rsid w:val="00E97F60"/>
    <w:rsid w:val="00EA00AE"/>
    <w:rsid w:val="00EA05E6"/>
    <w:rsid w:val="00EA0795"/>
    <w:rsid w:val="00EA0EC2"/>
    <w:rsid w:val="00EA1619"/>
    <w:rsid w:val="00EA1655"/>
    <w:rsid w:val="00EA1B8D"/>
    <w:rsid w:val="00EA2EC4"/>
    <w:rsid w:val="00EA41FD"/>
    <w:rsid w:val="00EA460C"/>
    <w:rsid w:val="00EA464F"/>
    <w:rsid w:val="00EA4C46"/>
    <w:rsid w:val="00EA510E"/>
    <w:rsid w:val="00EA6095"/>
    <w:rsid w:val="00EA6E94"/>
    <w:rsid w:val="00EB0B66"/>
    <w:rsid w:val="00EB44BA"/>
    <w:rsid w:val="00EB562A"/>
    <w:rsid w:val="00EB5686"/>
    <w:rsid w:val="00EB5E1D"/>
    <w:rsid w:val="00EB70F3"/>
    <w:rsid w:val="00EC2A4A"/>
    <w:rsid w:val="00EC4941"/>
    <w:rsid w:val="00EC494A"/>
    <w:rsid w:val="00EC4F0C"/>
    <w:rsid w:val="00EC5D73"/>
    <w:rsid w:val="00EC6A11"/>
    <w:rsid w:val="00EC6EDF"/>
    <w:rsid w:val="00EC7047"/>
    <w:rsid w:val="00ED06C5"/>
    <w:rsid w:val="00ED1496"/>
    <w:rsid w:val="00ED17D2"/>
    <w:rsid w:val="00ED1817"/>
    <w:rsid w:val="00ED1C72"/>
    <w:rsid w:val="00ED2E27"/>
    <w:rsid w:val="00ED3555"/>
    <w:rsid w:val="00ED36C8"/>
    <w:rsid w:val="00ED3994"/>
    <w:rsid w:val="00ED4331"/>
    <w:rsid w:val="00ED4DB7"/>
    <w:rsid w:val="00ED56B3"/>
    <w:rsid w:val="00ED5B54"/>
    <w:rsid w:val="00ED6555"/>
    <w:rsid w:val="00ED6BE9"/>
    <w:rsid w:val="00ED72E7"/>
    <w:rsid w:val="00EE0F27"/>
    <w:rsid w:val="00EE1B17"/>
    <w:rsid w:val="00EE1BB4"/>
    <w:rsid w:val="00EE3161"/>
    <w:rsid w:val="00EE3733"/>
    <w:rsid w:val="00EE470C"/>
    <w:rsid w:val="00EE4BAE"/>
    <w:rsid w:val="00EE6A5D"/>
    <w:rsid w:val="00EF008D"/>
    <w:rsid w:val="00EF04BA"/>
    <w:rsid w:val="00EF3292"/>
    <w:rsid w:val="00EF4168"/>
    <w:rsid w:val="00EF48F6"/>
    <w:rsid w:val="00EF5234"/>
    <w:rsid w:val="00EF6330"/>
    <w:rsid w:val="00EF6A94"/>
    <w:rsid w:val="00EF7088"/>
    <w:rsid w:val="00EF7864"/>
    <w:rsid w:val="00EF79F0"/>
    <w:rsid w:val="00F01473"/>
    <w:rsid w:val="00F018DB"/>
    <w:rsid w:val="00F02356"/>
    <w:rsid w:val="00F036C7"/>
    <w:rsid w:val="00F04E30"/>
    <w:rsid w:val="00F04E95"/>
    <w:rsid w:val="00F054C6"/>
    <w:rsid w:val="00F10187"/>
    <w:rsid w:val="00F105DE"/>
    <w:rsid w:val="00F1091A"/>
    <w:rsid w:val="00F1271C"/>
    <w:rsid w:val="00F13BC9"/>
    <w:rsid w:val="00F1420B"/>
    <w:rsid w:val="00F14916"/>
    <w:rsid w:val="00F14D7E"/>
    <w:rsid w:val="00F14F75"/>
    <w:rsid w:val="00F15E02"/>
    <w:rsid w:val="00F175EE"/>
    <w:rsid w:val="00F17EC4"/>
    <w:rsid w:val="00F234A6"/>
    <w:rsid w:val="00F23D6D"/>
    <w:rsid w:val="00F241E3"/>
    <w:rsid w:val="00F24C5E"/>
    <w:rsid w:val="00F25E93"/>
    <w:rsid w:val="00F27FEC"/>
    <w:rsid w:val="00F30180"/>
    <w:rsid w:val="00F308A0"/>
    <w:rsid w:val="00F30E84"/>
    <w:rsid w:val="00F312A8"/>
    <w:rsid w:val="00F318EB"/>
    <w:rsid w:val="00F324B5"/>
    <w:rsid w:val="00F33DD0"/>
    <w:rsid w:val="00F344E0"/>
    <w:rsid w:val="00F34544"/>
    <w:rsid w:val="00F35D44"/>
    <w:rsid w:val="00F363C0"/>
    <w:rsid w:val="00F36C12"/>
    <w:rsid w:val="00F37099"/>
    <w:rsid w:val="00F4159A"/>
    <w:rsid w:val="00F431B6"/>
    <w:rsid w:val="00F4437F"/>
    <w:rsid w:val="00F45814"/>
    <w:rsid w:val="00F465FF"/>
    <w:rsid w:val="00F47607"/>
    <w:rsid w:val="00F47702"/>
    <w:rsid w:val="00F506AB"/>
    <w:rsid w:val="00F50C04"/>
    <w:rsid w:val="00F51204"/>
    <w:rsid w:val="00F52012"/>
    <w:rsid w:val="00F525E5"/>
    <w:rsid w:val="00F53325"/>
    <w:rsid w:val="00F53564"/>
    <w:rsid w:val="00F540F6"/>
    <w:rsid w:val="00F542C9"/>
    <w:rsid w:val="00F54BEF"/>
    <w:rsid w:val="00F55B2A"/>
    <w:rsid w:val="00F56F09"/>
    <w:rsid w:val="00F604CE"/>
    <w:rsid w:val="00F6099F"/>
    <w:rsid w:val="00F61F8B"/>
    <w:rsid w:val="00F630EF"/>
    <w:rsid w:val="00F63FDE"/>
    <w:rsid w:val="00F65C0F"/>
    <w:rsid w:val="00F7028D"/>
    <w:rsid w:val="00F70759"/>
    <w:rsid w:val="00F709AB"/>
    <w:rsid w:val="00F70CE3"/>
    <w:rsid w:val="00F71DD1"/>
    <w:rsid w:val="00F722EF"/>
    <w:rsid w:val="00F72716"/>
    <w:rsid w:val="00F7306E"/>
    <w:rsid w:val="00F74E0A"/>
    <w:rsid w:val="00F7649E"/>
    <w:rsid w:val="00F76691"/>
    <w:rsid w:val="00F80E21"/>
    <w:rsid w:val="00F80E38"/>
    <w:rsid w:val="00F812A3"/>
    <w:rsid w:val="00F814B9"/>
    <w:rsid w:val="00F8289D"/>
    <w:rsid w:val="00F8320B"/>
    <w:rsid w:val="00F8348D"/>
    <w:rsid w:val="00F83E2E"/>
    <w:rsid w:val="00F8489D"/>
    <w:rsid w:val="00F8517F"/>
    <w:rsid w:val="00F85A10"/>
    <w:rsid w:val="00F863C7"/>
    <w:rsid w:val="00F86485"/>
    <w:rsid w:val="00F90151"/>
    <w:rsid w:val="00F914C8"/>
    <w:rsid w:val="00F937DF"/>
    <w:rsid w:val="00F966CF"/>
    <w:rsid w:val="00F97B51"/>
    <w:rsid w:val="00F97EB4"/>
    <w:rsid w:val="00FA0164"/>
    <w:rsid w:val="00FA2688"/>
    <w:rsid w:val="00FA33FA"/>
    <w:rsid w:val="00FA4159"/>
    <w:rsid w:val="00FA43E6"/>
    <w:rsid w:val="00FA45F3"/>
    <w:rsid w:val="00FA5429"/>
    <w:rsid w:val="00FA5A34"/>
    <w:rsid w:val="00FA6039"/>
    <w:rsid w:val="00FA6D9A"/>
    <w:rsid w:val="00FA6EB5"/>
    <w:rsid w:val="00FA727F"/>
    <w:rsid w:val="00FA78C8"/>
    <w:rsid w:val="00FB0FF6"/>
    <w:rsid w:val="00FB1D92"/>
    <w:rsid w:val="00FB245D"/>
    <w:rsid w:val="00FB265D"/>
    <w:rsid w:val="00FB2E78"/>
    <w:rsid w:val="00FB310D"/>
    <w:rsid w:val="00FB383A"/>
    <w:rsid w:val="00FB3C03"/>
    <w:rsid w:val="00FB4450"/>
    <w:rsid w:val="00FB48F7"/>
    <w:rsid w:val="00FB4950"/>
    <w:rsid w:val="00FB528E"/>
    <w:rsid w:val="00FB5A4F"/>
    <w:rsid w:val="00FB6951"/>
    <w:rsid w:val="00FB6F99"/>
    <w:rsid w:val="00FB6FE4"/>
    <w:rsid w:val="00FB7C57"/>
    <w:rsid w:val="00FC0082"/>
    <w:rsid w:val="00FC1727"/>
    <w:rsid w:val="00FC26ED"/>
    <w:rsid w:val="00FC2E43"/>
    <w:rsid w:val="00FC4402"/>
    <w:rsid w:val="00FC4634"/>
    <w:rsid w:val="00FC4DA1"/>
    <w:rsid w:val="00FC50C0"/>
    <w:rsid w:val="00FC5339"/>
    <w:rsid w:val="00FC5B2E"/>
    <w:rsid w:val="00FD06F0"/>
    <w:rsid w:val="00FD0A92"/>
    <w:rsid w:val="00FD0D18"/>
    <w:rsid w:val="00FD1952"/>
    <w:rsid w:val="00FD1F6E"/>
    <w:rsid w:val="00FD378B"/>
    <w:rsid w:val="00FD5E8F"/>
    <w:rsid w:val="00FD71A5"/>
    <w:rsid w:val="00FE0291"/>
    <w:rsid w:val="00FE03EF"/>
    <w:rsid w:val="00FE05E1"/>
    <w:rsid w:val="00FE1932"/>
    <w:rsid w:val="00FE1CD4"/>
    <w:rsid w:val="00FE1F4E"/>
    <w:rsid w:val="00FE2E1F"/>
    <w:rsid w:val="00FE3061"/>
    <w:rsid w:val="00FE3929"/>
    <w:rsid w:val="00FE3F61"/>
    <w:rsid w:val="00FE5663"/>
    <w:rsid w:val="00FF0074"/>
    <w:rsid w:val="00FF1404"/>
    <w:rsid w:val="00FF226A"/>
    <w:rsid w:val="00FF2764"/>
    <w:rsid w:val="00FF3324"/>
    <w:rsid w:val="00FF38AA"/>
    <w:rsid w:val="00FF3ED1"/>
    <w:rsid w:val="00FF46C6"/>
    <w:rsid w:val="00FF4812"/>
    <w:rsid w:val="00FF4E84"/>
    <w:rsid w:val="00FF762D"/>
    <w:rsid w:val="00FF7BF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1B517"/>
  <w15:docId w15:val="{E08B0D77-574C-41C9-B53C-5672B236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81E"/>
    <w:rPr>
      <w:sz w:val="24"/>
    </w:rPr>
  </w:style>
  <w:style w:type="paragraph" w:styleId="Heading1">
    <w:name w:val="heading 1"/>
    <w:basedOn w:val="Normal"/>
    <w:next w:val="Normal"/>
    <w:link w:val="Heading1Char"/>
    <w:uiPriority w:val="9"/>
    <w:qFormat/>
    <w:rsid w:val="006748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6B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22D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0F20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8B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748B0"/>
    <w:rPr>
      <w:color w:val="0563C1" w:themeColor="hyperlink"/>
      <w:u w:val="single"/>
    </w:rPr>
  </w:style>
  <w:style w:type="paragraph" w:styleId="Caption">
    <w:name w:val="caption"/>
    <w:basedOn w:val="Normal"/>
    <w:next w:val="Normal"/>
    <w:uiPriority w:val="35"/>
    <w:unhideWhenUsed/>
    <w:qFormat/>
    <w:rsid w:val="006748B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748B0"/>
    <w:rPr>
      <w:sz w:val="16"/>
      <w:szCs w:val="16"/>
    </w:rPr>
  </w:style>
  <w:style w:type="paragraph" w:styleId="CommentText">
    <w:name w:val="annotation text"/>
    <w:basedOn w:val="Normal"/>
    <w:link w:val="CommentTextChar"/>
    <w:uiPriority w:val="99"/>
    <w:unhideWhenUsed/>
    <w:rsid w:val="006748B0"/>
    <w:pPr>
      <w:spacing w:after="0" w:line="240" w:lineRule="auto"/>
      <w:ind w:left="446" w:hanging="360"/>
    </w:pPr>
    <w:rPr>
      <w:sz w:val="20"/>
      <w:szCs w:val="20"/>
    </w:rPr>
  </w:style>
  <w:style w:type="character" w:customStyle="1" w:styleId="CommentTextChar">
    <w:name w:val="Comment Text Char"/>
    <w:basedOn w:val="DefaultParagraphFont"/>
    <w:link w:val="CommentText"/>
    <w:uiPriority w:val="99"/>
    <w:rsid w:val="006748B0"/>
    <w:rPr>
      <w:sz w:val="20"/>
      <w:szCs w:val="20"/>
    </w:rPr>
  </w:style>
  <w:style w:type="paragraph" w:styleId="BalloonText">
    <w:name w:val="Balloon Text"/>
    <w:basedOn w:val="Normal"/>
    <w:link w:val="BalloonTextChar"/>
    <w:uiPriority w:val="99"/>
    <w:semiHidden/>
    <w:unhideWhenUsed/>
    <w:rsid w:val="00606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2B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062BA"/>
    <w:pPr>
      <w:spacing w:after="160"/>
      <w:ind w:left="0" w:firstLine="0"/>
    </w:pPr>
    <w:rPr>
      <w:b/>
      <w:bCs/>
    </w:rPr>
  </w:style>
  <w:style w:type="character" w:customStyle="1" w:styleId="CommentSubjectChar">
    <w:name w:val="Comment Subject Char"/>
    <w:basedOn w:val="CommentTextChar"/>
    <w:link w:val="CommentSubject"/>
    <w:uiPriority w:val="99"/>
    <w:semiHidden/>
    <w:rsid w:val="006062BA"/>
    <w:rPr>
      <w:b/>
      <w:bCs/>
      <w:sz w:val="20"/>
      <w:szCs w:val="20"/>
    </w:rPr>
  </w:style>
  <w:style w:type="paragraph" w:customStyle="1" w:styleId="a">
    <w:name w:val="a"/>
    <w:basedOn w:val="Normal"/>
    <w:rsid w:val="006062BA"/>
    <w:pPr>
      <w:spacing w:before="100" w:beforeAutospacing="1" w:after="100" w:afterAutospacing="1" w:line="240" w:lineRule="auto"/>
    </w:pPr>
    <w:rPr>
      <w:rFonts w:ascii="Times New Roman" w:eastAsia="Times New Roman" w:hAnsi="Times New Roman" w:cs="Times New Roman"/>
      <w:szCs w:val="24"/>
      <w:lang w:eastAsia="en-NZ"/>
    </w:rPr>
  </w:style>
  <w:style w:type="paragraph" w:customStyle="1" w:styleId="interjection">
    <w:name w:val="interjection"/>
    <w:basedOn w:val="Normal"/>
    <w:rsid w:val="006062BA"/>
    <w:pPr>
      <w:spacing w:before="100" w:beforeAutospacing="1" w:after="100" w:afterAutospacing="1" w:line="240" w:lineRule="auto"/>
    </w:pPr>
    <w:rPr>
      <w:rFonts w:ascii="Times New Roman" w:eastAsia="Times New Roman" w:hAnsi="Times New Roman" w:cs="Times New Roman"/>
      <w:szCs w:val="24"/>
      <w:lang w:eastAsia="en-NZ"/>
    </w:rPr>
  </w:style>
  <w:style w:type="character" w:styleId="Strong">
    <w:name w:val="Strong"/>
    <w:basedOn w:val="DefaultParagraphFont"/>
    <w:uiPriority w:val="22"/>
    <w:qFormat/>
    <w:rsid w:val="006062BA"/>
    <w:rPr>
      <w:b/>
      <w:bCs/>
    </w:rPr>
  </w:style>
  <w:style w:type="paragraph" w:customStyle="1" w:styleId="continuespeech">
    <w:name w:val="continuespeech"/>
    <w:basedOn w:val="Normal"/>
    <w:rsid w:val="006062BA"/>
    <w:pPr>
      <w:spacing w:before="100" w:beforeAutospacing="1" w:after="100" w:afterAutospacing="1" w:line="240" w:lineRule="auto"/>
    </w:pPr>
    <w:rPr>
      <w:rFonts w:ascii="Times New Roman" w:eastAsia="Times New Roman" w:hAnsi="Times New Roman" w:cs="Times New Roman"/>
      <w:szCs w:val="24"/>
      <w:lang w:eastAsia="en-NZ"/>
    </w:rPr>
  </w:style>
  <w:style w:type="paragraph" w:styleId="NormalWeb">
    <w:name w:val="Normal (Web)"/>
    <w:basedOn w:val="Normal"/>
    <w:uiPriority w:val="99"/>
    <w:unhideWhenUsed/>
    <w:rsid w:val="00EF6330"/>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Heading2Char">
    <w:name w:val="Heading 2 Char"/>
    <w:basedOn w:val="DefaultParagraphFont"/>
    <w:link w:val="Heading2"/>
    <w:uiPriority w:val="9"/>
    <w:rsid w:val="00216BC2"/>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D23A45"/>
    <w:pPr>
      <w:spacing w:after="0" w:line="240" w:lineRule="auto"/>
    </w:pPr>
    <w:rPr>
      <w:sz w:val="20"/>
      <w:szCs w:val="20"/>
    </w:rPr>
  </w:style>
  <w:style w:type="character" w:customStyle="1" w:styleId="FootnoteTextChar">
    <w:name w:val="Footnote Text Char"/>
    <w:basedOn w:val="DefaultParagraphFont"/>
    <w:link w:val="FootnoteText"/>
    <w:uiPriority w:val="99"/>
    <w:rsid w:val="00D23A45"/>
    <w:rPr>
      <w:sz w:val="20"/>
      <w:szCs w:val="20"/>
    </w:rPr>
  </w:style>
  <w:style w:type="character" w:styleId="FootnoteReference">
    <w:name w:val="footnote reference"/>
    <w:basedOn w:val="DefaultParagraphFont"/>
    <w:uiPriority w:val="99"/>
    <w:semiHidden/>
    <w:unhideWhenUsed/>
    <w:rsid w:val="00D23A45"/>
    <w:rPr>
      <w:vertAlign w:val="superscript"/>
    </w:rPr>
  </w:style>
  <w:style w:type="character" w:customStyle="1" w:styleId="UnresolvedMention1">
    <w:name w:val="Unresolved Mention1"/>
    <w:basedOn w:val="DefaultParagraphFont"/>
    <w:uiPriority w:val="99"/>
    <w:semiHidden/>
    <w:unhideWhenUsed/>
    <w:rsid w:val="00D23A45"/>
    <w:rPr>
      <w:color w:val="605E5C"/>
      <w:shd w:val="clear" w:color="auto" w:fill="E1DFDD"/>
    </w:rPr>
  </w:style>
  <w:style w:type="paragraph" w:styleId="NoSpacing">
    <w:name w:val="No Spacing"/>
    <w:uiPriority w:val="1"/>
    <w:qFormat/>
    <w:rsid w:val="00542A8F"/>
    <w:pPr>
      <w:spacing w:after="0" w:line="240" w:lineRule="auto"/>
    </w:pPr>
  </w:style>
  <w:style w:type="paragraph" w:styleId="Title">
    <w:name w:val="Title"/>
    <w:basedOn w:val="Normal"/>
    <w:next w:val="Normal"/>
    <w:link w:val="TitleChar"/>
    <w:uiPriority w:val="10"/>
    <w:qFormat/>
    <w:rsid w:val="00542A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8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A22D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ED1C72"/>
    <w:pPr>
      <w:spacing w:after="0" w:line="240" w:lineRule="auto"/>
      <w:ind w:left="720" w:hanging="360"/>
      <w:contextualSpacing/>
    </w:pPr>
  </w:style>
  <w:style w:type="paragraph" w:styleId="Header">
    <w:name w:val="header"/>
    <w:basedOn w:val="Normal"/>
    <w:link w:val="HeaderChar"/>
    <w:uiPriority w:val="99"/>
    <w:unhideWhenUsed/>
    <w:rsid w:val="00AE3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E7B"/>
  </w:style>
  <w:style w:type="paragraph" w:styleId="Footer">
    <w:name w:val="footer"/>
    <w:basedOn w:val="Normal"/>
    <w:link w:val="FooterChar"/>
    <w:uiPriority w:val="99"/>
    <w:unhideWhenUsed/>
    <w:rsid w:val="00AE3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E7B"/>
  </w:style>
  <w:style w:type="table" w:styleId="TableGrid">
    <w:name w:val="Table Grid"/>
    <w:basedOn w:val="TableNormal"/>
    <w:uiPriority w:val="39"/>
    <w:rsid w:val="00B428C8"/>
    <w:pPr>
      <w:spacing w:after="0" w:line="240" w:lineRule="auto"/>
      <w:ind w:left="446"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E11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0E11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63C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1">
    <w:name w:val="Unresolved Mention11"/>
    <w:basedOn w:val="DefaultParagraphFont"/>
    <w:uiPriority w:val="99"/>
    <w:semiHidden/>
    <w:unhideWhenUsed/>
    <w:rsid w:val="003F73B1"/>
    <w:rPr>
      <w:color w:val="605E5C"/>
      <w:shd w:val="clear" w:color="auto" w:fill="E1DFDD"/>
    </w:rPr>
  </w:style>
  <w:style w:type="paragraph" w:customStyle="1" w:styleId="Pa3">
    <w:name w:val="Pa3"/>
    <w:basedOn w:val="Normal"/>
    <w:next w:val="Normal"/>
    <w:uiPriority w:val="99"/>
    <w:rsid w:val="003F73B1"/>
    <w:pPr>
      <w:autoSpaceDE w:val="0"/>
      <w:autoSpaceDN w:val="0"/>
      <w:adjustRightInd w:val="0"/>
      <w:spacing w:after="0" w:line="201" w:lineRule="atLeast"/>
    </w:pPr>
    <w:rPr>
      <w:rFonts w:ascii="Museo Sans 700" w:hAnsi="Museo Sans 700"/>
      <w:szCs w:val="24"/>
    </w:rPr>
  </w:style>
  <w:style w:type="character" w:styleId="FollowedHyperlink">
    <w:name w:val="FollowedHyperlink"/>
    <w:basedOn w:val="DefaultParagraphFont"/>
    <w:uiPriority w:val="99"/>
    <w:semiHidden/>
    <w:unhideWhenUsed/>
    <w:rsid w:val="003F73B1"/>
    <w:rPr>
      <w:color w:val="954F72" w:themeColor="followedHyperlink"/>
      <w:u w:val="single"/>
    </w:rPr>
  </w:style>
  <w:style w:type="paragraph" w:styleId="TOCHeading">
    <w:name w:val="TOC Heading"/>
    <w:basedOn w:val="Heading1"/>
    <w:next w:val="Normal"/>
    <w:uiPriority w:val="39"/>
    <w:unhideWhenUsed/>
    <w:qFormat/>
    <w:rsid w:val="003F73B1"/>
    <w:pPr>
      <w:outlineLvl w:val="9"/>
    </w:pPr>
    <w:rPr>
      <w:lang w:val="en-US"/>
    </w:rPr>
  </w:style>
  <w:style w:type="paragraph" w:styleId="TOC1">
    <w:name w:val="toc 1"/>
    <w:basedOn w:val="Normal"/>
    <w:next w:val="Normal"/>
    <w:autoRedefine/>
    <w:uiPriority w:val="39"/>
    <w:unhideWhenUsed/>
    <w:rsid w:val="003F73B1"/>
    <w:pPr>
      <w:spacing w:after="100" w:line="240" w:lineRule="auto"/>
      <w:ind w:hanging="360"/>
    </w:pPr>
  </w:style>
  <w:style w:type="paragraph" w:customStyle="1" w:styleId="Default">
    <w:name w:val="Default"/>
    <w:rsid w:val="003F73B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3F73B1"/>
    <w:pPr>
      <w:spacing w:after="0" w:line="240" w:lineRule="auto"/>
    </w:pPr>
  </w:style>
  <w:style w:type="character" w:customStyle="1" w:styleId="A14">
    <w:name w:val="A14"/>
    <w:uiPriority w:val="99"/>
    <w:rsid w:val="003F73B1"/>
    <w:rPr>
      <w:rFonts w:cs="Museo Sans 300"/>
      <w:color w:val="000000"/>
      <w:sz w:val="11"/>
      <w:szCs w:val="11"/>
    </w:rPr>
  </w:style>
  <w:style w:type="paragraph" w:customStyle="1" w:styleId="Pa85">
    <w:name w:val="Pa85"/>
    <w:basedOn w:val="Default"/>
    <w:next w:val="Default"/>
    <w:uiPriority w:val="99"/>
    <w:rsid w:val="003F73B1"/>
    <w:pPr>
      <w:spacing w:line="201" w:lineRule="atLeast"/>
    </w:pPr>
    <w:rPr>
      <w:rFonts w:ascii="Raleway" w:hAnsi="Raleway" w:cstheme="minorBidi"/>
      <w:color w:val="auto"/>
    </w:rPr>
  </w:style>
  <w:style w:type="paragraph" w:customStyle="1" w:styleId="Pa34">
    <w:name w:val="Pa34"/>
    <w:basedOn w:val="Default"/>
    <w:next w:val="Default"/>
    <w:uiPriority w:val="99"/>
    <w:rsid w:val="003F73B1"/>
    <w:pPr>
      <w:spacing w:line="201" w:lineRule="atLeast"/>
    </w:pPr>
    <w:rPr>
      <w:rFonts w:ascii="Raleway" w:hAnsi="Raleway" w:cstheme="minorBidi"/>
      <w:color w:val="auto"/>
    </w:rPr>
  </w:style>
  <w:style w:type="paragraph" w:styleId="z-TopofForm">
    <w:name w:val="HTML Top of Form"/>
    <w:basedOn w:val="Normal"/>
    <w:next w:val="Normal"/>
    <w:link w:val="z-TopofFormChar"/>
    <w:hidden/>
    <w:uiPriority w:val="99"/>
    <w:semiHidden/>
    <w:unhideWhenUsed/>
    <w:rsid w:val="003F73B1"/>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3F73B1"/>
    <w:rPr>
      <w:rFonts w:ascii="Arial" w:eastAsia="Times New Roman"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3F73B1"/>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3F73B1"/>
    <w:rPr>
      <w:rFonts w:ascii="Arial" w:eastAsia="Times New Roman" w:hAnsi="Arial" w:cs="Arial"/>
      <w:vanish/>
      <w:sz w:val="16"/>
      <w:szCs w:val="16"/>
      <w:lang w:eastAsia="en-NZ"/>
    </w:rPr>
  </w:style>
  <w:style w:type="paragraph" w:customStyle="1" w:styleId="b-qt">
    <w:name w:val="b-qt"/>
    <w:basedOn w:val="Normal"/>
    <w:rsid w:val="003F73B1"/>
    <w:pPr>
      <w:spacing w:before="100" w:beforeAutospacing="1" w:after="100" w:afterAutospacing="1" w:line="240" w:lineRule="auto"/>
    </w:pPr>
    <w:rPr>
      <w:rFonts w:ascii="Times New Roman" w:eastAsia="Times New Roman" w:hAnsi="Times New Roman" w:cs="Times New Roman"/>
      <w:szCs w:val="24"/>
      <w:lang w:eastAsia="en-NZ"/>
    </w:rPr>
  </w:style>
  <w:style w:type="paragraph" w:customStyle="1" w:styleId="bqfqa">
    <w:name w:val="bq_fq_a"/>
    <w:basedOn w:val="Normal"/>
    <w:rsid w:val="003F73B1"/>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UnresolvedMention2">
    <w:name w:val="Unresolved Mention2"/>
    <w:basedOn w:val="DefaultParagraphFont"/>
    <w:uiPriority w:val="99"/>
    <w:semiHidden/>
    <w:unhideWhenUsed/>
    <w:rsid w:val="003F73B1"/>
    <w:rPr>
      <w:color w:val="605E5C"/>
      <w:shd w:val="clear" w:color="auto" w:fill="E1DFDD"/>
    </w:rPr>
  </w:style>
  <w:style w:type="paragraph" w:customStyle="1" w:styleId="Pa80">
    <w:name w:val="Pa80"/>
    <w:basedOn w:val="Default"/>
    <w:next w:val="Default"/>
    <w:uiPriority w:val="99"/>
    <w:rsid w:val="00910102"/>
    <w:pPr>
      <w:spacing w:line="201" w:lineRule="atLeast"/>
    </w:pPr>
    <w:rPr>
      <w:rFonts w:ascii="Museo Sans 700" w:hAnsi="Museo Sans 700" w:cstheme="minorBidi"/>
      <w:color w:val="auto"/>
    </w:rPr>
  </w:style>
  <w:style w:type="paragraph" w:customStyle="1" w:styleId="Pa9">
    <w:name w:val="Pa9"/>
    <w:basedOn w:val="Normal"/>
    <w:next w:val="Normal"/>
    <w:uiPriority w:val="99"/>
    <w:rsid w:val="00DA47A9"/>
    <w:pPr>
      <w:autoSpaceDE w:val="0"/>
      <w:autoSpaceDN w:val="0"/>
      <w:adjustRightInd w:val="0"/>
      <w:spacing w:after="0" w:line="201" w:lineRule="atLeast"/>
    </w:pPr>
    <w:rPr>
      <w:rFonts w:ascii="Museo Sans 700" w:hAnsi="Museo Sans 700"/>
      <w:szCs w:val="24"/>
    </w:rPr>
  </w:style>
  <w:style w:type="character" w:customStyle="1" w:styleId="UnresolvedMention3">
    <w:name w:val="Unresolved Mention3"/>
    <w:basedOn w:val="DefaultParagraphFont"/>
    <w:uiPriority w:val="99"/>
    <w:semiHidden/>
    <w:unhideWhenUsed/>
    <w:rsid w:val="00BC1D38"/>
    <w:rPr>
      <w:color w:val="605E5C"/>
      <w:shd w:val="clear" w:color="auto" w:fill="E1DFDD"/>
    </w:rPr>
  </w:style>
  <w:style w:type="character" w:customStyle="1" w:styleId="Heading4Char">
    <w:name w:val="Heading 4 Char"/>
    <w:basedOn w:val="DefaultParagraphFont"/>
    <w:link w:val="Heading4"/>
    <w:uiPriority w:val="9"/>
    <w:rsid w:val="000F200D"/>
    <w:rPr>
      <w:rFonts w:asciiTheme="majorHAnsi" w:eastAsiaTheme="majorEastAsia" w:hAnsiTheme="majorHAnsi" w:cstheme="majorBidi"/>
      <w:i/>
      <w:iCs/>
      <w:color w:val="2F5496" w:themeColor="accent1" w:themeShade="BF"/>
    </w:rPr>
  </w:style>
  <w:style w:type="paragraph" w:customStyle="1" w:styleId="Pa24">
    <w:name w:val="Pa24"/>
    <w:basedOn w:val="Default"/>
    <w:next w:val="Default"/>
    <w:uiPriority w:val="99"/>
    <w:rsid w:val="00EA4C46"/>
    <w:pPr>
      <w:spacing w:line="321" w:lineRule="atLeast"/>
    </w:pPr>
    <w:rPr>
      <w:rFonts w:ascii="Museo Sans 500" w:hAnsi="Museo Sans 500" w:cstheme="minorBidi"/>
      <w:color w:val="auto"/>
    </w:rPr>
  </w:style>
  <w:style w:type="paragraph" w:customStyle="1" w:styleId="Pa0">
    <w:name w:val="Pa0"/>
    <w:basedOn w:val="Default"/>
    <w:next w:val="Default"/>
    <w:uiPriority w:val="99"/>
    <w:rsid w:val="00EA4C46"/>
    <w:pPr>
      <w:spacing w:line="201" w:lineRule="atLeast"/>
    </w:pPr>
    <w:rPr>
      <w:rFonts w:ascii="Museo Sans 500" w:hAnsi="Museo Sans 500" w:cstheme="minorBidi"/>
      <w:color w:val="auto"/>
    </w:rPr>
  </w:style>
  <w:style w:type="character" w:customStyle="1" w:styleId="UnresolvedMention4">
    <w:name w:val="Unresolved Mention4"/>
    <w:basedOn w:val="DefaultParagraphFont"/>
    <w:uiPriority w:val="99"/>
    <w:semiHidden/>
    <w:unhideWhenUsed/>
    <w:rsid w:val="005566D4"/>
    <w:rPr>
      <w:color w:val="605E5C"/>
      <w:shd w:val="clear" w:color="auto" w:fill="E1DFDD"/>
    </w:rPr>
  </w:style>
  <w:style w:type="character" w:customStyle="1" w:styleId="UnresolvedMention5">
    <w:name w:val="Unresolved Mention5"/>
    <w:basedOn w:val="DefaultParagraphFont"/>
    <w:uiPriority w:val="99"/>
    <w:semiHidden/>
    <w:unhideWhenUsed/>
    <w:rsid w:val="00D86326"/>
    <w:rPr>
      <w:color w:val="605E5C"/>
      <w:shd w:val="clear" w:color="auto" w:fill="E1DFDD"/>
    </w:rPr>
  </w:style>
  <w:style w:type="character" w:customStyle="1" w:styleId="UnresolvedMention6">
    <w:name w:val="Unresolved Mention6"/>
    <w:basedOn w:val="DefaultParagraphFont"/>
    <w:uiPriority w:val="99"/>
    <w:semiHidden/>
    <w:unhideWhenUsed/>
    <w:rsid w:val="00946B84"/>
    <w:rPr>
      <w:color w:val="605E5C"/>
      <w:shd w:val="clear" w:color="auto" w:fill="E1DFDD"/>
    </w:rPr>
  </w:style>
  <w:style w:type="character" w:customStyle="1" w:styleId="UnresolvedMention7">
    <w:name w:val="Unresolved Mention7"/>
    <w:basedOn w:val="DefaultParagraphFont"/>
    <w:uiPriority w:val="99"/>
    <w:semiHidden/>
    <w:unhideWhenUsed/>
    <w:rsid w:val="0061251D"/>
    <w:rPr>
      <w:color w:val="605E5C"/>
      <w:shd w:val="clear" w:color="auto" w:fill="E1DFDD"/>
    </w:rPr>
  </w:style>
  <w:style w:type="paragraph" w:styleId="TOC2">
    <w:name w:val="toc 2"/>
    <w:basedOn w:val="Normal"/>
    <w:next w:val="Normal"/>
    <w:autoRedefine/>
    <w:uiPriority w:val="39"/>
    <w:unhideWhenUsed/>
    <w:rsid w:val="00476C07"/>
    <w:pPr>
      <w:spacing w:after="100"/>
      <w:ind w:left="240"/>
    </w:pPr>
  </w:style>
  <w:style w:type="paragraph" w:styleId="TOC3">
    <w:name w:val="toc 3"/>
    <w:basedOn w:val="Normal"/>
    <w:next w:val="Normal"/>
    <w:autoRedefine/>
    <w:uiPriority w:val="39"/>
    <w:unhideWhenUsed/>
    <w:rsid w:val="00476C07"/>
    <w:pPr>
      <w:spacing w:after="100"/>
      <w:ind w:left="480"/>
    </w:pPr>
  </w:style>
  <w:style w:type="character" w:customStyle="1" w:styleId="UnresolvedMention8">
    <w:name w:val="Unresolved Mention8"/>
    <w:basedOn w:val="DefaultParagraphFont"/>
    <w:uiPriority w:val="99"/>
    <w:semiHidden/>
    <w:unhideWhenUsed/>
    <w:rsid w:val="00C47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5033">
      <w:bodyDiv w:val="1"/>
      <w:marLeft w:val="0"/>
      <w:marRight w:val="0"/>
      <w:marTop w:val="0"/>
      <w:marBottom w:val="0"/>
      <w:divBdr>
        <w:top w:val="none" w:sz="0" w:space="0" w:color="auto"/>
        <w:left w:val="none" w:sz="0" w:space="0" w:color="auto"/>
        <w:bottom w:val="none" w:sz="0" w:space="0" w:color="auto"/>
        <w:right w:val="none" w:sz="0" w:space="0" w:color="auto"/>
      </w:divBdr>
    </w:div>
    <w:div w:id="208804910">
      <w:bodyDiv w:val="1"/>
      <w:marLeft w:val="0"/>
      <w:marRight w:val="0"/>
      <w:marTop w:val="0"/>
      <w:marBottom w:val="0"/>
      <w:divBdr>
        <w:top w:val="none" w:sz="0" w:space="0" w:color="auto"/>
        <w:left w:val="none" w:sz="0" w:space="0" w:color="auto"/>
        <w:bottom w:val="none" w:sz="0" w:space="0" w:color="auto"/>
        <w:right w:val="none" w:sz="0" w:space="0" w:color="auto"/>
      </w:divBdr>
      <w:divsChild>
        <w:div w:id="1788616586">
          <w:marLeft w:val="0"/>
          <w:marRight w:val="0"/>
          <w:marTop w:val="0"/>
          <w:marBottom w:val="0"/>
          <w:divBdr>
            <w:top w:val="none" w:sz="0" w:space="0" w:color="auto"/>
            <w:left w:val="none" w:sz="0" w:space="0" w:color="auto"/>
            <w:bottom w:val="none" w:sz="0" w:space="0" w:color="auto"/>
            <w:right w:val="none" w:sz="0" w:space="0" w:color="auto"/>
          </w:divBdr>
        </w:div>
      </w:divsChild>
    </w:div>
    <w:div w:id="378240915">
      <w:bodyDiv w:val="1"/>
      <w:marLeft w:val="0"/>
      <w:marRight w:val="0"/>
      <w:marTop w:val="0"/>
      <w:marBottom w:val="0"/>
      <w:divBdr>
        <w:top w:val="none" w:sz="0" w:space="0" w:color="auto"/>
        <w:left w:val="none" w:sz="0" w:space="0" w:color="auto"/>
        <w:bottom w:val="none" w:sz="0" w:space="0" w:color="auto"/>
        <w:right w:val="none" w:sz="0" w:space="0" w:color="auto"/>
      </w:divBdr>
    </w:div>
    <w:div w:id="404455364">
      <w:bodyDiv w:val="1"/>
      <w:marLeft w:val="0"/>
      <w:marRight w:val="0"/>
      <w:marTop w:val="0"/>
      <w:marBottom w:val="0"/>
      <w:divBdr>
        <w:top w:val="none" w:sz="0" w:space="0" w:color="auto"/>
        <w:left w:val="none" w:sz="0" w:space="0" w:color="auto"/>
        <w:bottom w:val="none" w:sz="0" w:space="0" w:color="auto"/>
        <w:right w:val="none" w:sz="0" w:space="0" w:color="auto"/>
      </w:divBdr>
    </w:div>
    <w:div w:id="425343208">
      <w:bodyDiv w:val="1"/>
      <w:marLeft w:val="0"/>
      <w:marRight w:val="0"/>
      <w:marTop w:val="0"/>
      <w:marBottom w:val="0"/>
      <w:divBdr>
        <w:top w:val="none" w:sz="0" w:space="0" w:color="auto"/>
        <w:left w:val="none" w:sz="0" w:space="0" w:color="auto"/>
        <w:bottom w:val="none" w:sz="0" w:space="0" w:color="auto"/>
        <w:right w:val="none" w:sz="0" w:space="0" w:color="auto"/>
      </w:divBdr>
    </w:div>
    <w:div w:id="478303875">
      <w:bodyDiv w:val="1"/>
      <w:marLeft w:val="0"/>
      <w:marRight w:val="0"/>
      <w:marTop w:val="0"/>
      <w:marBottom w:val="0"/>
      <w:divBdr>
        <w:top w:val="none" w:sz="0" w:space="0" w:color="auto"/>
        <w:left w:val="none" w:sz="0" w:space="0" w:color="auto"/>
        <w:bottom w:val="none" w:sz="0" w:space="0" w:color="auto"/>
        <w:right w:val="none" w:sz="0" w:space="0" w:color="auto"/>
      </w:divBdr>
    </w:div>
    <w:div w:id="560529533">
      <w:bodyDiv w:val="1"/>
      <w:marLeft w:val="0"/>
      <w:marRight w:val="0"/>
      <w:marTop w:val="0"/>
      <w:marBottom w:val="0"/>
      <w:divBdr>
        <w:top w:val="none" w:sz="0" w:space="0" w:color="auto"/>
        <w:left w:val="none" w:sz="0" w:space="0" w:color="auto"/>
        <w:bottom w:val="none" w:sz="0" w:space="0" w:color="auto"/>
        <w:right w:val="none" w:sz="0" w:space="0" w:color="auto"/>
      </w:divBdr>
    </w:div>
    <w:div w:id="607977771">
      <w:bodyDiv w:val="1"/>
      <w:marLeft w:val="0"/>
      <w:marRight w:val="0"/>
      <w:marTop w:val="0"/>
      <w:marBottom w:val="0"/>
      <w:divBdr>
        <w:top w:val="none" w:sz="0" w:space="0" w:color="auto"/>
        <w:left w:val="none" w:sz="0" w:space="0" w:color="auto"/>
        <w:bottom w:val="none" w:sz="0" w:space="0" w:color="auto"/>
        <w:right w:val="none" w:sz="0" w:space="0" w:color="auto"/>
      </w:divBdr>
    </w:div>
    <w:div w:id="609706033">
      <w:bodyDiv w:val="1"/>
      <w:marLeft w:val="0"/>
      <w:marRight w:val="0"/>
      <w:marTop w:val="0"/>
      <w:marBottom w:val="0"/>
      <w:divBdr>
        <w:top w:val="none" w:sz="0" w:space="0" w:color="auto"/>
        <w:left w:val="none" w:sz="0" w:space="0" w:color="auto"/>
        <w:bottom w:val="none" w:sz="0" w:space="0" w:color="auto"/>
        <w:right w:val="none" w:sz="0" w:space="0" w:color="auto"/>
      </w:divBdr>
    </w:div>
    <w:div w:id="620192483">
      <w:bodyDiv w:val="1"/>
      <w:marLeft w:val="0"/>
      <w:marRight w:val="0"/>
      <w:marTop w:val="0"/>
      <w:marBottom w:val="0"/>
      <w:divBdr>
        <w:top w:val="none" w:sz="0" w:space="0" w:color="auto"/>
        <w:left w:val="none" w:sz="0" w:space="0" w:color="auto"/>
        <w:bottom w:val="none" w:sz="0" w:space="0" w:color="auto"/>
        <w:right w:val="none" w:sz="0" w:space="0" w:color="auto"/>
      </w:divBdr>
    </w:div>
    <w:div w:id="784544619">
      <w:bodyDiv w:val="1"/>
      <w:marLeft w:val="0"/>
      <w:marRight w:val="0"/>
      <w:marTop w:val="0"/>
      <w:marBottom w:val="0"/>
      <w:divBdr>
        <w:top w:val="none" w:sz="0" w:space="0" w:color="auto"/>
        <w:left w:val="none" w:sz="0" w:space="0" w:color="auto"/>
        <w:bottom w:val="none" w:sz="0" w:space="0" w:color="auto"/>
        <w:right w:val="none" w:sz="0" w:space="0" w:color="auto"/>
      </w:divBdr>
    </w:div>
    <w:div w:id="1151361570">
      <w:bodyDiv w:val="1"/>
      <w:marLeft w:val="0"/>
      <w:marRight w:val="0"/>
      <w:marTop w:val="0"/>
      <w:marBottom w:val="0"/>
      <w:divBdr>
        <w:top w:val="none" w:sz="0" w:space="0" w:color="auto"/>
        <w:left w:val="none" w:sz="0" w:space="0" w:color="auto"/>
        <w:bottom w:val="none" w:sz="0" w:space="0" w:color="auto"/>
        <w:right w:val="none" w:sz="0" w:space="0" w:color="auto"/>
      </w:divBdr>
    </w:div>
    <w:div w:id="1175340795">
      <w:bodyDiv w:val="1"/>
      <w:marLeft w:val="0"/>
      <w:marRight w:val="0"/>
      <w:marTop w:val="0"/>
      <w:marBottom w:val="0"/>
      <w:divBdr>
        <w:top w:val="none" w:sz="0" w:space="0" w:color="auto"/>
        <w:left w:val="none" w:sz="0" w:space="0" w:color="auto"/>
        <w:bottom w:val="none" w:sz="0" w:space="0" w:color="auto"/>
        <w:right w:val="none" w:sz="0" w:space="0" w:color="auto"/>
      </w:divBdr>
    </w:div>
    <w:div w:id="1246190398">
      <w:bodyDiv w:val="1"/>
      <w:marLeft w:val="0"/>
      <w:marRight w:val="0"/>
      <w:marTop w:val="0"/>
      <w:marBottom w:val="0"/>
      <w:divBdr>
        <w:top w:val="none" w:sz="0" w:space="0" w:color="auto"/>
        <w:left w:val="none" w:sz="0" w:space="0" w:color="auto"/>
        <w:bottom w:val="none" w:sz="0" w:space="0" w:color="auto"/>
        <w:right w:val="none" w:sz="0" w:space="0" w:color="auto"/>
      </w:divBdr>
    </w:div>
    <w:div w:id="1503623120">
      <w:bodyDiv w:val="1"/>
      <w:marLeft w:val="0"/>
      <w:marRight w:val="0"/>
      <w:marTop w:val="0"/>
      <w:marBottom w:val="0"/>
      <w:divBdr>
        <w:top w:val="none" w:sz="0" w:space="0" w:color="auto"/>
        <w:left w:val="none" w:sz="0" w:space="0" w:color="auto"/>
        <w:bottom w:val="none" w:sz="0" w:space="0" w:color="auto"/>
        <w:right w:val="none" w:sz="0" w:space="0" w:color="auto"/>
      </w:divBdr>
    </w:div>
    <w:div w:id="1633056506">
      <w:bodyDiv w:val="1"/>
      <w:marLeft w:val="0"/>
      <w:marRight w:val="0"/>
      <w:marTop w:val="0"/>
      <w:marBottom w:val="0"/>
      <w:divBdr>
        <w:top w:val="none" w:sz="0" w:space="0" w:color="auto"/>
        <w:left w:val="none" w:sz="0" w:space="0" w:color="auto"/>
        <w:bottom w:val="none" w:sz="0" w:space="0" w:color="auto"/>
        <w:right w:val="none" w:sz="0" w:space="0" w:color="auto"/>
      </w:divBdr>
    </w:div>
    <w:div w:id="1643577399">
      <w:bodyDiv w:val="1"/>
      <w:marLeft w:val="0"/>
      <w:marRight w:val="0"/>
      <w:marTop w:val="0"/>
      <w:marBottom w:val="0"/>
      <w:divBdr>
        <w:top w:val="none" w:sz="0" w:space="0" w:color="auto"/>
        <w:left w:val="none" w:sz="0" w:space="0" w:color="auto"/>
        <w:bottom w:val="none" w:sz="0" w:space="0" w:color="auto"/>
        <w:right w:val="none" w:sz="0" w:space="0" w:color="auto"/>
      </w:divBdr>
    </w:div>
    <w:div w:id="1739933490">
      <w:bodyDiv w:val="1"/>
      <w:marLeft w:val="0"/>
      <w:marRight w:val="0"/>
      <w:marTop w:val="0"/>
      <w:marBottom w:val="0"/>
      <w:divBdr>
        <w:top w:val="none" w:sz="0" w:space="0" w:color="auto"/>
        <w:left w:val="none" w:sz="0" w:space="0" w:color="auto"/>
        <w:bottom w:val="none" w:sz="0" w:space="0" w:color="auto"/>
        <w:right w:val="none" w:sz="0" w:space="0" w:color="auto"/>
      </w:divBdr>
    </w:div>
    <w:div w:id="1917939728">
      <w:bodyDiv w:val="1"/>
      <w:marLeft w:val="0"/>
      <w:marRight w:val="0"/>
      <w:marTop w:val="0"/>
      <w:marBottom w:val="0"/>
      <w:divBdr>
        <w:top w:val="none" w:sz="0" w:space="0" w:color="auto"/>
        <w:left w:val="none" w:sz="0" w:space="0" w:color="auto"/>
        <w:bottom w:val="none" w:sz="0" w:space="0" w:color="auto"/>
        <w:right w:val="none" w:sz="0" w:space="0" w:color="auto"/>
      </w:divBdr>
    </w:div>
    <w:div w:id="2063945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nz.co.nz/news/national/452621/advocates-welcome-less-intrusive-approach-from-msd-but-say-more-needs-to-be-done" TargetMode="External"/><Relationship Id="rId21" Type="http://schemas.openxmlformats.org/officeDocument/2006/relationships/hyperlink" Target="https://www.cpag.org.nz/assets/CPAG_First_Year_of_Covid_Initial_outcomes_of_our_collective_care_for_low_income_children_in_Aotearoa_NZ.pdf" TargetMode="External"/><Relationship Id="rId42" Type="http://schemas.openxmlformats.org/officeDocument/2006/relationships/hyperlink" Target="https://www.stuff.co.nz/national/politics/300312340/budget-2021-labour-to-boost-benefits-by-up-to-55-a-week-in-explicit-push-to-reverse-1990s-cuts" TargetMode="External"/><Relationship Id="rId63" Type="http://schemas.openxmlformats.org/officeDocument/2006/relationships/hyperlink" Target="https://www.cpag.org.nz/assets/Backgrounders/13052020_The%20effects%20of%202020_21%20income%20support%20changes%20on%20AHC%20income%20for%20representative%20households%20receiving%20benefits-final.pdf" TargetMode="External"/><Relationship Id="rId84" Type="http://schemas.openxmlformats.org/officeDocument/2006/relationships/hyperlink" Target="https://www.msd.govt.nz/documents/about-msd-and-our-work/publications-resources/information-releases/cabinet-papers/2021/welfare-overhaul-work-programme-update/welfare-overhaul-work-programme-update.pdf" TargetMode="External"/><Relationship Id="rId138" Type="http://schemas.openxmlformats.org/officeDocument/2006/relationships/header" Target="header1.xml"/><Relationship Id="rId107" Type="http://schemas.openxmlformats.org/officeDocument/2006/relationships/hyperlink" Target="https://www.beehive.govt.nz/release/incomes-lifted-346000-families" TargetMode="External"/><Relationship Id="rId11" Type="http://schemas.openxmlformats.org/officeDocument/2006/relationships/hyperlink" Target="http://www.cpag.org.nz" TargetMode="External"/><Relationship Id="rId32" Type="http://schemas.openxmlformats.org/officeDocument/2006/relationships/hyperlink" Target="https://www.rnz.co.nz/national/programmes/checkpoint/audio/2018818398/more-children-living-in-motels-as-housing-crisis-unrelenting" TargetMode="External"/><Relationship Id="rId53" Type="http://schemas.openxmlformats.org/officeDocument/2006/relationships/hyperlink" Target="https://www.ird.govt.nz/-/media/project/ir/home/documents/forms-and-guides/ir1100---ir1199/ir1150/ir1150-august-2021.pdf?modified=20210915025457&amp;modified=20210915025457" TargetMode="External"/><Relationship Id="rId74" Type="http://schemas.openxmlformats.org/officeDocument/2006/relationships/hyperlink" Target="https://www.mpp.govt.nz/programmes/tupu-aotearoa/" TargetMode="External"/><Relationship Id="rId128" Type="http://schemas.openxmlformats.org/officeDocument/2006/relationships/hyperlink" Target="https://www.tec.govt.nz/rove/workforce-development-councils/" TargetMode="External"/><Relationship Id="rId149" Type="http://schemas.openxmlformats.org/officeDocument/2006/relationships/footer" Target="footer6.xml"/><Relationship Id="rId5" Type="http://schemas.openxmlformats.org/officeDocument/2006/relationships/numbering" Target="numbering.xml"/><Relationship Id="rId95" Type="http://schemas.openxmlformats.org/officeDocument/2006/relationships/hyperlink" Target="https://www.msd.govt.nz/documents/about-msd-and-our-work/newsroom/factsheets/budget/factsheet-disabled-people-employment-2019.pdf" TargetMode="External"/><Relationship Id="rId22" Type="http://schemas.openxmlformats.org/officeDocument/2006/relationships/chart" Target="charts/chart3.xml"/><Relationship Id="rId27" Type="http://schemas.openxmlformats.org/officeDocument/2006/relationships/image" Target="media/image1.png"/><Relationship Id="rId43" Type="http://schemas.openxmlformats.org/officeDocument/2006/relationships/hyperlink" Target="https://www.newsroom.co.nz/where-to-next-for-dead-welfare-report" TargetMode="External"/><Relationship Id="rId48" Type="http://schemas.openxmlformats.org/officeDocument/2006/relationships/hyperlink" Target="https://www.rnz.co.nz/news/on-the-inside/454692/ministry-for-disabled-people-really-good-start-but-there-are-omissions" TargetMode="External"/><Relationship Id="rId64" Type="http://schemas.openxmlformats.org/officeDocument/2006/relationships/hyperlink" Target="https://www.theguardian.com/world/2021/oct/06/perfect-storm-how-covid-is-compounding-new-zealands-existing-social-crises" TargetMode="External"/><Relationship Id="rId69" Type="http://schemas.openxmlformats.org/officeDocument/2006/relationships/hyperlink" Target="https://www.health.govt.nz/our-work/populations/maori-health/tatau-kahukura-maori-health-statistics/nga-mana-hauora-tutohu-health-status-indicators/disability" TargetMode="External"/><Relationship Id="rId113" Type="http://schemas.openxmlformats.org/officeDocument/2006/relationships/hyperlink" Target="https://www.rnz.co.nz/news/political/443226/working-for-families-next-on-the-list-after-benefits-rise-ardern-says" TargetMode="External"/><Relationship Id="rId118" Type="http://schemas.openxmlformats.org/officeDocument/2006/relationships/hyperlink" Target="https://www.scoop.co.nz/stories/AK2109/S00152/urgent-inquiry-needed-into-demeaning-and-inhumane-culture-at-msd.htm" TargetMode="External"/><Relationship Id="rId134" Type="http://schemas.openxmlformats.org/officeDocument/2006/relationships/hyperlink" Target="https://www.workandincome.govt.nz/about-work-and-income/news/2021/income-abatement-changes.html" TargetMode="External"/><Relationship Id="rId139" Type="http://schemas.openxmlformats.org/officeDocument/2006/relationships/header" Target="header2.xml"/><Relationship Id="rId80" Type="http://schemas.openxmlformats.org/officeDocument/2006/relationships/hyperlink" Target="https://www.msd.govt.nz/what-we-can-do/providers/building-financial-capability/funding-for-bfc-services-through-budget-2020.html" TargetMode="External"/><Relationship Id="rId85" Type="http://schemas.openxmlformats.org/officeDocument/2006/relationships/hyperlink" Target="https://www.msd.govt.nz/about-msd-and-our-work/publications-resources/statistics/housing/index.html" TargetMode="External"/><Relationship Id="rId150" Type="http://schemas.openxmlformats.org/officeDocument/2006/relationships/fontTable" Target="fontTable.xml"/><Relationship Id="rId12" Type="http://schemas.openxmlformats.org/officeDocument/2006/relationships/hyperlink" Target="http://www.weag.govt.nz/weag-report/whakamana-tangata/" TargetMode="External"/><Relationship Id="rId17" Type="http://schemas.openxmlformats.org/officeDocument/2006/relationships/hyperlink" Target="https://www.cpag.org.nz/assets/WEAG%20Stocktake%20Final%2027%20Nov.pdf" TargetMode="External"/><Relationship Id="rId33" Type="http://schemas.openxmlformats.org/officeDocument/2006/relationships/hyperlink" Target="https://www.rnz.co.nz/national/programmes/checkpoint/audio/2018795060/msd-told-to-crack-down-on-unneeded-wage-subsidy-recipients" TargetMode="External"/><Relationship Id="rId38" Type="http://schemas.openxmlformats.org/officeDocument/2006/relationships/hyperlink" Target="https://www.cpag.org.nz/assets/CPAG%20Housing%20Briefing%20to%20Incoming%20Minister%20final%20%282%29.pdf" TargetMode="External"/><Relationship Id="rId59" Type="http://schemas.openxmlformats.org/officeDocument/2006/relationships/hyperlink" Target="https://www.stuff.co.nz/national/health/coronavirus/300440848/covid19-vaccination-how-mistrust-shadows-the-rollout-in-a-time-of-crisis" TargetMode="External"/><Relationship Id="rId103" Type="http://schemas.openxmlformats.org/officeDocument/2006/relationships/hyperlink" Target="https://www.beehive.govt.nz/release/ineffective-subsequent-child-policy-sanction-removed" TargetMode="External"/><Relationship Id="rId108" Type="http://schemas.openxmlformats.org/officeDocument/2006/relationships/hyperlink" Target="https://www.beehive.govt.nz/release/main-benefits-increase-line-wages" TargetMode="External"/><Relationship Id="rId124" Type="http://schemas.openxmlformats.org/officeDocument/2006/relationships/hyperlink" Target="https://www.tenancy.govt.nz/rent-bond-and-bills/rent/increasing-rent/" TargetMode="External"/><Relationship Id="rId129" Type="http://schemas.openxmlformats.org/officeDocument/2006/relationships/hyperlink" Target="https://www.parliament.nz/en/pb/hansard-debates/rhr/document/HansS_20211111_050940000/7-question-no-7-social-development-and-employment" TargetMode="External"/><Relationship Id="rId54" Type="http://schemas.openxmlformats.org/officeDocument/2006/relationships/hyperlink" Target="https://www.rnz.co.nz/news/te-manu-korihi/442846/budget-2021-more-investment-in-rangatahi-employment-needed-iwi-and-business-leaders-say" TargetMode="External"/><Relationship Id="rId70" Type="http://schemas.openxmlformats.org/officeDocument/2006/relationships/hyperlink" Target="https://www.hud.govt.nz/residential-housing/progressive-home-ownership/" TargetMode="External"/><Relationship Id="rId75" Type="http://schemas.openxmlformats.org/officeDocument/2006/relationships/hyperlink" Target="https://www.msd.govt.nz/documents/about-msd-and-our-work/publications-resources/information-releases/welfare-overhaul-update/cabinet-paper-welfare-overhaul-update-on-progress-and-long-term-plan.pdf" TargetMode="External"/><Relationship Id="rId91" Type="http://schemas.openxmlformats.org/officeDocument/2006/relationships/hyperlink" Target="https://ccsdisabilityaction.org.nz/assets/resource-files/The-State-of-wellbeing-and-equality-FINAL-ONLINE.pdf" TargetMode="External"/><Relationship Id="rId96" Type="http://schemas.openxmlformats.org/officeDocument/2006/relationships/hyperlink" Target="https://www.beehive.govt.nz/release/benefit-settings-rise-line-wages-1-april" TargetMode="External"/><Relationship Id="rId140" Type="http://schemas.openxmlformats.org/officeDocument/2006/relationships/footer" Target="footer1.xml"/><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4.xml"/><Relationship Id="rId28" Type="http://schemas.openxmlformats.org/officeDocument/2006/relationships/image" Target="media/image2.gif"/><Relationship Id="rId49" Type="http://schemas.openxmlformats.org/officeDocument/2006/relationships/hyperlink" Target="https://communityresearch.org.nz/research/understanding-welfare-sanctions-in-aotearoa-new-zealand/" TargetMode="External"/><Relationship Id="rId114" Type="http://schemas.openxmlformats.org/officeDocument/2006/relationships/hyperlink" Target="https://www.rnz.co.nz/news/political/437079/progressive-home-ownership-scheme-houses-just-12-families-in-seven-months" TargetMode="External"/><Relationship Id="rId119" Type="http://schemas.openxmlformats.org/officeDocument/2006/relationships/hyperlink" Target="https://www.stats.govt.nz/information-releases/labour-market-statistics-disability-june-2020-quarter" TargetMode="External"/><Relationship Id="rId44" Type="http://schemas.openxmlformats.org/officeDocument/2006/relationships/hyperlink" Target="https://www.stuff.co.nz/national/118971005/beneficiaries-receiving-fewer-meetings-with-employment-officers-despite-more-resources" TargetMode="External"/><Relationship Id="rId60" Type="http://schemas.openxmlformats.org/officeDocument/2006/relationships/hyperlink" Target="https://forms.justice.govt.nz/search/Documents/WT/wt_DOC_150437272/Wai%202575%2C%20B022.pdf" TargetMode="External"/><Relationship Id="rId65" Type="http://schemas.openxmlformats.org/officeDocument/2006/relationships/hyperlink" Target="https://www.mhwc.govt.nz/interim-report/" TargetMode="External"/><Relationship Id="rId81" Type="http://schemas.openxmlformats.org/officeDocument/2006/relationships/hyperlink" Target="https://msd.govt.nz/documents/about-msd-and-our-work/newsroom/factsheets/budget/2021/budget-2021-factsheet-improving-work-capacity-medical-certificates.pdf" TargetMode="External"/><Relationship Id="rId86" Type="http://schemas.openxmlformats.org/officeDocument/2006/relationships/hyperlink" Target="https://www.msd.govt.nz/documents/about-msd-and-our-work/publications-resources/official-information-responses/2021/may/20210531-why-the-steps-to-freedom-grant-has-not-been-increased-to-with-the-rise-of-living-costs.pdf" TargetMode="External"/><Relationship Id="rId130" Type="http://schemas.openxmlformats.org/officeDocument/2006/relationships/hyperlink" Target="https://www.treasury.govt.nz/information-and-services/nz-economy/future-work-tripartite-forum" TargetMode="External"/><Relationship Id="rId135" Type="http://schemas.openxmlformats.org/officeDocument/2006/relationships/hyperlink" Target="https://workandincome.govt.nz/providers/programmes-and-projects/he-poutama-rangatahi-youth-employment-pathways.html" TargetMode="External"/><Relationship Id="rId151" Type="http://schemas.openxmlformats.org/officeDocument/2006/relationships/theme" Target="theme/theme1.xml"/><Relationship Id="rId13" Type="http://schemas.openxmlformats.org/officeDocument/2006/relationships/hyperlink" Target="https://www.cpag.org.nz/assets/WEAG%20Stocktake%20Final%2027%20Nov.pdf" TargetMode="External"/><Relationship Id="rId18" Type="http://schemas.openxmlformats.org/officeDocument/2006/relationships/hyperlink" Target="https://www.cpag.org.nz/assets/WEAG%20Stocktake%20Final%2027%20Nov.pdf" TargetMode="External"/><Relationship Id="rId39" Type="http://schemas.openxmlformats.org/officeDocument/2006/relationships/hyperlink" Target="https://www.cpag.org.nz/the-latest/current-statistics/food-parcels/" TargetMode="External"/><Relationship Id="rId109" Type="http://schemas.openxmlformats.org/officeDocument/2006/relationships/hyperlink" Target="https://budget.govt.nz/budget/pdfs/releases/r2-ardern-sepuloni-main-benefit-boost-up-to-33000-children-lifted-out-of-poverty.pdf" TargetMode="External"/><Relationship Id="rId34" Type="http://schemas.openxmlformats.org/officeDocument/2006/relationships/hyperlink" Target="https://www.tvnz.co.nz/one-news/new-zealand/government-putting-more-beneficiaries-into-greater-debt-loans-totalling-almost-2-billion" TargetMode="External"/><Relationship Id="rId50" Type="http://schemas.openxmlformats.org/officeDocument/2006/relationships/hyperlink" Target="https://objectext.auckland.ac.nz/figshare/17434133/RepartneringReportPPI_CPAGFinalJuly.pdf" TargetMode="External"/><Relationship Id="rId55" Type="http://schemas.openxmlformats.org/officeDocument/2006/relationships/hyperlink" Target="https://kaingaora.govt.nz/assets/Tenants-and-communities/Documents/Kainga-Ora-Accessibility-Policy-PDF-FINAL-15.11.19.pdf" TargetMode="External"/><Relationship Id="rId76" Type="http://schemas.openxmlformats.org/officeDocument/2006/relationships/hyperlink" Target="https://www.msd.govt.nz/documents/about-msd-and-our-work/newsroom/factsheets/budget/factsheet-removing-deductions-sole-parents-2019.pdf" TargetMode="External"/><Relationship Id="rId97" Type="http://schemas.openxmlformats.org/officeDocument/2006/relationships/hyperlink" Target="https://www.beehive.govt.nz/release/better-childcare-assistance-low-and-middle-income-families" TargetMode="External"/><Relationship Id="rId104" Type="http://schemas.openxmlformats.org/officeDocument/2006/relationships/hyperlink" Target="https://www.beehive.govt.nz/speech/finance-ministers-budget-2021-speech" TargetMode="External"/><Relationship Id="rId120" Type="http://schemas.openxmlformats.org/officeDocument/2006/relationships/hyperlink" Target="https://www.stats.govt.nz/news/child-poverty-statistics-for-households-with-disabled-people-released-for-the-first-time" TargetMode="External"/><Relationship Id="rId125" Type="http://schemas.openxmlformats.org/officeDocument/2006/relationships/hyperlink" Target="https://www.rnz.co.nz/national/programmes/checkpoint/audio/2018806504/disabled-people-in-relationships-paying-for-the-price-of-love" TargetMode="External"/><Relationship Id="rId141" Type="http://schemas.openxmlformats.org/officeDocument/2006/relationships/footer" Target="footer2.xml"/><Relationship Id="rId14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hud.govt.nz/assets/News-and-Resources/Statistics-and-Research/Public-housing-reports/Quarterly-reports/Public-housing-quarterly-report-June-2021.pdf" TargetMode="External"/><Relationship Id="rId92" Type="http://schemas.openxmlformats.org/officeDocument/2006/relationships/hyperlink" Target="https://scholar.google.com/scholar?hl=en&amp;as_sdt=0%2C5&amp;q=neuwelt-kearns+murray+living+well&amp;btnG=" TargetMode="External"/><Relationship Id="rId2" Type="http://schemas.openxmlformats.org/officeDocument/2006/relationships/customXml" Target="../customXml/item2.xml"/><Relationship Id="rId29" Type="http://schemas.openxmlformats.org/officeDocument/2006/relationships/hyperlink" Target="https://www.cpag.org.nz/assets/Living%20Well%20Children%20with%20disability%20need%20far%20greater%20income%20support%20in%20Aotearoa%20Sept%202020%20%281%29.pdf" TargetMode="External"/><Relationship Id="rId24" Type="http://schemas.openxmlformats.org/officeDocument/2006/relationships/chart" Target="charts/chart5.xml"/><Relationship Id="rId40" Type="http://schemas.openxmlformats.org/officeDocument/2006/relationships/hyperlink" Target="https://thespinoff.co.nz/society/20-01-2021/doubts-cast-over-claims-of-culture-change-at-work-and-income-nz/" TargetMode="External"/><Relationship Id="rId45" Type="http://schemas.openxmlformats.org/officeDocument/2006/relationships/hyperlink" Target="https://www.stuff.co.nz/national/politics/300315663/labour-breaks-promise-to-fund-dental-grants-this-year-but-says-it-will-come-in-later-budgets" TargetMode="External"/><Relationship Id="rId66" Type="http://schemas.openxmlformats.org/officeDocument/2006/relationships/hyperlink" Target="https://www.beehive.govt.nz/sites/default/files/2020-12/Social%20Development%20and%20Employment.pdf" TargetMode="External"/><Relationship Id="rId87" Type="http://schemas.openxmlformats.org/officeDocument/2006/relationships/hyperlink" Target="https://www.msd.govt.nz/documents/about-msd-and-our-work/publications-resources/official-information-responses/2021/september/20210916-request-for-information-on-the-review-of-the-current-upcoming-accommodation-supplement-and-on-the-working-for-families-review-that-the-government-has-signaled..pdf" TargetMode="External"/><Relationship Id="rId110" Type="http://schemas.openxmlformats.org/officeDocument/2006/relationships/hyperlink" Target="https://www.beehive.govt.nz/release/government-continues-support-rangatahi-get-employment-education-and-training" TargetMode="External"/><Relationship Id="rId115" Type="http://schemas.openxmlformats.org/officeDocument/2006/relationships/hyperlink" Target="https://www.rnz.co.nz/news/political/448942/rangatahi-and-maori-trades-and-training-intiatives-get-funding-boost" TargetMode="External"/><Relationship Id="rId131" Type="http://schemas.openxmlformats.org/officeDocument/2006/relationships/hyperlink" Target="https://budget.govt.nz/information-release/2021/pdf/b21-t2020-3574-4381994.pdf" TargetMode="External"/><Relationship Id="rId136" Type="http://schemas.openxmlformats.org/officeDocument/2006/relationships/hyperlink" Target="https://www.workandincome.govt.nz/map/income-support/main-benefits/sole-parent-support/shared-care.html" TargetMode="External"/><Relationship Id="rId61" Type="http://schemas.openxmlformats.org/officeDocument/2006/relationships/hyperlink" Target="https://static1.squarespace.com/static/5e8e4bf34078e655d8150f64/t/616e173d0e5a5418b713f92a/1634604867226/101782+-+Kore+Hiakai+-+Ka+Ma%CC%84kona+Report+Design+%28Web%29.pdf" TargetMode="External"/><Relationship Id="rId82" Type="http://schemas.openxmlformats.org/officeDocument/2006/relationships/hyperlink" Target="https://www.msd.govt.nz/about-msd-and-our-work/publications-resources/statistics/benefit/index.html" TargetMode="External"/><Relationship Id="rId19" Type="http://schemas.openxmlformats.org/officeDocument/2006/relationships/hyperlink" Target="https://www.cpag.org.nz/resources/kia-piki-ake-te-mana-tangata-korero-with/" TargetMode="External"/><Relationship Id="rId14" Type="http://schemas.openxmlformats.org/officeDocument/2006/relationships/chart" Target="charts/chart1.xml"/><Relationship Id="rId30" Type="http://schemas.openxmlformats.org/officeDocument/2006/relationships/hyperlink" Target="https://www.newshub.co.nz/home/politics/2021/07/rental-property-wofs-greens-chl-e-swarbrick-says-rental-property-wofs-would-protect-good-landlords-as-well-as-tenants.html" TargetMode="External"/><Relationship Id="rId35" Type="http://schemas.openxmlformats.org/officeDocument/2006/relationships/hyperlink" Target="https://disabilityconnect.org.nz/wp-content/uploads/where-will-we-live-in-the-future.pdf" TargetMode="External"/><Relationship Id="rId56" Type="http://schemas.openxmlformats.org/officeDocument/2006/relationships/hyperlink" Target="https://kaingaora.govt.nz/assets/Home-ownership/Brochures-and-forms/HNZ16297-Tenant-Home-Ownership-Jan-2020.pdf" TargetMode="External"/><Relationship Id="rId77" Type="http://schemas.openxmlformats.org/officeDocument/2006/relationships/hyperlink" Target="https://www.msd.govt.nz/documents/about-msd-and-our-work/publications-resources/information-releases/welfare-overhaul-removing-the-subsequent-child-policy/cabinet-paper-welfare-overhaul-removing-the-subsequent-child-policy.pdf" TargetMode="External"/><Relationship Id="rId100" Type="http://schemas.openxmlformats.org/officeDocument/2006/relationships/hyperlink" Target="https://www.beehive.govt.nz/release/training-incentive-allowance-support-16000-new-zealanders-jobs" TargetMode="External"/><Relationship Id="rId105" Type="http://schemas.openxmlformats.org/officeDocument/2006/relationships/hyperlink" Target="https://www.treasury.govt.nz/sites/default/files/2021-05/b21-tackling-inequality-child-poverty.pdf" TargetMode="External"/><Relationship Id="rId126" Type="http://schemas.openxmlformats.org/officeDocument/2006/relationships/hyperlink" Target="https://www.tec.govt.nz/funding/funding-and-performance/funding/fund-finder/targeted-training-and-apprenticeship-fund/" TargetMode="External"/><Relationship Id="rId14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cpag.org.nz/assets/Covid%2019%20survey%20report%2012%20October%20final.pdf" TargetMode="External"/><Relationship Id="rId72" Type="http://schemas.openxmlformats.org/officeDocument/2006/relationships/hyperlink" Target="https://www.hud.govt.nz/urban-development/the-housing-acceleration-fund/" TargetMode="External"/><Relationship Id="rId93" Type="http://schemas.openxmlformats.org/officeDocument/2006/relationships/hyperlink" Target="https://www.cpag.org.nz/assets/WFFSeries1EnsuringAdequateIndexationofWorkingforFamilies5May2021.pdf" TargetMode="External"/><Relationship Id="rId98" Type="http://schemas.openxmlformats.org/officeDocument/2006/relationships/hyperlink" Target="https://www.beehive.govt.nz/release/government-delivers-promise-working-low-income-families" TargetMode="External"/><Relationship Id="rId121" Type="http://schemas.openxmlformats.org/officeDocument/2006/relationships/hyperlink" Target="https://www.stats.govt.nz/information-releases/labour-market-statistics-disability-june-2021-quarter" TargetMode="External"/><Relationship Id="rId142"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hyperlink" Target="https://www.stuff.co.nz/national/politics/120007238/coronavirus-special-cabinet-committee-meeting-on-virus" TargetMode="External"/><Relationship Id="rId67" Type="http://schemas.openxmlformats.org/officeDocument/2006/relationships/hyperlink" Target="https://www.mbie.govt.nz/business-and-employment/economic-development/just-transition/" TargetMode="External"/><Relationship Id="rId116" Type="http://schemas.openxmlformats.org/officeDocument/2006/relationships/hyperlink" Target="https://www.treasury.govt.nz/sites/default/files/2021-05/b21-speech.pdf" TargetMode="External"/><Relationship Id="rId137" Type="http://schemas.openxmlformats.org/officeDocument/2006/relationships/hyperlink" Target="https://www.workandincome.govt.nz/documents/forms/youth-payment-application.pdf" TargetMode="External"/><Relationship Id="rId20" Type="http://schemas.openxmlformats.org/officeDocument/2006/relationships/hyperlink" Target="https://www.cpag.org.nz/resources/kia-piki-ake-te-mana-tangata-korero-with/" TargetMode="External"/><Relationship Id="rId41" Type="http://schemas.openxmlformats.org/officeDocument/2006/relationships/hyperlink" Target="https://www.1news.co.nz/2021/11/16/debate-rages-over-controversial-beneficiary-sanction/" TargetMode="External"/><Relationship Id="rId62" Type="http://schemas.openxmlformats.org/officeDocument/2006/relationships/hyperlink" Target="https://www.stuff.co.nz/dominion-post/wellington/126794927/the-activist-telling-the-real-story-of-disability" TargetMode="External"/><Relationship Id="rId83" Type="http://schemas.openxmlformats.org/officeDocument/2006/relationships/hyperlink" Target="https://www.msd.govt.nz/documents/about-msd-and-our-work/publications-resources/information-releases/cabinet-papers/2021/welfare-overhaul-work-programme-update/appendix-three-weag-recommendations-and-progress-to-date.pdf" TargetMode="External"/><Relationship Id="rId88" Type="http://schemas.openxmlformats.org/officeDocument/2006/relationships/hyperlink" Target="https://www.msd.govt.nz/about-msd-and-our-work/publications-resources/corporate/annual-report/2018-2019/outcome-new-zealanders-participate-positively-in-society-and-reach-their-potential/supporting-disabled-new-zealanders-to-find-and-keep-work.html" TargetMode="External"/><Relationship Id="rId111" Type="http://schemas.openxmlformats.org/officeDocument/2006/relationships/hyperlink" Target="https://www.beehive.govt.nz/release/employment-boost-rural-communities" TargetMode="External"/><Relationship Id="rId132" Type="http://schemas.openxmlformats.org/officeDocument/2006/relationships/hyperlink" Target="http://www.weag.govt.nz/assets/documents/WEAGreport/aed960c3ce/WEAG-Report.pdf" TargetMode="External"/><Relationship Id="rId15" Type="http://schemas.openxmlformats.org/officeDocument/2006/relationships/chart" Target="charts/chart2.xml"/><Relationship Id="rId36" Type="http://schemas.openxmlformats.org/officeDocument/2006/relationships/hyperlink" Target="https://www.rnz.co.nz/news/te-manu-korihi/429746/unfair-outcomes-for-maori-seeking-covid-income-support" TargetMode="External"/><Relationship Id="rId57" Type="http://schemas.openxmlformats.org/officeDocument/2006/relationships/hyperlink" Target="https://kaingaora.govt.nz/assets/Publications/Annual-report/2020-21-Annual-Report.pdf" TargetMode="External"/><Relationship Id="rId106" Type="http://schemas.openxmlformats.org/officeDocument/2006/relationships/hyperlink" Target="https://www.beehive.govt.nz/release/significant-boost-m%C4%81ori-housing-budget-2021" TargetMode="External"/><Relationship Id="rId127" Type="http://schemas.openxmlformats.org/officeDocument/2006/relationships/hyperlink" Target="https://www.tec.govt.nz/rove/reform-of-vocational-education/" TargetMode="External"/><Relationship Id="rId10" Type="http://schemas.openxmlformats.org/officeDocument/2006/relationships/endnotes" Target="endnotes.xml"/><Relationship Id="rId31" Type="http://schemas.openxmlformats.org/officeDocument/2006/relationships/hyperlink" Target="https://www.newsroom.co.nz/ideasroom/a-benchmark-budget-for-mori-housing" TargetMode="External"/><Relationship Id="rId52" Type="http://schemas.openxmlformats.org/officeDocument/2006/relationships/hyperlink" Target="https://www.ird.govt.nz/child-support/eligibility/sharing-care" TargetMode="External"/><Relationship Id="rId73" Type="http://schemas.openxmlformats.org/officeDocument/2006/relationships/hyperlink" Target="https://www.hud.govt.nz/maihi-and-maori-housing/whai-kainga-whai-oranga/" TargetMode="External"/><Relationship Id="rId78" Type="http://schemas.openxmlformats.org/officeDocument/2006/relationships/hyperlink" Target="https://www.msd.govt.nz/documents/about-msd-and-our-work/publications-resources/official-information-responses/2020/june/r-20200625-request-to-know-how-many-people-have-been-prosecuted-of-benefit-fraud-since-2014-to-date-and-what-cost-benefit-fraud-has-every-financial-year-since-2011.pdf" TargetMode="External"/><Relationship Id="rId94" Type="http://schemas.openxmlformats.org/officeDocument/2006/relationships/hyperlink" Target="https://www.beehive.govt.nz/sites/default/files/2018-05/WEAG%20Terms%20of%20Reference_0.pdf" TargetMode="External"/><Relationship Id="rId99" Type="http://schemas.openxmlformats.org/officeDocument/2006/relationships/hyperlink" Target="https://www.beehive.govt.nz/release/significant-boost-m%C4%81ori-housing-budget-2021" TargetMode="External"/><Relationship Id="rId101" Type="http://schemas.openxmlformats.org/officeDocument/2006/relationships/hyperlink" Target="https://www.beehive.govt.nz/release/main-benefit-boost-33000-children-lifted-out-poverty" TargetMode="External"/><Relationship Id="rId122" Type="http://schemas.openxmlformats.org/officeDocument/2006/relationships/hyperlink" Target="https://www.scoop.co.nz/stories/PO2110/S00292/te-putahitanga-o-te-waipounamu-celebrates-changes-to-disability-system.htm" TargetMode="External"/><Relationship Id="rId143" Type="http://schemas.openxmlformats.org/officeDocument/2006/relationships/footer" Target="footer3.xml"/><Relationship Id="rId148"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tematapihi.org.nz/" TargetMode="External"/><Relationship Id="rId47" Type="http://schemas.openxmlformats.org/officeDocument/2006/relationships/hyperlink" Target="https://www.rnz.co.nz/news/on-the-inside/439661/state-builds-missing-from-govt-housing-package" TargetMode="External"/><Relationship Id="rId68" Type="http://schemas.openxmlformats.org/officeDocument/2006/relationships/hyperlink" Target="https://www.mbie.govt.nz/business-and-employment/employment-and-skills/regional-skills-leadership-groups/" TargetMode="External"/><Relationship Id="rId89" Type="http://schemas.openxmlformats.org/officeDocument/2006/relationships/hyperlink" Target="https://msd.govt.nz/about-msd-and-our-work/newsroom/budget/2021/factsheets/improving-work-capacity-medical-certificates.html" TargetMode="External"/><Relationship Id="rId112" Type="http://schemas.openxmlformats.org/officeDocument/2006/relationships/hyperlink" Target="https://www.ngatangatamicrofinance.org.nz/news-media/research-shows-that-families-females-maori-and-pacific-people-hardest-hit-by-lockdowns/" TargetMode="External"/><Relationship Id="rId133" Type="http://schemas.openxmlformats.org/officeDocument/2006/relationships/hyperlink" Target="https://www.workandincome.govt.nz/online-services/apply/what-is-a-stand-down.html" TargetMode="External"/><Relationship Id="rId16" Type="http://schemas.openxmlformats.org/officeDocument/2006/relationships/hyperlink" Target="https://www.cpag.org.nz/resources/kia-piki-ake-te-mana-tangata-korero-with/" TargetMode="External"/><Relationship Id="rId37" Type="http://schemas.openxmlformats.org/officeDocument/2006/relationships/hyperlink" Target="https://www.nzherald.co.nz/nz/anna-casey-cox-welfare-doled-out-with-doses-of-cruelty-and-inhumanity/FW5AR7RYB3RUXTFLHNHCXJHYNY/" TargetMode="External"/><Relationship Id="rId58" Type="http://schemas.openxmlformats.org/officeDocument/2006/relationships/hyperlink" Target="https://www.rnz.co.nz/news/on-the-inside/443072/maori-housing-focus-part-of-promising-budget" TargetMode="External"/><Relationship Id="rId79" Type="http://schemas.openxmlformats.org/officeDocument/2006/relationships/hyperlink" Target="https://www.msd.govt.nz/documents/about-msd-and-our-work/publications-resources/official-information-responses/2020/october/20201002-request-a-copy-of-the-information-on-the-july-2019-report-concerning-the-issue-of-volunteering-and-being-eligible-for-benefits.pdf" TargetMode="External"/><Relationship Id="rId102" Type="http://schemas.openxmlformats.org/officeDocument/2006/relationships/hyperlink" Target="https://www.beehive.govt.nz/release/community-housing-providers-get-upfront-funding-deliver-new-builds-faster" TargetMode="External"/><Relationship Id="rId123" Type="http://schemas.openxmlformats.org/officeDocument/2006/relationships/hyperlink" Target="https://www.teaomaori.news/great-dames-set-their-sights-on-social-welfare-ministry" TargetMode="External"/><Relationship Id="rId144" Type="http://schemas.openxmlformats.org/officeDocument/2006/relationships/header" Target="header4.xml"/><Relationship Id="rId90" Type="http://schemas.openxmlformats.org/officeDocument/2006/relationships/hyperlink" Target="https://www.msd.govt.nz/about-msd-and-our-work/publications-resources/research/benefit-system/what-happened-to-people-who-left-benefit-system-during-the-year-ended-30-june-2014.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cpag.org.nz/resources/kia-piki-ake-te-mana-tangata-korero-with/" TargetMode="External"/><Relationship Id="rId2" Type="http://schemas.openxmlformats.org/officeDocument/2006/relationships/hyperlink" Target="file:///C:\Users\Comms\Documents\McMeeking%20S,%20Kahi%20H,%20Kururangi%20G,%20Maurice%20E%20(2019).%20Kia%20Piki%20Ake%20Te%20Mana%20T&#257;ngata&#8212;%20Review%20of%20the%20WEAG%20Tikanga%20Framework.%20Ministry%20of%20Social%20Development.%20Welfare%20Expert%20Advisory%20Group.%20Ministry%20of%20Social%20Development" TargetMode="External"/><Relationship Id="rId1" Type="http://schemas.openxmlformats.org/officeDocument/2006/relationships/hyperlink" Target="https://www.cpag.org.nz/the-governments-response-to-lockdown-hardship/" TargetMode="External"/><Relationship Id="rId4" Type="http://schemas.openxmlformats.org/officeDocument/2006/relationships/hyperlink" Target="https://www.stuff.co.nz/national/300418067/the-mothers-struggling-to-feed-their-babies-while-the-state-keeps-all-their-child-support?rm=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kearns\Downloads\traffic%20light%20and%20progress%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kearns\Downloads\traffic%20light%20and%20progress%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mms\Downloads\WEAG%20inflation%20adjusted%20working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Comms\Downloads\WEAG%20inflation%20adjusted%20workings%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DETAILED RECOMMENDATIONS (126): Implementation status of WEAG as at November 2020 vs 2021</a:t>
            </a:r>
          </a:p>
        </c:rich>
      </c:tx>
      <c:layout>
        <c:manualLayout>
          <c:xMode val="edge"/>
          <c:yMode val="edge"/>
          <c:x val="0.15819295315358309"/>
          <c:y val="3.157894736842105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3"/>
          <c:order val="0"/>
          <c:tx>
            <c:strRef>
              <c:f>Sheet1!$N$10</c:f>
              <c:strCache>
                <c:ptCount val="1"/>
                <c:pt idx="0">
                  <c:v>Full</c:v>
                </c:pt>
              </c:strCache>
            </c:strRef>
          </c:tx>
          <c:spPr>
            <a:solidFill>
              <a:srgbClr val="00B050"/>
            </a:solidFill>
            <a:ln>
              <a:noFill/>
            </a:ln>
            <a:effectLst/>
          </c:spPr>
          <c:invertIfNegative val="0"/>
          <c:dPt>
            <c:idx val="0"/>
            <c:invertIfNegative val="0"/>
            <c:bubble3D val="0"/>
            <c:spPr>
              <a:solidFill>
                <a:srgbClr val="4FFF9F"/>
              </a:solidFill>
              <a:ln>
                <a:noFill/>
              </a:ln>
              <a:effectLst/>
            </c:spPr>
            <c:extLst>
              <c:ext xmlns:c16="http://schemas.microsoft.com/office/drawing/2014/chart" uri="{C3380CC4-5D6E-409C-BE32-E72D297353CC}">
                <c16:uniqueId val="{00000001-D8BC-43BC-8B1A-C5D7310B7C2F}"/>
              </c:ext>
            </c:extLst>
          </c:dPt>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BC-43BC-8B1A-C5D7310B7C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Sheet1!$T$6:$U$6</c:f>
              <c:numCache>
                <c:formatCode>General</c:formatCode>
                <c:ptCount val="2"/>
                <c:pt idx="0">
                  <c:v>2020</c:v>
                </c:pt>
                <c:pt idx="1">
                  <c:v>2021</c:v>
                </c:pt>
              </c:numCache>
            </c:numRef>
          </c:cat>
          <c:val>
            <c:numRef>
              <c:f>Sheet1!$T$10:$U$10</c:f>
              <c:numCache>
                <c:formatCode>General</c:formatCode>
                <c:ptCount val="2"/>
                <c:pt idx="0">
                  <c:v>8</c:v>
                </c:pt>
                <c:pt idx="1">
                  <c:v>11</c:v>
                </c:pt>
              </c:numCache>
            </c:numRef>
          </c:val>
          <c:extLst>
            <c:ext xmlns:c16="http://schemas.microsoft.com/office/drawing/2014/chart" uri="{C3380CC4-5D6E-409C-BE32-E72D297353CC}">
              <c16:uniqueId val="{00000002-D8BC-43BC-8B1A-C5D7310B7C2F}"/>
            </c:ext>
          </c:extLst>
        </c:ser>
        <c:ser>
          <c:idx val="2"/>
          <c:order val="1"/>
          <c:tx>
            <c:strRef>
              <c:f>Sheet1!$N$9</c:f>
              <c:strCache>
                <c:ptCount val="1"/>
                <c:pt idx="0">
                  <c:v>Partial</c:v>
                </c:pt>
              </c:strCache>
            </c:strRef>
          </c:tx>
          <c:spPr>
            <a:solidFill>
              <a:srgbClr val="FFFF00"/>
            </a:solidFill>
            <a:ln>
              <a:noFill/>
            </a:ln>
            <a:effectLst/>
          </c:spPr>
          <c:invertIfNegative val="0"/>
          <c:dPt>
            <c:idx val="0"/>
            <c:invertIfNegative val="0"/>
            <c:bubble3D val="0"/>
            <c:spPr>
              <a:solidFill>
                <a:srgbClr val="FFFF75"/>
              </a:solidFill>
              <a:ln>
                <a:noFill/>
              </a:ln>
              <a:effectLst/>
            </c:spPr>
            <c:extLst>
              <c:ext xmlns:c16="http://schemas.microsoft.com/office/drawing/2014/chart" uri="{C3380CC4-5D6E-409C-BE32-E72D297353CC}">
                <c16:uniqueId val="{00000004-D8BC-43BC-8B1A-C5D7310B7C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Sheet1!$T$6:$U$6</c:f>
              <c:numCache>
                <c:formatCode>General</c:formatCode>
                <c:ptCount val="2"/>
                <c:pt idx="0">
                  <c:v>2020</c:v>
                </c:pt>
                <c:pt idx="1">
                  <c:v>2021</c:v>
                </c:pt>
              </c:numCache>
            </c:numRef>
          </c:cat>
          <c:val>
            <c:numRef>
              <c:f>Sheet1!$T$9:$U$9</c:f>
              <c:numCache>
                <c:formatCode>General</c:formatCode>
                <c:ptCount val="2"/>
                <c:pt idx="0">
                  <c:v>9</c:v>
                </c:pt>
                <c:pt idx="1">
                  <c:v>9</c:v>
                </c:pt>
              </c:numCache>
            </c:numRef>
          </c:val>
          <c:extLst>
            <c:ext xmlns:c16="http://schemas.microsoft.com/office/drawing/2014/chart" uri="{C3380CC4-5D6E-409C-BE32-E72D297353CC}">
              <c16:uniqueId val="{00000005-D8BC-43BC-8B1A-C5D7310B7C2F}"/>
            </c:ext>
          </c:extLst>
        </c:ser>
        <c:ser>
          <c:idx val="1"/>
          <c:order val="2"/>
          <c:tx>
            <c:strRef>
              <c:f>Sheet1!$N$8</c:f>
              <c:strCache>
                <c:ptCount val="1"/>
                <c:pt idx="0">
                  <c:v>Minimal</c:v>
                </c:pt>
              </c:strCache>
            </c:strRef>
          </c:tx>
          <c:spPr>
            <a:solidFill>
              <a:srgbClr val="FFC000"/>
            </a:solidFill>
            <a:ln>
              <a:noFill/>
            </a:ln>
            <a:effectLst/>
          </c:spPr>
          <c:invertIfNegative val="0"/>
          <c:dPt>
            <c:idx val="0"/>
            <c:invertIfNegative val="0"/>
            <c:bubble3D val="0"/>
            <c:spPr>
              <a:solidFill>
                <a:srgbClr val="FFCD2F"/>
              </a:solidFill>
              <a:ln>
                <a:noFill/>
              </a:ln>
              <a:effectLst/>
            </c:spPr>
            <c:extLst>
              <c:ext xmlns:c16="http://schemas.microsoft.com/office/drawing/2014/chart" uri="{C3380CC4-5D6E-409C-BE32-E72D297353CC}">
                <c16:uniqueId val="{00000007-D8BC-43BC-8B1A-C5D7310B7C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Sheet1!$T$6:$U$6</c:f>
              <c:numCache>
                <c:formatCode>General</c:formatCode>
                <c:ptCount val="2"/>
                <c:pt idx="0">
                  <c:v>2020</c:v>
                </c:pt>
                <c:pt idx="1">
                  <c:v>2021</c:v>
                </c:pt>
              </c:numCache>
            </c:numRef>
          </c:cat>
          <c:val>
            <c:numRef>
              <c:f>Sheet1!$T$8:$U$8</c:f>
              <c:numCache>
                <c:formatCode>General</c:formatCode>
                <c:ptCount val="2"/>
                <c:pt idx="0">
                  <c:v>11</c:v>
                </c:pt>
                <c:pt idx="1">
                  <c:v>16</c:v>
                </c:pt>
              </c:numCache>
            </c:numRef>
          </c:val>
          <c:extLst>
            <c:ext xmlns:c16="http://schemas.microsoft.com/office/drawing/2014/chart" uri="{C3380CC4-5D6E-409C-BE32-E72D297353CC}">
              <c16:uniqueId val="{00000008-D8BC-43BC-8B1A-C5D7310B7C2F}"/>
            </c:ext>
          </c:extLst>
        </c:ser>
        <c:ser>
          <c:idx val="0"/>
          <c:order val="3"/>
          <c:tx>
            <c:strRef>
              <c:f>Sheet1!$N$7</c:f>
              <c:strCache>
                <c:ptCount val="1"/>
                <c:pt idx="0">
                  <c:v>No evidence of implementation</c:v>
                </c:pt>
              </c:strCache>
            </c:strRef>
          </c:tx>
          <c:spPr>
            <a:solidFill>
              <a:srgbClr val="FF3F3F"/>
            </a:solidFill>
            <a:ln>
              <a:noFill/>
            </a:ln>
            <a:effectLst/>
          </c:spPr>
          <c:invertIfNegative val="0"/>
          <c:dPt>
            <c:idx val="1"/>
            <c:invertIfNegative val="0"/>
            <c:bubble3D val="0"/>
            <c:spPr>
              <a:solidFill>
                <a:srgbClr val="FF1515"/>
              </a:solidFill>
              <a:ln>
                <a:noFill/>
              </a:ln>
              <a:effectLst/>
            </c:spPr>
            <c:extLst>
              <c:ext xmlns:c16="http://schemas.microsoft.com/office/drawing/2014/chart" uri="{C3380CC4-5D6E-409C-BE32-E72D297353CC}">
                <c16:uniqueId val="{0000000A-D8BC-43BC-8B1A-C5D7310B7C2F}"/>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D8BC-43BC-8B1A-C5D7310B7C2F}"/>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D8BC-43BC-8B1A-C5D7310B7C2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Sheet1!$T$6:$U$6</c:f>
              <c:numCache>
                <c:formatCode>General</c:formatCode>
                <c:ptCount val="2"/>
                <c:pt idx="0">
                  <c:v>2020</c:v>
                </c:pt>
                <c:pt idx="1">
                  <c:v>2021</c:v>
                </c:pt>
              </c:numCache>
            </c:numRef>
          </c:cat>
          <c:val>
            <c:numRef>
              <c:f>Sheet1!$T$7:$U$7</c:f>
              <c:numCache>
                <c:formatCode>General</c:formatCode>
                <c:ptCount val="2"/>
                <c:pt idx="0">
                  <c:v>98</c:v>
                </c:pt>
                <c:pt idx="1">
                  <c:v>90</c:v>
                </c:pt>
              </c:numCache>
            </c:numRef>
          </c:val>
          <c:extLst>
            <c:ext xmlns:c16="http://schemas.microsoft.com/office/drawing/2014/chart" uri="{C3380CC4-5D6E-409C-BE32-E72D297353CC}">
              <c16:uniqueId val="{0000000C-D8BC-43BC-8B1A-C5D7310B7C2F}"/>
            </c:ext>
          </c:extLst>
        </c:ser>
        <c:dLbls>
          <c:showLegendKey val="0"/>
          <c:showVal val="0"/>
          <c:showCatName val="0"/>
          <c:showSerName val="0"/>
          <c:showPercent val="0"/>
          <c:showBubbleSize val="0"/>
        </c:dLbls>
        <c:gapWidth val="0"/>
        <c:overlap val="100"/>
        <c:axId val="1096608712"/>
        <c:axId val="1096609032"/>
      </c:barChart>
      <c:catAx>
        <c:axId val="109660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609032"/>
        <c:crosses val="autoZero"/>
        <c:auto val="1"/>
        <c:lblAlgn val="ctr"/>
        <c:lblOffset val="100"/>
        <c:noMultiLvlLbl val="0"/>
      </c:catAx>
      <c:valAx>
        <c:axId val="1096609032"/>
        <c:scaling>
          <c:orientation val="minMax"/>
          <c:max val="1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608712"/>
        <c:crosses val="autoZero"/>
        <c:crossBetween val="between"/>
      </c:valAx>
      <c:spPr>
        <a:noFill/>
        <a:ln>
          <a:noFill/>
        </a:ln>
        <a:effectLst/>
      </c:spPr>
    </c:plotArea>
    <c:legend>
      <c:legendPos val="r"/>
      <c:layout>
        <c:manualLayout>
          <c:xMode val="edge"/>
          <c:yMode val="edge"/>
          <c:x val="0.63232782770840523"/>
          <c:y val="0.25000012095262292"/>
          <c:w val="0.35086437427644779"/>
          <c:h val="0.356019892250310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KEY RECOMMENDATIONS (42): Implementation status of WEAG as at November 2020 vs 2021</a:t>
            </a:r>
          </a:p>
        </c:rich>
      </c:tx>
      <c:layout>
        <c:manualLayout>
          <c:xMode val="edge"/>
          <c:yMode val="edge"/>
          <c:x val="0.13818385073781472"/>
          <c:y val="6.3234986021825038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793234680322775"/>
          <c:y val="0.18487548302257506"/>
          <c:w val="0.4780993363133792"/>
          <c:h val="0.65578487169483679"/>
        </c:manualLayout>
      </c:layout>
      <c:barChart>
        <c:barDir val="col"/>
        <c:grouping val="stacked"/>
        <c:varyColors val="0"/>
        <c:ser>
          <c:idx val="3"/>
          <c:order val="0"/>
          <c:tx>
            <c:strRef>
              <c:f>Sheet1!$N$10</c:f>
              <c:strCache>
                <c:ptCount val="1"/>
                <c:pt idx="0">
                  <c:v>Full</c:v>
                </c:pt>
              </c:strCache>
            </c:strRef>
          </c:tx>
          <c:spPr>
            <a:solidFill>
              <a:srgbClr val="00B050"/>
            </a:solidFill>
            <a:ln>
              <a:noFill/>
            </a:ln>
            <a:effectLst/>
          </c:spPr>
          <c:invertIfNegative val="0"/>
          <c:cat>
            <c:numRef>
              <c:f>Sheet1!$O$6:$P$6</c:f>
              <c:numCache>
                <c:formatCode>General</c:formatCode>
                <c:ptCount val="2"/>
                <c:pt idx="0">
                  <c:v>2020</c:v>
                </c:pt>
                <c:pt idx="1">
                  <c:v>2021</c:v>
                </c:pt>
              </c:numCache>
            </c:numRef>
          </c:cat>
          <c:val>
            <c:numRef>
              <c:f>Sheet1!$O$10:$P$10</c:f>
              <c:numCache>
                <c:formatCode>General</c:formatCode>
                <c:ptCount val="2"/>
                <c:pt idx="0">
                  <c:v>0</c:v>
                </c:pt>
                <c:pt idx="1">
                  <c:v>0</c:v>
                </c:pt>
              </c:numCache>
            </c:numRef>
          </c:val>
          <c:extLst>
            <c:ext xmlns:c16="http://schemas.microsoft.com/office/drawing/2014/chart" uri="{C3380CC4-5D6E-409C-BE32-E72D297353CC}">
              <c16:uniqueId val="{00000000-253C-4388-98F9-479026A14B9C}"/>
            </c:ext>
          </c:extLst>
        </c:ser>
        <c:ser>
          <c:idx val="2"/>
          <c:order val="1"/>
          <c:tx>
            <c:strRef>
              <c:f>Sheet1!$N$9</c:f>
              <c:strCache>
                <c:ptCount val="1"/>
                <c:pt idx="0">
                  <c:v>Partial</c:v>
                </c:pt>
              </c:strCache>
            </c:strRef>
          </c:tx>
          <c:spPr>
            <a:solidFill>
              <a:srgbClr val="FFFF00"/>
            </a:solidFill>
            <a:ln>
              <a:noFill/>
            </a:ln>
            <a:effectLst/>
          </c:spPr>
          <c:invertIfNegative val="0"/>
          <c:dPt>
            <c:idx val="0"/>
            <c:invertIfNegative val="0"/>
            <c:bubble3D val="0"/>
            <c:spPr>
              <a:solidFill>
                <a:srgbClr val="FFFF81"/>
              </a:solidFill>
              <a:ln>
                <a:noFill/>
              </a:ln>
              <a:effectLst/>
            </c:spPr>
            <c:extLst>
              <c:ext xmlns:c16="http://schemas.microsoft.com/office/drawing/2014/chart" uri="{C3380CC4-5D6E-409C-BE32-E72D297353CC}">
                <c16:uniqueId val="{00000002-253C-4388-98F9-479026A14B9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Sheet1!$O$6:$P$6</c:f>
              <c:numCache>
                <c:formatCode>General</c:formatCode>
                <c:ptCount val="2"/>
                <c:pt idx="0">
                  <c:v>2020</c:v>
                </c:pt>
                <c:pt idx="1">
                  <c:v>2021</c:v>
                </c:pt>
              </c:numCache>
            </c:numRef>
          </c:cat>
          <c:val>
            <c:numRef>
              <c:f>Sheet1!$O$9:$P$9</c:f>
              <c:numCache>
                <c:formatCode>General</c:formatCode>
                <c:ptCount val="2"/>
                <c:pt idx="0">
                  <c:v>7</c:v>
                </c:pt>
                <c:pt idx="1">
                  <c:v>12</c:v>
                </c:pt>
              </c:numCache>
            </c:numRef>
          </c:val>
          <c:extLst>
            <c:ext xmlns:c16="http://schemas.microsoft.com/office/drawing/2014/chart" uri="{C3380CC4-5D6E-409C-BE32-E72D297353CC}">
              <c16:uniqueId val="{00000003-253C-4388-98F9-479026A14B9C}"/>
            </c:ext>
          </c:extLst>
        </c:ser>
        <c:ser>
          <c:idx val="1"/>
          <c:order val="2"/>
          <c:tx>
            <c:strRef>
              <c:f>Sheet1!$N$8</c:f>
              <c:strCache>
                <c:ptCount val="1"/>
                <c:pt idx="0">
                  <c:v>Minimal</c:v>
                </c:pt>
              </c:strCache>
            </c:strRef>
          </c:tx>
          <c:spPr>
            <a:solidFill>
              <a:srgbClr val="FFC000"/>
            </a:solidFill>
            <a:ln>
              <a:noFill/>
            </a:ln>
            <a:effectLst/>
          </c:spPr>
          <c:invertIfNegative val="0"/>
          <c:dPt>
            <c:idx val="0"/>
            <c:invertIfNegative val="0"/>
            <c:bubble3D val="0"/>
            <c:spPr>
              <a:solidFill>
                <a:srgbClr val="FFCB25"/>
              </a:solidFill>
              <a:ln>
                <a:noFill/>
              </a:ln>
              <a:effectLst/>
            </c:spPr>
            <c:extLst>
              <c:ext xmlns:c16="http://schemas.microsoft.com/office/drawing/2014/chart" uri="{C3380CC4-5D6E-409C-BE32-E72D297353CC}">
                <c16:uniqueId val="{00000005-253C-4388-98F9-479026A14B9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Sheet1!$O$6:$P$6</c:f>
              <c:numCache>
                <c:formatCode>General</c:formatCode>
                <c:ptCount val="2"/>
                <c:pt idx="0">
                  <c:v>2020</c:v>
                </c:pt>
                <c:pt idx="1">
                  <c:v>2021</c:v>
                </c:pt>
              </c:numCache>
            </c:numRef>
          </c:cat>
          <c:val>
            <c:numRef>
              <c:f>Sheet1!$O$8:$P$8</c:f>
              <c:numCache>
                <c:formatCode>General</c:formatCode>
                <c:ptCount val="2"/>
                <c:pt idx="0">
                  <c:v>12</c:v>
                </c:pt>
                <c:pt idx="1">
                  <c:v>10</c:v>
                </c:pt>
              </c:numCache>
            </c:numRef>
          </c:val>
          <c:extLst>
            <c:ext xmlns:c16="http://schemas.microsoft.com/office/drawing/2014/chart" uri="{C3380CC4-5D6E-409C-BE32-E72D297353CC}">
              <c16:uniqueId val="{00000006-253C-4388-98F9-479026A14B9C}"/>
            </c:ext>
          </c:extLst>
        </c:ser>
        <c:ser>
          <c:idx val="0"/>
          <c:order val="3"/>
          <c:tx>
            <c:strRef>
              <c:f>Sheet1!$N$7</c:f>
              <c:strCache>
                <c:ptCount val="1"/>
                <c:pt idx="0">
                  <c:v>No evidence of implementation</c:v>
                </c:pt>
              </c:strCache>
            </c:strRef>
          </c:tx>
          <c:spPr>
            <a:solidFill>
              <a:srgbClr val="FF3737"/>
            </a:solidFill>
            <a:ln>
              <a:noFill/>
            </a:ln>
            <a:effectLst/>
          </c:spPr>
          <c:invertIfNegative val="0"/>
          <c:dPt>
            <c:idx val="0"/>
            <c:invertIfNegative val="0"/>
            <c:bubble3D val="0"/>
            <c:spPr>
              <a:solidFill>
                <a:srgbClr val="FF6161"/>
              </a:solidFill>
              <a:ln>
                <a:noFill/>
              </a:ln>
              <a:effectLst/>
            </c:spPr>
            <c:extLst>
              <c:ext xmlns:c16="http://schemas.microsoft.com/office/drawing/2014/chart" uri="{C3380CC4-5D6E-409C-BE32-E72D297353CC}">
                <c16:uniqueId val="{00000008-253C-4388-98F9-479026A14B9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Sheet1!$O$6:$P$6</c:f>
              <c:numCache>
                <c:formatCode>General</c:formatCode>
                <c:ptCount val="2"/>
                <c:pt idx="0">
                  <c:v>2020</c:v>
                </c:pt>
                <c:pt idx="1">
                  <c:v>2021</c:v>
                </c:pt>
              </c:numCache>
            </c:numRef>
          </c:cat>
          <c:val>
            <c:numRef>
              <c:f>Sheet1!$O$7:$P$7</c:f>
              <c:numCache>
                <c:formatCode>General</c:formatCode>
                <c:ptCount val="2"/>
                <c:pt idx="0">
                  <c:v>23</c:v>
                </c:pt>
                <c:pt idx="1">
                  <c:v>20</c:v>
                </c:pt>
              </c:numCache>
            </c:numRef>
          </c:val>
          <c:extLst>
            <c:ext xmlns:c16="http://schemas.microsoft.com/office/drawing/2014/chart" uri="{C3380CC4-5D6E-409C-BE32-E72D297353CC}">
              <c16:uniqueId val="{00000009-253C-4388-98F9-479026A14B9C}"/>
            </c:ext>
          </c:extLst>
        </c:ser>
        <c:dLbls>
          <c:showLegendKey val="0"/>
          <c:showVal val="0"/>
          <c:showCatName val="0"/>
          <c:showSerName val="0"/>
          <c:showPercent val="0"/>
          <c:showBubbleSize val="0"/>
        </c:dLbls>
        <c:gapWidth val="0"/>
        <c:overlap val="100"/>
        <c:axId val="487029112"/>
        <c:axId val="487032312"/>
      </c:barChart>
      <c:catAx>
        <c:axId val="48702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87032312"/>
        <c:crosses val="autoZero"/>
        <c:auto val="1"/>
        <c:lblAlgn val="ctr"/>
        <c:lblOffset val="100"/>
        <c:noMultiLvlLbl val="0"/>
      </c:catAx>
      <c:valAx>
        <c:axId val="487032312"/>
        <c:scaling>
          <c:orientation val="minMax"/>
          <c:max val="4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02911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2019</c:v>
          </c:tx>
          <c:spPr>
            <a:solidFill>
              <a:srgbClr val="C00000"/>
            </a:solidFill>
            <a:ln>
              <a:noFill/>
            </a:ln>
            <a:effectLst/>
          </c:spPr>
          <c:invertIfNegative val="0"/>
          <c:cat>
            <c:strRef>
              <c:f>('Benefit rates only'!$G$11:$G$12,'Benefit rates only'!$G$14:$G$15)</c:f>
              <c:strCache>
                <c:ptCount val="4"/>
                <c:pt idx="0">
                  <c:v>SLP</c:v>
                </c:pt>
                <c:pt idx="1">
                  <c:v>SLP couple no ch, each</c:v>
                </c:pt>
                <c:pt idx="2">
                  <c:v>JSS</c:v>
                </c:pt>
                <c:pt idx="3">
                  <c:v>JSS couple no ch, each</c:v>
                </c:pt>
              </c:strCache>
              <c:extLst/>
            </c:strRef>
          </c:cat>
          <c:val>
            <c:numRef>
              <c:f>('Benefit rates only'!$H$11:$H$12,'Benefit rates only'!$H$14:$H$15)</c:f>
              <c:numCache>
                <c:formatCode>0%</c:formatCode>
                <c:ptCount val="4"/>
                <c:pt idx="0">
                  <c:v>0.3116550968213373</c:v>
                </c:pt>
                <c:pt idx="1">
                  <c:v>0.3373087210067085</c:v>
                </c:pt>
                <c:pt idx="2">
                  <c:v>0.43848753310804645</c:v>
                </c:pt>
                <c:pt idx="3">
                  <c:v>0.4687345865073711</c:v>
                </c:pt>
              </c:numCache>
              <c:extLst/>
            </c:numRef>
          </c:val>
          <c:extLst>
            <c:ext xmlns:c16="http://schemas.microsoft.com/office/drawing/2014/chart" uri="{C3380CC4-5D6E-409C-BE32-E72D297353CC}">
              <c16:uniqueId val="{00000000-6A79-4FB2-BE84-E304A9838532}"/>
            </c:ext>
          </c:extLst>
        </c:ser>
        <c:ser>
          <c:idx val="1"/>
          <c:order val="1"/>
          <c:tx>
            <c:v>Nov-21</c:v>
          </c:tx>
          <c:spPr>
            <a:solidFill>
              <a:srgbClr val="FF0000"/>
            </a:solidFill>
            <a:ln>
              <a:noFill/>
            </a:ln>
            <a:effectLst/>
          </c:spPr>
          <c:invertIfNegative val="0"/>
          <c:cat>
            <c:strRef>
              <c:f>('Benefit rates only'!$G$11:$G$12,'Benefit rates only'!$G$14:$G$15)</c:f>
              <c:strCache>
                <c:ptCount val="4"/>
                <c:pt idx="0">
                  <c:v>SLP</c:v>
                </c:pt>
                <c:pt idx="1">
                  <c:v>SLP couple no ch, each</c:v>
                </c:pt>
                <c:pt idx="2">
                  <c:v>JSS</c:v>
                </c:pt>
                <c:pt idx="3">
                  <c:v>JSS couple no ch, each</c:v>
                </c:pt>
              </c:strCache>
              <c:extLst/>
            </c:strRef>
          </c:cat>
          <c:val>
            <c:numRef>
              <c:f>('Benefit rates only'!$I$11:$I$12,'Benefit rates only'!$I$14:$I$15)</c:f>
              <c:numCache>
                <c:formatCode>0%</c:formatCode>
                <c:ptCount val="4"/>
                <c:pt idx="0">
                  <c:v>0.13342042507054805</c:v>
                </c:pt>
                <c:pt idx="1">
                  <c:v>0.17764979656337393</c:v>
                </c:pt>
                <c:pt idx="2">
                  <c:v>0.2021552549371633</c:v>
                </c:pt>
                <c:pt idx="3">
                  <c:v>0.25587900533486141</c:v>
                </c:pt>
              </c:numCache>
              <c:extLst/>
            </c:numRef>
          </c:val>
          <c:extLst>
            <c:ext xmlns:c16="http://schemas.microsoft.com/office/drawing/2014/chart" uri="{C3380CC4-5D6E-409C-BE32-E72D297353CC}">
              <c16:uniqueId val="{00000001-6A79-4FB2-BE84-E304A9838532}"/>
            </c:ext>
          </c:extLst>
        </c:ser>
        <c:ser>
          <c:idx val="2"/>
          <c:order val="2"/>
          <c:tx>
            <c:v>Apr 2022 (est)</c:v>
          </c:tx>
          <c:spPr>
            <a:solidFill>
              <a:srgbClr val="FC6064"/>
            </a:solidFill>
            <a:ln>
              <a:noFill/>
            </a:ln>
            <a:effectLst/>
          </c:spPr>
          <c:invertIfNegative val="0"/>
          <c:cat>
            <c:strRef>
              <c:f>('Benefit rates only'!$G$11:$G$12,'Benefit rates only'!$G$14:$G$15)</c:f>
              <c:strCache>
                <c:ptCount val="4"/>
                <c:pt idx="0">
                  <c:v>SLP</c:v>
                </c:pt>
                <c:pt idx="1">
                  <c:v>SLP couple no ch, each</c:v>
                </c:pt>
                <c:pt idx="2">
                  <c:v>JSS</c:v>
                </c:pt>
                <c:pt idx="3">
                  <c:v>JSS couple no ch, each</c:v>
                </c:pt>
              </c:strCache>
              <c:extLst/>
            </c:strRef>
          </c:cat>
          <c:val>
            <c:numRef>
              <c:f>('Benefit rates only'!$J$11:$J$12,'Benefit rates only'!$J$14:$J$15)</c:f>
              <c:numCache>
                <c:formatCode>0%</c:formatCode>
                <c:ptCount val="4"/>
                <c:pt idx="0">
                  <c:v>9.4743637000000006E-2</c:v>
                </c:pt>
                <c:pt idx="1">
                  <c:v>9.4743636999999686E-2</c:v>
                </c:pt>
                <c:pt idx="2">
                  <c:v>9.4743637000000033E-2</c:v>
                </c:pt>
                <c:pt idx="3">
                  <c:v>9.4743636999999811E-2</c:v>
                </c:pt>
              </c:numCache>
              <c:extLst/>
            </c:numRef>
          </c:val>
          <c:extLst>
            <c:ext xmlns:c16="http://schemas.microsoft.com/office/drawing/2014/chart" uri="{C3380CC4-5D6E-409C-BE32-E72D297353CC}">
              <c16:uniqueId val="{00000002-6A79-4FB2-BE84-E304A9838532}"/>
            </c:ext>
          </c:extLst>
        </c:ser>
        <c:dLbls>
          <c:showLegendKey val="0"/>
          <c:showVal val="0"/>
          <c:showCatName val="0"/>
          <c:showSerName val="0"/>
          <c:showPercent val="0"/>
          <c:showBubbleSize val="0"/>
        </c:dLbls>
        <c:gapWidth val="219"/>
        <c:axId val="695782224"/>
        <c:axId val="557391032"/>
      </c:barChart>
      <c:catAx>
        <c:axId val="69578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91032"/>
        <c:crosses val="autoZero"/>
        <c:auto val="1"/>
        <c:lblAlgn val="ctr"/>
        <c:lblOffset val="100"/>
        <c:noMultiLvlLbl val="0"/>
      </c:catAx>
      <c:valAx>
        <c:axId val="557391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782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'benefit rates FTC JM'!$J$42</c:f>
              <c:strCache>
                <c:ptCount val="1"/>
                <c:pt idx="0">
                  <c:v>WFF + benefit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'benefit rates FTC JM'!$K$40:$L$40</c:f>
              <c:strCache>
                <c:ptCount val="2"/>
                <c:pt idx="0">
                  <c:v>Actual</c:v>
                </c:pt>
                <c:pt idx="1">
                  <c:v>WEAG recommendations (wage-adjusted)</c:v>
                </c:pt>
              </c:strCache>
            </c:strRef>
          </c:cat>
          <c:val>
            <c:numRef>
              <c:f>'benefit rates FTC JM'!$K$42:$L$42</c:f>
              <c:numCache>
                <c:formatCode>_("$"* #,##0_);_("$"* \(#,##0\);_("$"* "-"??_);_(@_)</c:formatCode>
                <c:ptCount val="2"/>
                <c:pt idx="0">
                  <c:v>769.89</c:v>
                </c:pt>
                <c:pt idx="1">
                  <c:v>858.27901140799986</c:v>
                </c:pt>
              </c:numCache>
            </c:numRef>
          </c:val>
          <c:extLst>
            <c:ext xmlns:c16="http://schemas.microsoft.com/office/drawing/2014/chart" uri="{C3380CC4-5D6E-409C-BE32-E72D297353CC}">
              <c16:uniqueId val="{00000000-17B6-4445-987B-624715C44678}"/>
            </c:ext>
          </c:extLst>
        </c:ser>
        <c:ser>
          <c:idx val="0"/>
          <c:order val="1"/>
          <c:tx>
            <c:strRef>
              <c:f>'benefit rates FTC JM'!$J$41</c:f>
              <c:strCache>
                <c:ptCount val="1"/>
                <c:pt idx="0">
                  <c:v>benefit</c:v>
                </c:pt>
              </c:strCache>
            </c:strRef>
          </c:tx>
          <c:spPr>
            <a:solidFill>
              <a:schemeClr val="accent1"/>
            </a:solidFill>
            <a:ln>
              <a:noFill/>
            </a:ln>
            <a:effectLst/>
          </c:spPr>
          <c:invertIfNegative val="0"/>
          <c:dLbls>
            <c:dLbl>
              <c:idx val="0"/>
              <c:layout>
                <c:manualLayout>
                  <c:x val="0"/>
                  <c:y val="0.102501025010250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B6-4445-987B-624715C44678}"/>
                </c:ext>
              </c:extLst>
            </c:dLbl>
            <c:dLbl>
              <c:idx val="1"/>
              <c:layout>
                <c:manualLayout>
                  <c:x val="0"/>
                  <c:y val="9.430094300943002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B6-4445-987B-624715C446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'benefit rates FTC JM'!$K$40:$L$40</c:f>
              <c:strCache>
                <c:ptCount val="2"/>
                <c:pt idx="0">
                  <c:v>Actual</c:v>
                </c:pt>
                <c:pt idx="1">
                  <c:v>WEAG recommendations (wage-adjusted)</c:v>
                </c:pt>
              </c:strCache>
            </c:strRef>
          </c:cat>
          <c:val>
            <c:numRef>
              <c:f>'benefit rates FTC JM'!$K$41:$L$41</c:f>
              <c:numCache>
                <c:formatCode>_("$"* #,##0_);_("$"* \(#,##0\);_("$"* "-"??_);_(@_)</c:formatCode>
                <c:ptCount val="2"/>
                <c:pt idx="0">
                  <c:v>434</c:v>
                </c:pt>
                <c:pt idx="1">
                  <c:v>409.43412023799988</c:v>
                </c:pt>
              </c:numCache>
            </c:numRef>
          </c:val>
          <c:extLst>
            <c:ext xmlns:c16="http://schemas.microsoft.com/office/drawing/2014/chart" uri="{C3380CC4-5D6E-409C-BE32-E72D297353CC}">
              <c16:uniqueId val="{00000003-17B6-4445-987B-624715C44678}"/>
            </c:ext>
          </c:extLst>
        </c:ser>
        <c:dLbls>
          <c:showLegendKey val="0"/>
          <c:showVal val="0"/>
          <c:showCatName val="0"/>
          <c:showSerName val="0"/>
          <c:showPercent val="0"/>
          <c:showBubbleSize val="0"/>
        </c:dLbls>
        <c:gapWidth val="108"/>
        <c:overlap val="100"/>
        <c:axId val="782997192"/>
        <c:axId val="782997832"/>
      </c:barChart>
      <c:catAx>
        <c:axId val="78299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997832"/>
        <c:crosses val="autoZero"/>
        <c:auto val="1"/>
        <c:lblAlgn val="ctr"/>
        <c:lblOffset val="100"/>
        <c:noMultiLvlLbl val="0"/>
      </c:catAx>
      <c:valAx>
        <c:axId val="782997832"/>
        <c:scaling>
          <c:orientation val="minMax"/>
          <c:max val="88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997192"/>
        <c:crosses val="autoZero"/>
        <c:crossBetween val="between"/>
      </c:valAx>
      <c:spPr>
        <a:noFill/>
        <a:ln>
          <a:noFill/>
        </a:ln>
        <a:effectLst/>
      </c:spPr>
    </c:plotArea>
    <c:legend>
      <c:legendPos val="r"/>
      <c:layout>
        <c:manualLayout>
          <c:xMode val="edge"/>
          <c:yMode val="edge"/>
          <c:x val="0.74693317181506158"/>
          <c:y val="0.35262354198345131"/>
          <c:w val="0.21460528972339996"/>
          <c:h val="0.138377352277459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'benefit rates FTC JM'!$G$21</c:f>
              <c:strCache>
                <c:ptCount val="1"/>
                <c:pt idx="0">
                  <c:v>2019</c:v>
                </c:pt>
              </c:strCache>
            </c:strRef>
          </c:tx>
          <c:spPr>
            <a:solidFill>
              <a:srgbClr val="C00000"/>
            </a:solidFill>
            <a:ln>
              <a:noFill/>
            </a:ln>
            <a:effectLst/>
          </c:spPr>
          <c:invertIfNegative val="0"/>
          <c:cat>
            <c:strRef>
              <c:f>('benefit rates FTC JM'!$F$24:$F$25,'benefit rates FTC JM'!$F$28:$F$29)</c:f>
              <c:strCache>
                <c:ptCount val="4"/>
                <c:pt idx="0">
                  <c:v>SLP SP, 3 ch</c:v>
                </c:pt>
                <c:pt idx="1">
                  <c:v>SPS, 3 ch</c:v>
                </c:pt>
                <c:pt idx="2">
                  <c:v>SLP couple, 3 ch</c:v>
                </c:pt>
                <c:pt idx="3">
                  <c:v>JSS couple, 3 ch</c:v>
                </c:pt>
              </c:strCache>
              <c:extLst/>
            </c:strRef>
          </c:cat>
          <c:val>
            <c:numRef>
              <c:f>('benefit rates FTC JM'!$G$24:$G$25,'benefit rates FTC JM'!$G$28:$G$29)</c:f>
              <c:numCache>
                <c:formatCode>_("$"* #,##0_);_("$"* \(#,##0\);_("$"* "-"??_);_(@_)</c:formatCode>
                <c:ptCount val="4"/>
                <c:pt idx="0">
                  <c:v>128.39999999999998</c:v>
                </c:pt>
                <c:pt idx="1">
                  <c:v>149.30999999999995</c:v>
                </c:pt>
                <c:pt idx="2">
                  <c:v>242.79999999999995</c:v>
                </c:pt>
                <c:pt idx="3">
                  <c:v>260</c:v>
                </c:pt>
              </c:numCache>
              <c:extLst/>
            </c:numRef>
          </c:val>
          <c:extLst>
            <c:ext xmlns:c16="http://schemas.microsoft.com/office/drawing/2014/chart" uri="{C3380CC4-5D6E-409C-BE32-E72D297353CC}">
              <c16:uniqueId val="{00000000-F4CA-4A4A-8C1A-EB8D630A5D6A}"/>
            </c:ext>
          </c:extLst>
        </c:ser>
        <c:ser>
          <c:idx val="1"/>
          <c:order val="1"/>
          <c:tx>
            <c:strRef>
              <c:f>'benefit rates FTC JM'!$H$21</c:f>
              <c:strCache>
                <c:ptCount val="1"/>
                <c:pt idx="0">
                  <c:v>Nov-21</c:v>
                </c:pt>
              </c:strCache>
            </c:strRef>
          </c:tx>
          <c:spPr>
            <a:solidFill>
              <a:srgbClr val="FF0000"/>
            </a:solidFill>
            <a:ln>
              <a:noFill/>
            </a:ln>
            <a:effectLst/>
          </c:spPr>
          <c:invertIfNegative val="0"/>
          <c:cat>
            <c:strRef>
              <c:f>('benefit rates FTC JM'!$F$24:$F$25,'benefit rates FTC JM'!$F$28:$F$29)</c:f>
              <c:strCache>
                <c:ptCount val="4"/>
                <c:pt idx="0">
                  <c:v>SLP SP, 3 ch</c:v>
                </c:pt>
                <c:pt idx="1">
                  <c:v>SPS, 3 ch</c:v>
                </c:pt>
                <c:pt idx="2">
                  <c:v>SLP couple, 3 ch</c:v>
                </c:pt>
                <c:pt idx="3">
                  <c:v>JSS couple, 3 ch</c:v>
                </c:pt>
              </c:strCache>
              <c:extLst/>
            </c:strRef>
          </c:cat>
          <c:val>
            <c:numRef>
              <c:f>('benefit rates FTC JM'!$H$24:$H$25,'benefit rates FTC JM'!$H$28:$H$29)</c:f>
              <c:numCache>
                <c:formatCode>_("$"* #,##0_);_("$"* \(#,##0\);_("$"* "-"??_);_(@_)</c:formatCode>
                <c:ptCount val="4"/>
                <c:pt idx="0">
                  <c:v>109.27204110000002</c:v>
                </c:pt>
                <c:pt idx="1">
                  <c:v>131.5005936</c:v>
                </c:pt>
                <c:pt idx="2">
                  <c:v>210.87505799999985</c:v>
                </c:pt>
                <c:pt idx="3">
                  <c:v>229.1635733999999</c:v>
                </c:pt>
              </c:numCache>
              <c:extLst/>
            </c:numRef>
          </c:val>
          <c:extLst>
            <c:ext xmlns:c16="http://schemas.microsoft.com/office/drawing/2014/chart" uri="{C3380CC4-5D6E-409C-BE32-E72D297353CC}">
              <c16:uniqueId val="{00000001-F4CA-4A4A-8C1A-EB8D630A5D6A}"/>
            </c:ext>
          </c:extLst>
        </c:ser>
        <c:ser>
          <c:idx val="2"/>
          <c:order val="2"/>
          <c:tx>
            <c:strRef>
              <c:f>'benefit rates FTC JM'!$I$21</c:f>
              <c:strCache>
                <c:ptCount val="1"/>
                <c:pt idx="0">
                  <c:v>Est Apr 2022</c:v>
                </c:pt>
              </c:strCache>
            </c:strRef>
          </c:tx>
          <c:spPr>
            <a:solidFill>
              <a:srgbClr val="E88C95"/>
            </a:solidFill>
            <a:ln>
              <a:noFill/>
            </a:ln>
            <a:effectLst/>
          </c:spPr>
          <c:invertIfNegative val="0"/>
          <c:cat>
            <c:strRef>
              <c:f>('benefit rates FTC JM'!$F$24:$F$25,'benefit rates FTC JM'!$F$28:$F$29)</c:f>
              <c:strCache>
                <c:ptCount val="4"/>
                <c:pt idx="0">
                  <c:v>SLP SP, 3 ch</c:v>
                </c:pt>
                <c:pt idx="1">
                  <c:v>SPS, 3 ch</c:v>
                </c:pt>
                <c:pt idx="2">
                  <c:v>SLP couple, 3 ch</c:v>
                </c:pt>
                <c:pt idx="3">
                  <c:v>JSS couple, 3 ch</c:v>
                </c:pt>
              </c:strCache>
              <c:extLst/>
            </c:strRef>
          </c:cat>
          <c:val>
            <c:numRef>
              <c:f>('benefit rates FTC JM'!$I$24:$I$25,'benefit rates FTC JM'!$I$28:$I$29)</c:f>
              <c:numCache>
                <c:formatCode>_("$"* #,##0_);_("$"* \(#,##0\);_("$"* "-"??_);_(@_)</c:formatCode>
                <c:ptCount val="4"/>
                <c:pt idx="0">
                  <c:v>64.757602332999909</c:v>
                </c:pt>
                <c:pt idx="1">
                  <c:v>88.389011407999874</c:v>
                </c:pt>
                <c:pt idx="2">
                  <c:v>140.7485097399998</c:v>
                </c:pt>
                <c:pt idx="3">
                  <c:v>133.73748060199989</c:v>
                </c:pt>
              </c:numCache>
              <c:extLst/>
            </c:numRef>
          </c:val>
          <c:extLst>
            <c:ext xmlns:c16="http://schemas.microsoft.com/office/drawing/2014/chart" uri="{C3380CC4-5D6E-409C-BE32-E72D297353CC}">
              <c16:uniqueId val="{00000002-F4CA-4A4A-8C1A-EB8D630A5D6A}"/>
            </c:ext>
          </c:extLst>
        </c:ser>
        <c:dLbls>
          <c:showLegendKey val="0"/>
          <c:showVal val="0"/>
          <c:showCatName val="0"/>
          <c:showSerName val="0"/>
          <c:showPercent val="0"/>
          <c:showBubbleSize val="0"/>
        </c:dLbls>
        <c:gapWidth val="219"/>
        <c:overlap val="-27"/>
        <c:axId val="916499640"/>
        <c:axId val="916495480"/>
      </c:barChart>
      <c:catAx>
        <c:axId val="91649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495480"/>
        <c:crosses val="autoZero"/>
        <c:auto val="1"/>
        <c:lblAlgn val="ctr"/>
        <c:lblOffset val="100"/>
        <c:noMultiLvlLbl val="0"/>
      </c:catAx>
      <c:valAx>
        <c:axId val="916495480"/>
        <c:scaling>
          <c:orientation val="minMax"/>
          <c:max val="26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499640"/>
        <c:crosses val="autoZero"/>
        <c:crossBetween val="between"/>
      </c:valAx>
      <c:spPr>
        <a:noFill/>
        <a:ln>
          <a:noFill/>
        </a:ln>
        <a:effectLst/>
      </c:spPr>
    </c:plotArea>
    <c:legend>
      <c:legendPos val="r"/>
      <c:layout>
        <c:manualLayout>
          <c:xMode val="edge"/>
          <c:yMode val="edge"/>
          <c:x val="0.80461639569935273"/>
          <c:y val="0.35668476489458428"/>
          <c:w val="0.16378802768137396"/>
          <c:h val="0.27573722402346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'benefit rates FTC JM'!$G$21</c:f>
              <c:strCache>
                <c:ptCount val="1"/>
                <c:pt idx="0">
                  <c:v>2019</c:v>
                </c:pt>
              </c:strCache>
            </c:strRef>
          </c:tx>
          <c:spPr>
            <a:solidFill>
              <a:srgbClr val="C00000"/>
            </a:solidFill>
            <a:ln>
              <a:noFill/>
            </a:ln>
            <a:effectLst/>
          </c:spPr>
          <c:invertIfNegative val="0"/>
          <c:cat>
            <c:strRef>
              <c:f>('benefit rates FTC JM'!$F$22:$F$23,'benefit rates FTC JM'!$F$26:$F$27)</c:f>
              <c:strCache>
                <c:ptCount val="4"/>
                <c:pt idx="0">
                  <c:v>SLP SP, 1 ch</c:v>
                </c:pt>
                <c:pt idx="1">
                  <c:v>SPS, 1 ch</c:v>
                </c:pt>
                <c:pt idx="2">
                  <c:v>SLP couple, 1 ch</c:v>
                </c:pt>
                <c:pt idx="3">
                  <c:v>JSS couple, 1 ch</c:v>
                </c:pt>
              </c:strCache>
              <c:extLst/>
            </c:strRef>
          </c:cat>
          <c:val>
            <c:numRef>
              <c:f>('benefit rates FTC JM'!$G$22:$G$23,'benefit rates FTC JM'!$G$26:$G$27)</c:f>
              <c:numCache>
                <c:formatCode>_("$"* #,##0_);_("$"* \(#,##0\);_("$"* "-"??_);_(@_)</c:formatCode>
                <c:ptCount val="4"/>
                <c:pt idx="0">
                  <c:v>70.399999999999977</c:v>
                </c:pt>
                <c:pt idx="1">
                  <c:v>91.31</c:v>
                </c:pt>
                <c:pt idx="2">
                  <c:v>184.79999999999995</c:v>
                </c:pt>
                <c:pt idx="3">
                  <c:v>202</c:v>
                </c:pt>
              </c:numCache>
              <c:extLst/>
            </c:numRef>
          </c:val>
          <c:extLst>
            <c:ext xmlns:c16="http://schemas.microsoft.com/office/drawing/2014/chart" uri="{C3380CC4-5D6E-409C-BE32-E72D297353CC}">
              <c16:uniqueId val="{00000000-FA04-4C75-B734-C2A521B63B93}"/>
            </c:ext>
          </c:extLst>
        </c:ser>
        <c:ser>
          <c:idx val="1"/>
          <c:order val="1"/>
          <c:tx>
            <c:strRef>
              <c:f>'benefit rates FTC JM'!$H$21</c:f>
              <c:strCache>
                <c:ptCount val="1"/>
                <c:pt idx="0">
                  <c:v>Nov-21</c:v>
                </c:pt>
              </c:strCache>
            </c:strRef>
          </c:tx>
          <c:spPr>
            <a:solidFill>
              <a:srgbClr val="FF0000"/>
            </a:solidFill>
            <a:ln>
              <a:noFill/>
            </a:ln>
            <a:effectLst/>
          </c:spPr>
          <c:invertIfNegative val="0"/>
          <c:cat>
            <c:strRef>
              <c:f>('benefit rates FTC JM'!$F$22:$F$23,'benefit rates FTC JM'!$F$26:$F$27)</c:f>
              <c:strCache>
                <c:ptCount val="4"/>
                <c:pt idx="0">
                  <c:v>SLP SP, 1 ch</c:v>
                </c:pt>
                <c:pt idx="1">
                  <c:v>SPS, 1 ch</c:v>
                </c:pt>
                <c:pt idx="2">
                  <c:v>SLP couple, 1 ch</c:v>
                </c:pt>
                <c:pt idx="3">
                  <c:v>JSS couple, 1 ch</c:v>
                </c:pt>
              </c:strCache>
              <c:extLst/>
            </c:strRef>
          </c:cat>
          <c:val>
            <c:numRef>
              <c:f>('benefit rates FTC JM'!$H$22:$H$23,'benefit rates FTC JM'!$H$26:$H$27)</c:f>
              <c:numCache>
                <c:formatCode>_("$"* #,##0_);_("$"* \(#,##0\);_("$"* "-"??_);_(@_)</c:formatCode>
                <c:ptCount val="4"/>
                <c:pt idx="0">
                  <c:v>36.186145099999976</c:v>
                </c:pt>
                <c:pt idx="1">
                  <c:v>58.414697599999954</c:v>
                </c:pt>
                <c:pt idx="2">
                  <c:v>137.78916199999981</c:v>
                </c:pt>
                <c:pt idx="3">
                  <c:v>156.07767739999986</c:v>
                </c:pt>
              </c:numCache>
              <c:extLst/>
            </c:numRef>
          </c:val>
          <c:extLst>
            <c:ext xmlns:c16="http://schemas.microsoft.com/office/drawing/2014/chart" uri="{C3380CC4-5D6E-409C-BE32-E72D297353CC}">
              <c16:uniqueId val="{00000001-FA04-4C75-B734-C2A521B63B93}"/>
            </c:ext>
          </c:extLst>
        </c:ser>
        <c:ser>
          <c:idx val="2"/>
          <c:order val="2"/>
          <c:tx>
            <c:strRef>
              <c:f>'benefit rates FTC JM'!$I$21</c:f>
              <c:strCache>
                <c:ptCount val="1"/>
                <c:pt idx="0">
                  <c:v>Est Apr 2022</c:v>
                </c:pt>
              </c:strCache>
            </c:strRef>
          </c:tx>
          <c:spPr>
            <a:solidFill>
              <a:srgbClr val="E88C95"/>
            </a:solidFill>
            <a:ln>
              <a:noFill/>
            </a:ln>
            <a:effectLst/>
          </c:spPr>
          <c:invertIfNegative val="0"/>
          <c:cat>
            <c:strRef>
              <c:f>('benefit rates FTC JM'!$F$22:$F$23,'benefit rates FTC JM'!$F$26:$F$27)</c:f>
              <c:strCache>
                <c:ptCount val="4"/>
                <c:pt idx="0">
                  <c:v>SLP SP, 1 ch</c:v>
                </c:pt>
                <c:pt idx="1">
                  <c:v>SPS, 1 ch</c:v>
                </c:pt>
                <c:pt idx="2">
                  <c:v>SLP couple, 1 ch</c:v>
                </c:pt>
                <c:pt idx="3">
                  <c:v>JSS couple, 1 ch</c:v>
                </c:pt>
              </c:strCache>
              <c:extLst/>
            </c:strRef>
          </c:cat>
          <c:val>
            <c:numRef>
              <c:f>('benefit rates FTC JM'!$I$22:$I$23,'benefit rates FTC JM'!$I$26:$I$27)</c:f>
              <c:numCache>
                <c:formatCode>_("$"* #,##0_);_("$"* \(#,##0\);_("$"* "-"??_);_(@_)</c:formatCode>
                <c:ptCount val="4"/>
                <c:pt idx="0">
                  <c:v>10.179129452999859</c:v>
                </c:pt>
                <c:pt idx="1">
                  <c:v>33.810538527999825</c:v>
                </c:pt>
                <c:pt idx="2">
                  <c:v>86.170036859999755</c:v>
                </c:pt>
                <c:pt idx="3">
                  <c:v>79.159007721999842</c:v>
                </c:pt>
              </c:numCache>
              <c:extLst/>
            </c:numRef>
          </c:val>
          <c:extLst>
            <c:ext xmlns:c16="http://schemas.microsoft.com/office/drawing/2014/chart" uri="{C3380CC4-5D6E-409C-BE32-E72D297353CC}">
              <c16:uniqueId val="{00000002-FA04-4C75-B734-C2A521B63B93}"/>
            </c:ext>
          </c:extLst>
        </c:ser>
        <c:dLbls>
          <c:showLegendKey val="0"/>
          <c:showVal val="0"/>
          <c:showCatName val="0"/>
          <c:showSerName val="0"/>
          <c:showPercent val="0"/>
          <c:showBubbleSize val="0"/>
        </c:dLbls>
        <c:gapWidth val="219"/>
        <c:overlap val="-27"/>
        <c:axId val="916499640"/>
        <c:axId val="916495480"/>
      </c:barChart>
      <c:catAx>
        <c:axId val="91649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495480"/>
        <c:crosses val="autoZero"/>
        <c:auto val="1"/>
        <c:lblAlgn val="ctr"/>
        <c:lblOffset val="100"/>
        <c:noMultiLvlLbl val="0"/>
      </c:catAx>
      <c:valAx>
        <c:axId val="916495480"/>
        <c:scaling>
          <c:orientation val="minMax"/>
          <c:max val="21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499640"/>
        <c:crosses val="autoZero"/>
        <c:crossBetween val="between"/>
      </c:valAx>
      <c:spPr>
        <a:noFill/>
        <a:ln>
          <a:noFill/>
        </a:ln>
        <a:effectLst/>
      </c:spPr>
    </c:plotArea>
    <c:legend>
      <c:legendPos val="r"/>
      <c:layout>
        <c:manualLayout>
          <c:xMode val="edge"/>
          <c:yMode val="edge"/>
          <c:x val="0.79112159041828622"/>
          <c:y val="0.33258811398575178"/>
          <c:w val="0.1640471859530217"/>
          <c:h val="0.334823772028496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ADD4DDAAAAEA439446F31CB813A556" ma:contentTypeVersion="12" ma:contentTypeDescription="Create a new document." ma:contentTypeScope="" ma:versionID="3a046fdb3bc5ab0cb07797a03d0af1ed">
  <xsd:schema xmlns:xsd="http://www.w3.org/2001/XMLSchema" xmlns:xs="http://www.w3.org/2001/XMLSchema" xmlns:p="http://schemas.microsoft.com/office/2006/metadata/properties" xmlns:ns2="88719e9f-afdb-4be4-b5d4-c74b1d7e1746" xmlns:ns3="394c6527-4d5e-41ec-897d-9eef77429e01" targetNamespace="http://schemas.microsoft.com/office/2006/metadata/properties" ma:root="true" ma:fieldsID="195c239483e9026f713578c26a1e8e6c" ns2:_="" ns3:_="">
    <xsd:import namespace="88719e9f-afdb-4be4-b5d4-c74b1d7e1746"/>
    <xsd:import namespace="394c6527-4d5e-41ec-897d-9eef77429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9e9f-afdb-4be4-b5d4-c74b1d7e1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4c6527-4d5e-41ec-897d-9eef77429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43424-2D33-419B-B61E-6292443ECADE}">
  <ds:schemaRefs>
    <ds:schemaRef ds:uri="http://schemas.microsoft.com/sharepoint/v3/contenttype/forms"/>
  </ds:schemaRefs>
</ds:datastoreItem>
</file>

<file path=customXml/itemProps2.xml><?xml version="1.0" encoding="utf-8"?>
<ds:datastoreItem xmlns:ds="http://schemas.openxmlformats.org/officeDocument/2006/customXml" ds:itemID="{398E94D3-3D74-44EA-B3B3-E08EF59CA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9e9f-afdb-4be4-b5d4-c74b1d7e1746"/>
    <ds:schemaRef ds:uri="394c6527-4d5e-41ec-897d-9eef77429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F0532-A55D-4352-B6EF-A81D4942DF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75B0D5-811E-4976-B2C6-B5530D81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37214</Words>
  <Characters>212121</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248838</CharactersWithSpaces>
  <SharedDoc>false</SharedDoc>
  <HLinks>
    <vt:vector size="918" baseType="variant">
      <vt:variant>
        <vt:i4>7274595</vt:i4>
      </vt:variant>
      <vt:variant>
        <vt:i4>546</vt:i4>
      </vt:variant>
      <vt:variant>
        <vt:i4>0</vt:i4>
      </vt:variant>
      <vt:variant>
        <vt:i4>5</vt:i4>
      </vt:variant>
      <vt:variant>
        <vt:lpwstr>https://www.workandincome.govt.nz/documents/forms/youth-payment-application.pdf</vt:lpwstr>
      </vt:variant>
      <vt:variant>
        <vt:lpwstr/>
      </vt:variant>
      <vt:variant>
        <vt:i4>3211382</vt:i4>
      </vt:variant>
      <vt:variant>
        <vt:i4>543</vt:i4>
      </vt:variant>
      <vt:variant>
        <vt:i4>0</vt:i4>
      </vt:variant>
      <vt:variant>
        <vt:i4>5</vt:i4>
      </vt:variant>
      <vt:variant>
        <vt:lpwstr>https://www.workandincome.govt.nz/map/income-support/main-benefits/sole-parent-support/shared-care.html</vt:lpwstr>
      </vt:variant>
      <vt:variant>
        <vt:lpwstr/>
      </vt:variant>
      <vt:variant>
        <vt:i4>3735590</vt:i4>
      </vt:variant>
      <vt:variant>
        <vt:i4>540</vt:i4>
      </vt:variant>
      <vt:variant>
        <vt:i4>0</vt:i4>
      </vt:variant>
      <vt:variant>
        <vt:i4>5</vt:i4>
      </vt:variant>
      <vt:variant>
        <vt:lpwstr>https://workandincome.govt.nz/providers/programmes-and-projects/he-poutama-rangatahi-youth-employment-pathways.html</vt:lpwstr>
      </vt:variant>
      <vt:variant>
        <vt:lpwstr>null</vt:lpwstr>
      </vt:variant>
      <vt:variant>
        <vt:i4>7864424</vt:i4>
      </vt:variant>
      <vt:variant>
        <vt:i4>537</vt:i4>
      </vt:variant>
      <vt:variant>
        <vt:i4>0</vt:i4>
      </vt:variant>
      <vt:variant>
        <vt:i4>5</vt:i4>
      </vt:variant>
      <vt:variant>
        <vt:lpwstr>https://www.workandincome.govt.nz/about-work-and-income/news/2021/income-abatement-changes.html</vt:lpwstr>
      </vt:variant>
      <vt:variant>
        <vt:lpwstr/>
      </vt:variant>
      <vt:variant>
        <vt:i4>1900638</vt:i4>
      </vt:variant>
      <vt:variant>
        <vt:i4>534</vt:i4>
      </vt:variant>
      <vt:variant>
        <vt:i4>0</vt:i4>
      </vt:variant>
      <vt:variant>
        <vt:i4>5</vt:i4>
      </vt:variant>
      <vt:variant>
        <vt:lpwstr>https://www.workandincome.govt.nz/online-services/apply/what-is-a-stand-down.html</vt:lpwstr>
      </vt:variant>
      <vt:variant>
        <vt:lpwstr>null</vt:lpwstr>
      </vt:variant>
      <vt:variant>
        <vt:i4>8060962</vt:i4>
      </vt:variant>
      <vt:variant>
        <vt:i4>531</vt:i4>
      </vt:variant>
      <vt:variant>
        <vt:i4>0</vt:i4>
      </vt:variant>
      <vt:variant>
        <vt:i4>5</vt:i4>
      </vt:variant>
      <vt:variant>
        <vt:lpwstr>http://www.weag.govt.nz/assets/documents/WEAGreport/aed960c3ce/WEAG-Report.pdf</vt:lpwstr>
      </vt:variant>
      <vt:variant>
        <vt:lpwstr/>
      </vt:variant>
      <vt:variant>
        <vt:i4>7536697</vt:i4>
      </vt:variant>
      <vt:variant>
        <vt:i4>528</vt:i4>
      </vt:variant>
      <vt:variant>
        <vt:i4>0</vt:i4>
      </vt:variant>
      <vt:variant>
        <vt:i4>5</vt:i4>
      </vt:variant>
      <vt:variant>
        <vt:lpwstr>https://budget.govt.nz/information-release/2021/pdf/b21-t2020-3574-4381994.pdf</vt:lpwstr>
      </vt:variant>
      <vt:variant>
        <vt:lpwstr/>
      </vt:variant>
      <vt:variant>
        <vt:i4>4849687</vt:i4>
      </vt:variant>
      <vt:variant>
        <vt:i4>525</vt:i4>
      </vt:variant>
      <vt:variant>
        <vt:i4>0</vt:i4>
      </vt:variant>
      <vt:variant>
        <vt:i4>5</vt:i4>
      </vt:variant>
      <vt:variant>
        <vt:lpwstr>https://www.treasury.govt.nz/information-and-services/nz-economy/future-work-tripartite-forum</vt:lpwstr>
      </vt:variant>
      <vt:variant>
        <vt:lpwstr/>
      </vt:variant>
      <vt:variant>
        <vt:i4>4718603</vt:i4>
      </vt:variant>
      <vt:variant>
        <vt:i4>522</vt:i4>
      </vt:variant>
      <vt:variant>
        <vt:i4>0</vt:i4>
      </vt:variant>
      <vt:variant>
        <vt:i4>5</vt:i4>
      </vt:variant>
      <vt:variant>
        <vt:lpwstr>https://www.parliament.nz/en/pb/hansard-debates/rhr/document/HansS_20211111_050940000/7-question-no-7-social-development-and-employment</vt:lpwstr>
      </vt:variant>
      <vt:variant>
        <vt:lpwstr/>
      </vt:variant>
      <vt:variant>
        <vt:i4>917574</vt:i4>
      </vt:variant>
      <vt:variant>
        <vt:i4>519</vt:i4>
      </vt:variant>
      <vt:variant>
        <vt:i4>0</vt:i4>
      </vt:variant>
      <vt:variant>
        <vt:i4>5</vt:i4>
      </vt:variant>
      <vt:variant>
        <vt:lpwstr>https://www.tec.govt.nz/rove/workforce-development-councils/</vt:lpwstr>
      </vt:variant>
      <vt:variant>
        <vt:lpwstr/>
      </vt:variant>
      <vt:variant>
        <vt:i4>983055</vt:i4>
      </vt:variant>
      <vt:variant>
        <vt:i4>516</vt:i4>
      </vt:variant>
      <vt:variant>
        <vt:i4>0</vt:i4>
      </vt:variant>
      <vt:variant>
        <vt:i4>5</vt:i4>
      </vt:variant>
      <vt:variant>
        <vt:lpwstr>https://www.tec.govt.nz/rove/reform-of-vocational-education/</vt:lpwstr>
      </vt:variant>
      <vt:variant>
        <vt:lpwstr/>
      </vt:variant>
      <vt:variant>
        <vt:i4>7667774</vt:i4>
      </vt:variant>
      <vt:variant>
        <vt:i4>513</vt:i4>
      </vt:variant>
      <vt:variant>
        <vt:i4>0</vt:i4>
      </vt:variant>
      <vt:variant>
        <vt:i4>5</vt:i4>
      </vt:variant>
      <vt:variant>
        <vt:lpwstr>https://www.tec.govt.nz/funding/funding-and-performance/funding/fund-finder/targeted-training-and-apprenticeship-fund/</vt:lpwstr>
      </vt:variant>
      <vt:variant>
        <vt:lpwstr/>
      </vt:variant>
      <vt:variant>
        <vt:i4>2687075</vt:i4>
      </vt:variant>
      <vt:variant>
        <vt:i4>510</vt:i4>
      </vt:variant>
      <vt:variant>
        <vt:i4>0</vt:i4>
      </vt:variant>
      <vt:variant>
        <vt:i4>5</vt:i4>
      </vt:variant>
      <vt:variant>
        <vt:lpwstr>https://www.rnz.co.nz/national/programmes/checkpoint/audio/2018806504/disabled-people-in-relationships-paying-for-the-price-of-love</vt:lpwstr>
      </vt:variant>
      <vt:variant>
        <vt:lpwstr/>
      </vt:variant>
      <vt:variant>
        <vt:i4>6094870</vt:i4>
      </vt:variant>
      <vt:variant>
        <vt:i4>507</vt:i4>
      </vt:variant>
      <vt:variant>
        <vt:i4>0</vt:i4>
      </vt:variant>
      <vt:variant>
        <vt:i4>5</vt:i4>
      </vt:variant>
      <vt:variant>
        <vt:lpwstr>https://www.tenancy.govt.nz/rent-bond-and-bills/rent/increasing-rent/</vt:lpwstr>
      </vt:variant>
      <vt:variant>
        <vt:lpwstr/>
      </vt:variant>
      <vt:variant>
        <vt:i4>3080252</vt:i4>
      </vt:variant>
      <vt:variant>
        <vt:i4>504</vt:i4>
      </vt:variant>
      <vt:variant>
        <vt:i4>0</vt:i4>
      </vt:variant>
      <vt:variant>
        <vt:i4>5</vt:i4>
      </vt:variant>
      <vt:variant>
        <vt:lpwstr>https://www.teaomaori.news/great-dames-set-their-sights-on-social-welfare-ministry</vt:lpwstr>
      </vt:variant>
      <vt:variant>
        <vt:lpwstr/>
      </vt:variant>
      <vt:variant>
        <vt:i4>4653085</vt:i4>
      </vt:variant>
      <vt:variant>
        <vt:i4>501</vt:i4>
      </vt:variant>
      <vt:variant>
        <vt:i4>0</vt:i4>
      </vt:variant>
      <vt:variant>
        <vt:i4>5</vt:i4>
      </vt:variant>
      <vt:variant>
        <vt:lpwstr>https://www.scoop.co.nz/stories/PO2110/S00292/te-putahitanga-o-te-waipounamu-celebrates-changes-to-disability-system.htm</vt:lpwstr>
      </vt:variant>
      <vt:variant>
        <vt:lpwstr/>
      </vt:variant>
      <vt:variant>
        <vt:i4>4194327</vt:i4>
      </vt:variant>
      <vt:variant>
        <vt:i4>498</vt:i4>
      </vt:variant>
      <vt:variant>
        <vt:i4>0</vt:i4>
      </vt:variant>
      <vt:variant>
        <vt:i4>5</vt:i4>
      </vt:variant>
      <vt:variant>
        <vt:lpwstr>https://www.stats.govt.nz/information-releases/labour-market-statistics-disability-june-2021-quarter</vt:lpwstr>
      </vt:variant>
      <vt:variant>
        <vt:lpwstr/>
      </vt:variant>
      <vt:variant>
        <vt:i4>3801129</vt:i4>
      </vt:variant>
      <vt:variant>
        <vt:i4>495</vt:i4>
      </vt:variant>
      <vt:variant>
        <vt:i4>0</vt:i4>
      </vt:variant>
      <vt:variant>
        <vt:i4>5</vt:i4>
      </vt:variant>
      <vt:variant>
        <vt:lpwstr>https://www.stats.govt.nz/news/child-poverty-statistics-for-households-with-disabled-people-released-for-the-first-time</vt:lpwstr>
      </vt:variant>
      <vt:variant>
        <vt:lpwstr/>
      </vt:variant>
      <vt:variant>
        <vt:i4>4259863</vt:i4>
      </vt:variant>
      <vt:variant>
        <vt:i4>492</vt:i4>
      </vt:variant>
      <vt:variant>
        <vt:i4>0</vt:i4>
      </vt:variant>
      <vt:variant>
        <vt:i4>5</vt:i4>
      </vt:variant>
      <vt:variant>
        <vt:lpwstr>https://www.stats.govt.nz/information-releases/labour-market-statistics-disability-june-2020-quarter</vt:lpwstr>
      </vt:variant>
      <vt:variant>
        <vt:lpwstr/>
      </vt:variant>
      <vt:variant>
        <vt:i4>7405609</vt:i4>
      </vt:variant>
      <vt:variant>
        <vt:i4>489</vt:i4>
      </vt:variant>
      <vt:variant>
        <vt:i4>0</vt:i4>
      </vt:variant>
      <vt:variant>
        <vt:i4>5</vt:i4>
      </vt:variant>
      <vt:variant>
        <vt:lpwstr>https://www.scoop.co.nz/stories/AK2109/S00152/urgent-inquiry-needed-into-demeaning-and-inhumane-culture-at-msd.htm</vt:lpwstr>
      </vt:variant>
      <vt:variant>
        <vt:lpwstr/>
      </vt:variant>
      <vt:variant>
        <vt:i4>8126501</vt:i4>
      </vt:variant>
      <vt:variant>
        <vt:i4>486</vt:i4>
      </vt:variant>
      <vt:variant>
        <vt:i4>0</vt:i4>
      </vt:variant>
      <vt:variant>
        <vt:i4>5</vt:i4>
      </vt:variant>
      <vt:variant>
        <vt:lpwstr>https://www.rnz.co.nz/news/national/452621/advocates-welcome-less-intrusive-approach-from-msd-but-say-more-needs-to-be-done</vt:lpwstr>
      </vt:variant>
      <vt:variant>
        <vt:lpwstr/>
      </vt:variant>
      <vt:variant>
        <vt:i4>6815855</vt:i4>
      </vt:variant>
      <vt:variant>
        <vt:i4>483</vt:i4>
      </vt:variant>
      <vt:variant>
        <vt:i4>0</vt:i4>
      </vt:variant>
      <vt:variant>
        <vt:i4>5</vt:i4>
      </vt:variant>
      <vt:variant>
        <vt:lpwstr>https://www.treasury.govt.nz/sites/default/files/2021-05/b21-speech.pdf</vt:lpwstr>
      </vt:variant>
      <vt:variant>
        <vt:lpwstr/>
      </vt:variant>
      <vt:variant>
        <vt:i4>4718620</vt:i4>
      </vt:variant>
      <vt:variant>
        <vt:i4>480</vt:i4>
      </vt:variant>
      <vt:variant>
        <vt:i4>0</vt:i4>
      </vt:variant>
      <vt:variant>
        <vt:i4>5</vt:i4>
      </vt:variant>
      <vt:variant>
        <vt:lpwstr>https://www.rnz.co.nz/news/political/448942/rangatahi-and-maori-trades-and-training-intiatives-get-funding-boost</vt:lpwstr>
      </vt:variant>
      <vt:variant>
        <vt:lpwstr/>
      </vt:variant>
      <vt:variant>
        <vt:i4>393222</vt:i4>
      </vt:variant>
      <vt:variant>
        <vt:i4>477</vt:i4>
      </vt:variant>
      <vt:variant>
        <vt:i4>0</vt:i4>
      </vt:variant>
      <vt:variant>
        <vt:i4>5</vt:i4>
      </vt:variant>
      <vt:variant>
        <vt:lpwstr>https://www.rnz.co.nz/news/political/437079/progressive-home-ownership-scheme-houses-just-12-families-in-seven-months</vt:lpwstr>
      </vt:variant>
      <vt:variant>
        <vt:lpwstr/>
      </vt:variant>
      <vt:variant>
        <vt:i4>4653056</vt:i4>
      </vt:variant>
      <vt:variant>
        <vt:i4>474</vt:i4>
      </vt:variant>
      <vt:variant>
        <vt:i4>0</vt:i4>
      </vt:variant>
      <vt:variant>
        <vt:i4>5</vt:i4>
      </vt:variant>
      <vt:variant>
        <vt:lpwstr>https://www.rnz.co.nz/news/political/443226/working-for-families-next-on-the-list-after-benefits-rise-ardern-says</vt:lpwstr>
      </vt:variant>
      <vt:variant>
        <vt:lpwstr/>
      </vt:variant>
      <vt:variant>
        <vt:i4>4849740</vt:i4>
      </vt:variant>
      <vt:variant>
        <vt:i4>471</vt:i4>
      </vt:variant>
      <vt:variant>
        <vt:i4>0</vt:i4>
      </vt:variant>
      <vt:variant>
        <vt:i4>5</vt:i4>
      </vt:variant>
      <vt:variant>
        <vt:lpwstr>https://www.ngatangatamicrofinance.org.nz/news-media/research-shows-that-families-females-maori-and-pacific-people-hardest-hit-by-lockdowns/</vt:lpwstr>
      </vt:variant>
      <vt:variant>
        <vt:lpwstr/>
      </vt:variant>
      <vt:variant>
        <vt:i4>7274549</vt:i4>
      </vt:variant>
      <vt:variant>
        <vt:i4>468</vt:i4>
      </vt:variant>
      <vt:variant>
        <vt:i4>0</vt:i4>
      </vt:variant>
      <vt:variant>
        <vt:i4>5</vt:i4>
      </vt:variant>
      <vt:variant>
        <vt:lpwstr>https://www.beehive.govt.nz/release/employment-boost-rural-communities</vt:lpwstr>
      </vt:variant>
      <vt:variant>
        <vt:lpwstr/>
      </vt:variant>
      <vt:variant>
        <vt:i4>4259918</vt:i4>
      </vt:variant>
      <vt:variant>
        <vt:i4>465</vt:i4>
      </vt:variant>
      <vt:variant>
        <vt:i4>0</vt:i4>
      </vt:variant>
      <vt:variant>
        <vt:i4>5</vt:i4>
      </vt:variant>
      <vt:variant>
        <vt:lpwstr>https://www.beehive.govt.nz/release/government-continues-support-rangatahi-get-employment-education-and-training</vt:lpwstr>
      </vt:variant>
      <vt:variant>
        <vt:lpwstr/>
      </vt:variant>
      <vt:variant>
        <vt:i4>393308</vt:i4>
      </vt:variant>
      <vt:variant>
        <vt:i4>462</vt:i4>
      </vt:variant>
      <vt:variant>
        <vt:i4>0</vt:i4>
      </vt:variant>
      <vt:variant>
        <vt:i4>5</vt:i4>
      </vt:variant>
      <vt:variant>
        <vt:lpwstr>https://budget.govt.nz/budget/pdfs/releases/r2-ardern-sepuloni-main-benefit-boost-up-to-33000-children-lifted-out-of-poverty.pdf</vt:lpwstr>
      </vt:variant>
      <vt:variant>
        <vt:lpwstr/>
      </vt:variant>
      <vt:variant>
        <vt:i4>1310730</vt:i4>
      </vt:variant>
      <vt:variant>
        <vt:i4>459</vt:i4>
      </vt:variant>
      <vt:variant>
        <vt:i4>0</vt:i4>
      </vt:variant>
      <vt:variant>
        <vt:i4>5</vt:i4>
      </vt:variant>
      <vt:variant>
        <vt:lpwstr>https://www.beehive.govt.nz/release/main-benefits-increase-line-wages</vt:lpwstr>
      </vt:variant>
      <vt:variant>
        <vt:lpwstr/>
      </vt:variant>
      <vt:variant>
        <vt:i4>2162804</vt:i4>
      </vt:variant>
      <vt:variant>
        <vt:i4>456</vt:i4>
      </vt:variant>
      <vt:variant>
        <vt:i4>0</vt:i4>
      </vt:variant>
      <vt:variant>
        <vt:i4>5</vt:i4>
      </vt:variant>
      <vt:variant>
        <vt:lpwstr>https://www.beehive.govt.nz/release/incomes-lifted-346000-families</vt:lpwstr>
      </vt:variant>
      <vt:variant>
        <vt:lpwstr/>
      </vt:variant>
      <vt:variant>
        <vt:i4>1572880</vt:i4>
      </vt:variant>
      <vt:variant>
        <vt:i4>453</vt:i4>
      </vt:variant>
      <vt:variant>
        <vt:i4>0</vt:i4>
      </vt:variant>
      <vt:variant>
        <vt:i4>5</vt:i4>
      </vt:variant>
      <vt:variant>
        <vt:lpwstr>https://www.beehive.govt.nz/release/significant-boost-m%C4%81ori-housing-budget-2021</vt:lpwstr>
      </vt:variant>
      <vt:variant>
        <vt:lpwstr/>
      </vt:variant>
      <vt:variant>
        <vt:i4>7602231</vt:i4>
      </vt:variant>
      <vt:variant>
        <vt:i4>450</vt:i4>
      </vt:variant>
      <vt:variant>
        <vt:i4>0</vt:i4>
      </vt:variant>
      <vt:variant>
        <vt:i4>5</vt:i4>
      </vt:variant>
      <vt:variant>
        <vt:lpwstr>https://www.treasury.govt.nz/sites/default/files/2021-05/b21-tackling-inequality-child-poverty.pdf</vt:lpwstr>
      </vt:variant>
      <vt:variant>
        <vt:lpwstr/>
      </vt:variant>
      <vt:variant>
        <vt:i4>6619239</vt:i4>
      </vt:variant>
      <vt:variant>
        <vt:i4>447</vt:i4>
      </vt:variant>
      <vt:variant>
        <vt:i4>0</vt:i4>
      </vt:variant>
      <vt:variant>
        <vt:i4>5</vt:i4>
      </vt:variant>
      <vt:variant>
        <vt:lpwstr>https://www.beehive.govt.nz/speech/finance-ministers-budget-2021-speech</vt:lpwstr>
      </vt:variant>
      <vt:variant>
        <vt:lpwstr/>
      </vt:variant>
      <vt:variant>
        <vt:i4>720961</vt:i4>
      </vt:variant>
      <vt:variant>
        <vt:i4>444</vt:i4>
      </vt:variant>
      <vt:variant>
        <vt:i4>0</vt:i4>
      </vt:variant>
      <vt:variant>
        <vt:i4>5</vt:i4>
      </vt:variant>
      <vt:variant>
        <vt:lpwstr>https://www.beehive.govt.nz/release/ineffective-subsequent-child-policy-sanction-removed</vt:lpwstr>
      </vt:variant>
      <vt:variant>
        <vt:lpwstr/>
      </vt:variant>
      <vt:variant>
        <vt:i4>196691</vt:i4>
      </vt:variant>
      <vt:variant>
        <vt:i4>441</vt:i4>
      </vt:variant>
      <vt:variant>
        <vt:i4>0</vt:i4>
      </vt:variant>
      <vt:variant>
        <vt:i4>5</vt:i4>
      </vt:variant>
      <vt:variant>
        <vt:lpwstr>https://www.beehive.govt.nz/release/community-housing-providers-get-upfront-funding-deliver-new-builds-faster</vt:lpwstr>
      </vt:variant>
      <vt:variant>
        <vt:lpwstr/>
      </vt:variant>
      <vt:variant>
        <vt:i4>589850</vt:i4>
      </vt:variant>
      <vt:variant>
        <vt:i4>438</vt:i4>
      </vt:variant>
      <vt:variant>
        <vt:i4>0</vt:i4>
      </vt:variant>
      <vt:variant>
        <vt:i4>5</vt:i4>
      </vt:variant>
      <vt:variant>
        <vt:lpwstr>https://www.beehive.govt.nz/release/main-benefit-boost-33000-children-lifted-out-poverty</vt:lpwstr>
      </vt:variant>
      <vt:variant>
        <vt:lpwstr/>
      </vt:variant>
      <vt:variant>
        <vt:i4>7995492</vt:i4>
      </vt:variant>
      <vt:variant>
        <vt:i4>435</vt:i4>
      </vt:variant>
      <vt:variant>
        <vt:i4>0</vt:i4>
      </vt:variant>
      <vt:variant>
        <vt:i4>5</vt:i4>
      </vt:variant>
      <vt:variant>
        <vt:lpwstr>https://www.beehive.govt.nz/release/training-incentive-allowance-support-16000-new-zealanders-jobs</vt:lpwstr>
      </vt:variant>
      <vt:variant>
        <vt:lpwstr/>
      </vt:variant>
      <vt:variant>
        <vt:i4>1572880</vt:i4>
      </vt:variant>
      <vt:variant>
        <vt:i4>432</vt:i4>
      </vt:variant>
      <vt:variant>
        <vt:i4>0</vt:i4>
      </vt:variant>
      <vt:variant>
        <vt:i4>5</vt:i4>
      </vt:variant>
      <vt:variant>
        <vt:lpwstr>https://www.beehive.govt.nz/release/significant-boost-m%C4%81ori-housing-budget-2021</vt:lpwstr>
      </vt:variant>
      <vt:variant>
        <vt:lpwstr/>
      </vt:variant>
      <vt:variant>
        <vt:i4>7143531</vt:i4>
      </vt:variant>
      <vt:variant>
        <vt:i4>429</vt:i4>
      </vt:variant>
      <vt:variant>
        <vt:i4>0</vt:i4>
      </vt:variant>
      <vt:variant>
        <vt:i4>5</vt:i4>
      </vt:variant>
      <vt:variant>
        <vt:lpwstr>https://www.beehive.govt.nz/release/government-delivers-promise-working-low-income-families</vt:lpwstr>
      </vt:variant>
      <vt:variant>
        <vt:lpwstr/>
      </vt:variant>
      <vt:variant>
        <vt:i4>7143463</vt:i4>
      </vt:variant>
      <vt:variant>
        <vt:i4>426</vt:i4>
      </vt:variant>
      <vt:variant>
        <vt:i4>0</vt:i4>
      </vt:variant>
      <vt:variant>
        <vt:i4>5</vt:i4>
      </vt:variant>
      <vt:variant>
        <vt:lpwstr>https://www.beehive.govt.nz/release/better-childcare-assistance-low-and-middle-income-families</vt:lpwstr>
      </vt:variant>
      <vt:variant>
        <vt:lpwstr/>
      </vt:variant>
      <vt:variant>
        <vt:i4>6160400</vt:i4>
      </vt:variant>
      <vt:variant>
        <vt:i4>423</vt:i4>
      </vt:variant>
      <vt:variant>
        <vt:i4>0</vt:i4>
      </vt:variant>
      <vt:variant>
        <vt:i4>5</vt:i4>
      </vt:variant>
      <vt:variant>
        <vt:lpwstr>https://www.beehive.govt.nz/release/benefit-settings-rise-line-wages-1-april</vt:lpwstr>
      </vt:variant>
      <vt:variant>
        <vt:lpwstr/>
      </vt:variant>
      <vt:variant>
        <vt:i4>5701639</vt:i4>
      </vt:variant>
      <vt:variant>
        <vt:i4>420</vt:i4>
      </vt:variant>
      <vt:variant>
        <vt:i4>0</vt:i4>
      </vt:variant>
      <vt:variant>
        <vt:i4>5</vt:i4>
      </vt:variant>
      <vt:variant>
        <vt:lpwstr>https://www.msd.govt.nz/documents/about-msd-and-our-work/newsroom/factsheets/budget/factsheet-disabled-people-employment-2019.pdf</vt:lpwstr>
      </vt:variant>
      <vt:variant>
        <vt:lpwstr/>
      </vt:variant>
      <vt:variant>
        <vt:i4>3932238</vt:i4>
      </vt:variant>
      <vt:variant>
        <vt:i4>417</vt:i4>
      </vt:variant>
      <vt:variant>
        <vt:i4>0</vt:i4>
      </vt:variant>
      <vt:variant>
        <vt:i4>5</vt:i4>
      </vt:variant>
      <vt:variant>
        <vt:lpwstr>https://www.beehive.govt.nz/sites/default/files/2018-05/WEAG Terms of Reference_0.pdf</vt:lpwstr>
      </vt:variant>
      <vt:variant>
        <vt:lpwstr/>
      </vt:variant>
      <vt:variant>
        <vt:i4>7012406</vt:i4>
      </vt:variant>
      <vt:variant>
        <vt:i4>414</vt:i4>
      </vt:variant>
      <vt:variant>
        <vt:i4>0</vt:i4>
      </vt:variant>
      <vt:variant>
        <vt:i4>5</vt:i4>
      </vt:variant>
      <vt:variant>
        <vt:lpwstr>https://www.cpag.org.nz/assets/WFFSeries1EnsuringAdequateIndexationofWorkingforFamilies5May2021.pdf</vt:lpwstr>
      </vt:variant>
      <vt:variant>
        <vt:lpwstr/>
      </vt:variant>
      <vt:variant>
        <vt:i4>4259863</vt:i4>
      </vt:variant>
      <vt:variant>
        <vt:i4>411</vt:i4>
      </vt:variant>
      <vt:variant>
        <vt:i4>0</vt:i4>
      </vt:variant>
      <vt:variant>
        <vt:i4>5</vt:i4>
      </vt:variant>
      <vt:variant>
        <vt:lpwstr>https://scholar.google.com/scholar?hl=en&amp;as_sdt=0%2C5&amp;q=neuwelt-kearns+murray+living+well&amp;btnG=</vt:lpwstr>
      </vt:variant>
      <vt:variant>
        <vt:lpwstr>d=gs_cit&amp;u=%2Fscholar%3Fq%3Dinfo%3A-U06XGZNYUQJ%3Ascholar.google.com%2F%26output%3Dcite%26scirp%3D1%26hl%3Den</vt:lpwstr>
      </vt:variant>
      <vt:variant>
        <vt:i4>4915230</vt:i4>
      </vt:variant>
      <vt:variant>
        <vt:i4>408</vt:i4>
      </vt:variant>
      <vt:variant>
        <vt:i4>0</vt:i4>
      </vt:variant>
      <vt:variant>
        <vt:i4>5</vt:i4>
      </vt:variant>
      <vt:variant>
        <vt:lpwstr>https://ccsdisabilityaction.org.nz/assets/resource-files/The-State-of-wellbeing-and-equality-FINAL-ONLINE.pdf</vt:lpwstr>
      </vt:variant>
      <vt:variant>
        <vt:lpwstr/>
      </vt:variant>
      <vt:variant>
        <vt:i4>196628</vt:i4>
      </vt:variant>
      <vt:variant>
        <vt:i4>405</vt:i4>
      </vt:variant>
      <vt:variant>
        <vt:i4>0</vt:i4>
      </vt:variant>
      <vt:variant>
        <vt:i4>5</vt:i4>
      </vt:variant>
      <vt:variant>
        <vt:lpwstr>https://www.msd.govt.nz/about-msd-and-our-work/publications-resources/research/benefit-system/what-happened-to-people-who-left-benefit-system-during-the-year-ended-30-june-2014.html</vt:lpwstr>
      </vt:variant>
      <vt:variant>
        <vt:lpwstr/>
      </vt:variant>
      <vt:variant>
        <vt:i4>65549</vt:i4>
      </vt:variant>
      <vt:variant>
        <vt:i4>402</vt:i4>
      </vt:variant>
      <vt:variant>
        <vt:i4>0</vt:i4>
      </vt:variant>
      <vt:variant>
        <vt:i4>5</vt:i4>
      </vt:variant>
      <vt:variant>
        <vt:lpwstr>https://msd.govt.nz/about-msd-and-our-work/newsroom/budget/2021/factsheets/improving-work-capacity-medical-certificates.html</vt:lpwstr>
      </vt:variant>
      <vt:variant>
        <vt:lpwstr/>
      </vt:variant>
      <vt:variant>
        <vt:i4>1638495</vt:i4>
      </vt:variant>
      <vt:variant>
        <vt:i4>399</vt:i4>
      </vt:variant>
      <vt:variant>
        <vt:i4>0</vt:i4>
      </vt:variant>
      <vt:variant>
        <vt:i4>5</vt:i4>
      </vt:variant>
      <vt:variant>
        <vt:lpwstr>https://www.msd.govt.nz/about-msd-and-our-work/publications-resources/corporate/annual-report/2018-2019/outcome-new-zealanders-participate-positively-in-society-and-reach-their-potential/supporting-disabled-new-zealanders-to-find-and-keep-work.html</vt:lpwstr>
      </vt:variant>
      <vt:variant>
        <vt:lpwstr/>
      </vt:variant>
      <vt:variant>
        <vt:i4>6422567</vt:i4>
      </vt:variant>
      <vt:variant>
        <vt:i4>396</vt:i4>
      </vt:variant>
      <vt:variant>
        <vt:i4>0</vt:i4>
      </vt:variant>
      <vt:variant>
        <vt:i4>5</vt:i4>
      </vt:variant>
      <vt:variant>
        <vt:lpwstr>https://www.msd.govt.nz/documents/about-msd-and-our-work/publications-resources/official-information-responses/2021/september/20210916-request-for-information-on-the-review-of-the-current-upcoming-accommodation-supplement-and-on-the-working-for-families-review-that-the-government-has-signaled..pdf</vt:lpwstr>
      </vt:variant>
      <vt:variant>
        <vt:lpwstr/>
      </vt:variant>
      <vt:variant>
        <vt:i4>3670052</vt:i4>
      </vt:variant>
      <vt:variant>
        <vt:i4>393</vt:i4>
      </vt:variant>
      <vt:variant>
        <vt:i4>0</vt:i4>
      </vt:variant>
      <vt:variant>
        <vt:i4>5</vt:i4>
      </vt:variant>
      <vt:variant>
        <vt:lpwstr>https://www.msd.govt.nz/documents/about-msd-and-our-work/publications-resources/official-information-responses/2021/may/20210531-why-the-steps-to-freedom-grant-has-not-been-increased-to-with-the-rise-of-living-costs.pdf</vt:lpwstr>
      </vt:variant>
      <vt:variant>
        <vt:lpwstr/>
      </vt:variant>
      <vt:variant>
        <vt:i4>3932276</vt:i4>
      </vt:variant>
      <vt:variant>
        <vt:i4>390</vt:i4>
      </vt:variant>
      <vt:variant>
        <vt:i4>0</vt:i4>
      </vt:variant>
      <vt:variant>
        <vt:i4>5</vt:i4>
      </vt:variant>
      <vt:variant>
        <vt:lpwstr>https://www.msd.govt.nz/about-msd-and-our-work/publications-resources/statistics/housing/index.html</vt:lpwstr>
      </vt:variant>
      <vt:variant>
        <vt:lpwstr/>
      </vt:variant>
      <vt:variant>
        <vt:i4>2752556</vt:i4>
      </vt:variant>
      <vt:variant>
        <vt:i4>387</vt:i4>
      </vt:variant>
      <vt:variant>
        <vt:i4>0</vt:i4>
      </vt:variant>
      <vt:variant>
        <vt:i4>5</vt:i4>
      </vt:variant>
      <vt:variant>
        <vt:lpwstr>https://www.msd.govt.nz/documents/about-msd-and-our-work/publications-resources/information-releases/cabinet-papers/2021/welfare-overhaul-work-programme-update/welfare-overhaul-work-programme-update.pdf</vt:lpwstr>
      </vt:variant>
      <vt:variant>
        <vt:lpwstr/>
      </vt:variant>
      <vt:variant>
        <vt:i4>1638472</vt:i4>
      </vt:variant>
      <vt:variant>
        <vt:i4>384</vt:i4>
      </vt:variant>
      <vt:variant>
        <vt:i4>0</vt:i4>
      </vt:variant>
      <vt:variant>
        <vt:i4>5</vt:i4>
      </vt:variant>
      <vt:variant>
        <vt:lpwstr>https://www.msd.govt.nz/documents/about-msd-and-our-work/publications-resources/information-releases/cabinet-papers/2021/welfare-overhaul-work-programme-update/appendix-three-weag-recommendations-and-progress-to-date.pdf</vt:lpwstr>
      </vt:variant>
      <vt:variant>
        <vt:lpwstr/>
      </vt:variant>
      <vt:variant>
        <vt:i4>3211375</vt:i4>
      </vt:variant>
      <vt:variant>
        <vt:i4>381</vt:i4>
      </vt:variant>
      <vt:variant>
        <vt:i4>0</vt:i4>
      </vt:variant>
      <vt:variant>
        <vt:i4>5</vt:i4>
      </vt:variant>
      <vt:variant>
        <vt:lpwstr>https://www.msd.govt.nz/about-msd-and-our-work/publications-resources/statistics/benefit/index.html</vt:lpwstr>
      </vt:variant>
      <vt:variant>
        <vt:lpwstr/>
      </vt:variant>
      <vt:variant>
        <vt:i4>7667829</vt:i4>
      </vt:variant>
      <vt:variant>
        <vt:i4>378</vt:i4>
      </vt:variant>
      <vt:variant>
        <vt:i4>0</vt:i4>
      </vt:variant>
      <vt:variant>
        <vt:i4>5</vt:i4>
      </vt:variant>
      <vt:variant>
        <vt:lpwstr>https://msd.govt.nz/documents/about-msd-and-our-work/newsroom/factsheets/budget/2021/budget-2021-factsheet-improving-work-capacity-medical-certificates.pdf</vt:lpwstr>
      </vt:variant>
      <vt:variant>
        <vt:lpwstr/>
      </vt:variant>
      <vt:variant>
        <vt:i4>1441811</vt:i4>
      </vt:variant>
      <vt:variant>
        <vt:i4>375</vt:i4>
      </vt:variant>
      <vt:variant>
        <vt:i4>0</vt:i4>
      </vt:variant>
      <vt:variant>
        <vt:i4>5</vt:i4>
      </vt:variant>
      <vt:variant>
        <vt:lpwstr>https://www.msd.govt.nz/what-we-can-do/providers/building-financial-capability/funding-for-bfc-services-through-budget-2020.html</vt:lpwstr>
      </vt:variant>
      <vt:variant>
        <vt:lpwstr/>
      </vt:variant>
      <vt:variant>
        <vt:i4>6291517</vt:i4>
      </vt:variant>
      <vt:variant>
        <vt:i4>372</vt:i4>
      </vt:variant>
      <vt:variant>
        <vt:i4>0</vt:i4>
      </vt:variant>
      <vt:variant>
        <vt:i4>5</vt:i4>
      </vt:variant>
      <vt:variant>
        <vt:lpwstr>https://www.msd.govt.nz/documents/about-msd-and-our-work/publications-resources/official-information-responses/2020/october/20201002-request-a-copy-of-the-information-on-the-july-2019-report-concerning-the-issue-of-volunteering-and-being-eligible-for-benefits.pdf</vt:lpwstr>
      </vt:variant>
      <vt:variant>
        <vt:lpwstr/>
      </vt:variant>
      <vt:variant>
        <vt:i4>2818103</vt:i4>
      </vt:variant>
      <vt:variant>
        <vt:i4>369</vt:i4>
      </vt:variant>
      <vt:variant>
        <vt:i4>0</vt:i4>
      </vt:variant>
      <vt:variant>
        <vt:i4>5</vt:i4>
      </vt:variant>
      <vt:variant>
        <vt:lpwstr>https://www.msd.govt.nz/documents/about-msd-and-our-work/publications-resources/official-information-responses/2020/june/r-20200625-request-to-know-how-many-people-have-been-prosecuted-of-benefit-fraud-since-2014-to-date-and-what-cost-benefit-fraud-has-every-financial-year-since-2011.pdf</vt:lpwstr>
      </vt:variant>
      <vt:variant>
        <vt:lpwstr/>
      </vt:variant>
      <vt:variant>
        <vt:i4>3604590</vt:i4>
      </vt:variant>
      <vt:variant>
        <vt:i4>366</vt:i4>
      </vt:variant>
      <vt:variant>
        <vt:i4>0</vt:i4>
      </vt:variant>
      <vt:variant>
        <vt:i4>5</vt:i4>
      </vt:variant>
      <vt:variant>
        <vt:lpwstr>https://www.msd.govt.nz/documents/about-msd-and-our-work/publications-resources/information-releases/welfare-overhaul-removing-the-subsequent-child-policy/cabinet-paper-welfare-overhaul-removing-the-subsequent-child-policy.pdf</vt:lpwstr>
      </vt:variant>
      <vt:variant>
        <vt:lpwstr/>
      </vt:variant>
      <vt:variant>
        <vt:i4>3670051</vt:i4>
      </vt:variant>
      <vt:variant>
        <vt:i4>363</vt:i4>
      </vt:variant>
      <vt:variant>
        <vt:i4>0</vt:i4>
      </vt:variant>
      <vt:variant>
        <vt:i4>5</vt:i4>
      </vt:variant>
      <vt:variant>
        <vt:lpwstr>https://www.msd.govt.nz/documents/about-msd-and-our-work/newsroom/factsheets/budget/factsheet-removing-deductions-sole-parents-2019.pdf</vt:lpwstr>
      </vt:variant>
      <vt:variant>
        <vt:lpwstr/>
      </vt:variant>
      <vt:variant>
        <vt:i4>1638470</vt:i4>
      </vt:variant>
      <vt:variant>
        <vt:i4>360</vt:i4>
      </vt:variant>
      <vt:variant>
        <vt:i4>0</vt:i4>
      </vt:variant>
      <vt:variant>
        <vt:i4>5</vt:i4>
      </vt:variant>
      <vt:variant>
        <vt:lpwstr>https://www.msd.govt.nz/documents/about-msd-and-our-work/publications-resources/information-releases/welfare-overhaul-update/cabinet-paper-welfare-overhaul-update-on-progress-and-long-term-plan.pdf</vt:lpwstr>
      </vt:variant>
      <vt:variant>
        <vt:lpwstr/>
      </vt:variant>
      <vt:variant>
        <vt:i4>1441865</vt:i4>
      </vt:variant>
      <vt:variant>
        <vt:i4>357</vt:i4>
      </vt:variant>
      <vt:variant>
        <vt:i4>0</vt:i4>
      </vt:variant>
      <vt:variant>
        <vt:i4>5</vt:i4>
      </vt:variant>
      <vt:variant>
        <vt:lpwstr>https://www.mpp.govt.nz/programmes/tupu-aotearoa/</vt:lpwstr>
      </vt:variant>
      <vt:variant>
        <vt:lpwstr/>
      </vt:variant>
      <vt:variant>
        <vt:i4>4390922</vt:i4>
      </vt:variant>
      <vt:variant>
        <vt:i4>354</vt:i4>
      </vt:variant>
      <vt:variant>
        <vt:i4>0</vt:i4>
      </vt:variant>
      <vt:variant>
        <vt:i4>5</vt:i4>
      </vt:variant>
      <vt:variant>
        <vt:lpwstr>https://www.hud.govt.nz/maihi-and-maori-housing/whai-kainga-whai-oranga/</vt:lpwstr>
      </vt:variant>
      <vt:variant>
        <vt:lpwstr/>
      </vt:variant>
      <vt:variant>
        <vt:i4>786518</vt:i4>
      </vt:variant>
      <vt:variant>
        <vt:i4>351</vt:i4>
      </vt:variant>
      <vt:variant>
        <vt:i4>0</vt:i4>
      </vt:variant>
      <vt:variant>
        <vt:i4>5</vt:i4>
      </vt:variant>
      <vt:variant>
        <vt:lpwstr>https://www.hud.govt.nz/urban-development/the-housing-acceleration-fund/</vt:lpwstr>
      </vt:variant>
      <vt:variant>
        <vt:lpwstr/>
      </vt:variant>
      <vt:variant>
        <vt:i4>4521988</vt:i4>
      </vt:variant>
      <vt:variant>
        <vt:i4>348</vt:i4>
      </vt:variant>
      <vt:variant>
        <vt:i4>0</vt:i4>
      </vt:variant>
      <vt:variant>
        <vt:i4>5</vt:i4>
      </vt:variant>
      <vt:variant>
        <vt:lpwstr>https://www.hud.govt.nz/assets/News-and-Resources/Statistics-and-Research/Public-housing-reports/Quarterly-reports/Public-housing-quarterly-report-June-2021.pdf</vt:lpwstr>
      </vt:variant>
      <vt:variant>
        <vt:lpwstr/>
      </vt:variant>
      <vt:variant>
        <vt:i4>8126502</vt:i4>
      </vt:variant>
      <vt:variant>
        <vt:i4>345</vt:i4>
      </vt:variant>
      <vt:variant>
        <vt:i4>0</vt:i4>
      </vt:variant>
      <vt:variant>
        <vt:i4>5</vt:i4>
      </vt:variant>
      <vt:variant>
        <vt:lpwstr>https://www.hud.govt.nz/residential-housing/progressive-home-ownership/</vt:lpwstr>
      </vt:variant>
      <vt:variant>
        <vt:lpwstr/>
      </vt:variant>
      <vt:variant>
        <vt:i4>8061024</vt:i4>
      </vt:variant>
      <vt:variant>
        <vt:i4>342</vt:i4>
      </vt:variant>
      <vt:variant>
        <vt:i4>0</vt:i4>
      </vt:variant>
      <vt:variant>
        <vt:i4>5</vt:i4>
      </vt:variant>
      <vt:variant>
        <vt:lpwstr>https://www.health.govt.nz/our-work/populations/maori-health/tatau-kahukura-maori-health-statistics/nga-mana-hauora-tutohu-health-status-indicators/disability</vt:lpwstr>
      </vt:variant>
      <vt:variant>
        <vt:lpwstr/>
      </vt:variant>
      <vt:variant>
        <vt:i4>720922</vt:i4>
      </vt:variant>
      <vt:variant>
        <vt:i4>339</vt:i4>
      </vt:variant>
      <vt:variant>
        <vt:i4>0</vt:i4>
      </vt:variant>
      <vt:variant>
        <vt:i4>5</vt:i4>
      </vt:variant>
      <vt:variant>
        <vt:lpwstr>https://www.mbie.govt.nz/business-and-employment/employment-and-skills/regional-skills-leadership-groups/</vt:lpwstr>
      </vt:variant>
      <vt:variant>
        <vt:lpwstr/>
      </vt:variant>
      <vt:variant>
        <vt:i4>2293814</vt:i4>
      </vt:variant>
      <vt:variant>
        <vt:i4>336</vt:i4>
      </vt:variant>
      <vt:variant>
        <vt:i4>0</vt:i4>
      </vt:variant>
      <vt:variant>
        <vt:i4>5</vt:i4>
      </vt:variant>
      <vt:variant>
        <vt:lpwstr>https://www.mbie.govt.nz/business-and-employment/economic-development/just-transition/</vt:lpwstr>
      </vt:variant>
      <vt:variant>
        <vt:lpwstr>just-transitions-unit</vt:lpwstr>
      </vt:variant>
      <vt:variant>
        <vt:i4>6094933</vt:i4>
      </vt:variant>
      <vt:variant>
        <vt:i4>333</vt:i4>
      </vt:variant>
      <vt:variant>
        <vt:i4>0</vt:i4>
      </vt:variant>
      <vt:variant>
        <vt:i4>5</vt:i4>
      </vt:variant>
      <vt:variant>
        <vt:lpwstr>https://www.beehive.govt.nz/sites/default/files/2020-12/Social Development and Employment.pdf</vt:lpwstr>
      </vt:variant>
      <vt:variant>
        <vt:lpwstr/>
      </vt:variant>
      <vt:variant>
        <vt:i4>5963807</vt:i4>
      </vt:variant>
      <vt:variant>
        <vt:i4>330</vt:i4>
      </vt:variant>
      <vt:variant>
        <vt:i4>0</vt:i4>
      </vt:variant>
      <vt:variant>
        <vt:i4>5</vt:i4>
      </vt:variant>
      <vt:variant>
        <vt:lpwstr>https://www.mhwc.govt.nz/interim-report/</vt:lpwstr>
      </vt:variant>
      <vt:variant>
        <vt:lpwstr/>
      </vt:variant>
      <vt:variant>
        <vt:i4>1572876</vt:i4>
      </vt:variant>
      <vt:variant>
        <vt:i4>327</vt:i4>
      </vt:variant>
      <vt:variant>
        <vt:i4>0</vt:i4>
      </vt:variant>
      <vt:variant>
        <vt:i4>5</vt:i4>
      </vt:variant>
      <vt:variant>
        <vt:lpwstr>https://www.theguardian.com/world/2021/oct/06/perfect-storm-how-covid-is-compounding-new-zealands-existing-social-crises</vt:lpwstr>
      </vt:variant>
      <vt:variant>
        <vt:lpwstr/>
      </vt:variant>
      <vt:variant>
        <vt:i4>1572939</vt:i4>
      </vt:variant>
      <vt:variant>
        <vt:i4>324</vt:i4>
      </vt:variant>
      <vt:variant>
        <vt:i4>0</vt:i4>
      </vt:variant>
      <vt:variant>
        <vt:i4>5</vt:i4>
      </vt:variant>
      <vt:variant>
        <vt:lpwstr>https://www.cpag.org.nz/assets/Backgrounders/13052020_The effects of 2020_21 income support changes on AHC income for representative households receiving benefits-final.pdf</vt:lpwstr>
      </vt:variant>
      <vt:variant>
        <vt:lpwstr/>
      </vt:variant>
      <vt:variant>
        <vt:i4>4587547</vt:i4>
      </vt:variant>
      <vt:variant>
        <vt:i4>321</vt:i4>
      </vt:variant>
      <vt:variant>
        <vt:i4>0</vt:i4>
      </vt:variant>
      <vt:variant>
        <vt:i4>5</vt:i4>
      </vt:variant>
      <vt:variant>
        <vt:lpwstr>https://www.stuff.co.nz/dominion-post/wellington/126794927/the-activist-telling-the-real-story-of-disability</vt:lpwstr>
      </vt:variant>
      <vt:variant>
        <vt:lpwstr/>
      </vt:variant>
      <vt:variant>
        <vt:i4>7667765</vt:i4>
      </vt:variant>
      <vt:variant>
        <vt:i4>318</vt:i4>
      </vt:variant>
      <vt:variant>
        <vt:i4>0</vt:i4>
      </vt:variant>
      <vt:variant>
        <vt:i4>5</vt:i4>
      </vt:variant>
      <vt:variant>
        <vt:lpwstr>https://static1.squarespace.com/static/5e8e4bf34078e655d8150f64/t/616e173d0e5a5418b713f92a/1634604867226/101782+-+Kore+Hiakai+-+Ka+Ma%CC%84kona+Report+Design+%28Web%29.pdf</vt:lpwstr>
      </vt:variant>
      <vt:variant>
        <vt:lpwstr/>
      </vt:variant>
      <vt:variant>
        <vt:i4>8192110</vt:i4>
      </vt:variant>
      <vt:variant>
        <vt:i4>315</vt:i4>
      </vt:variant>
      <vt:variant>
        <vt:i4>0</vt:i4>
      </vt:variant>
      <vt:variant>
        <vt:i4>5</vt:i4>
      </vt:variant>
      <vt:variant>
        <vt:lpwstr>https://forms.justice.govt.nz/search/Documents/WT/wt_DOC_150437272/Wai 2575%2C B022.pdf</vt:lpwstr>
      </vt:variant>
      <vt:variant>
        <vt:lpwstr/>
      </vt:variant>
      <vt:variant>
        <vt:i4>3014779</vt:i4>
      </vt:variant>
      <vt:variant>
        <vt:i4>312</vt:i4>
      </vt:variant>
      <vt:variant>
        <vt:i4>0</vt:i4>
      </vt:variant>
      <vt:variant>
        <vt:i4>5</vt:i4>
      </vt:variant>
      <vt:variant>
        <vt:lpwstr>https://www.stuff.co.nz/national/health/coronavirus/300440848/covid19-vaccination-how-mistrust-shadows-the-rollout-in-a-time-of-crisis</vt:lpwstr>
      </vt:variant>
      <vt:variant>
        <vt:lpwstr/>
      </vt:variant>
      <vt:variant>
        <vt:i4>131085</vt:i4>
      </vt:variant>
      <vt:variant>
        <vt:i4>309</vt:i4>
      </vt:variant>
      <vt:variant>
        <vt:i4>0</vt:i4>
      </vt:variant>
      <vt:variant>
        <vt:i4>5</vt:i4>
      </vt:variant>
      <vt:variant>
        <vt:lpwstr>https://www.rnz.co.nz/news/on-the-inside/443072/maori-housing-focus-part-of-promising-budget</vt:lpwstr>
      </vt:variant>
      <vt:variant>
        <vt:lpwstr/>
      </vt:variant>
      <vt:variant>
        <vt:i4>5505113</vt:i4>
      </vt:variant>
      <vt:variant>
        <vt:i4>306</vt:i4>
      </vt:variant>
      <vt:variant>
        <vt:i4>0</vt:i4>
      </vt:variant>
      <vt:variant>
        <vt:i4>5</vt:i4>
      </vt:variant>
      <vt:variant>
        <vt:lpwstr>https://kaingaora.govt.nz/assets/Publications/Annual-report/2020-21-Annual-Report.pdf</vt:lpwstr>
      </vt:variant>
      <vt:variant>
        <vt:lpwstr/>
      </vt:variant>
      <vt:variant>
        <vt:i4>8192049</vt:i4>
      </vt:variant>
      <vt:variant>
        <vt:i4>303</vt:i4>
      </vt:variant>
      <vt:variant>
        <vt:i4>0</vt:i4>
      </vt:variant>
      <vt:variant>
        <vt:i4>5</vt:i4>
      </vt:variant>
      <vt:variant>
        <vt:lpwstr>https://kaingaora.govt.nz/assets/Home-ownership/Brochures-and-forms/HNZ16297-Tenant-Home-Ownership-Jan-2020.pdf</vt:lpwstr>
      </vt:variant>
      <vt:variant>
        <vt:lpwstr/>
      </vt:variant>
      <vt:variant>
        <vt:i4>786451</vt:i4>
      </vt:variant>
      <vt:variant>
        <vt:i4>300</vt:i4>
      </vt:variant>
      <vt:variant>
        <vt:i4>0</vt:i4>
      </vt:variant>
      <vt:variant>
        <vt:i4>5</vt:i4>
      </vt:variant>
      <vt:variant>
        <vt:lpwstr>https://kaingaora.govt.nz/assets/Tenants-and-communities/Documents/Kainga-Ora-Accessibility-Policy-PDF-FINAL-15.11.19.pdf</vt:lpwstr>
      </vt:variant>
      <vt:variant>
        <vt:lpwstr/>
      </vt:variant>
      <vt:variant>
        <vt:i4>5308482</vt:i4>
      </vt:variant>
      <vt:variant>
        <vt:i4>297</vt:i4>
      </vt:variant>
      <vt:variant>
        <vt:i4>0</vt:i4>
      </vt:variant>
      <vt:variant>
        <vt:i4>5</vt:i4>
      </vt:variant>
      <vt:variant>
        <vt:lpwstr>https://www.rnz.co.nz/news/te-manu-korihi/442846/budget-2021-more-investment-in-rangatahi-employment-needed-iwi-and-business-leaders-say</vt:lpwstr>
      </vt:variant>
      <vt:variant>
        <vt:lpwstr/>
      </vt:variant>
      <vt:variant>
        <vt:i4>524378</vt:i4>
      </vt:variant>
      <vt:variant>
        <vt:i4>294</vt:i4>
      </vt:variant>
      <vt:variant>
        <vt:i4>0</vt:i4>
      </vt:variant>
      <vt:variant>
        <vt:i4>5</vt:i4>
      </vt:variant>
      <vt:variant>
        <vt:lpwstr>https://www.ird.govt.nz/-/media/project/ir/home/documents/forms-and-guides/ir1100---ir1199/ir1150/ir1150-august-2021.pdf?modified=20210915025457&amp;modified=20210915025457</vt:lpwstr>
      </vt:variant>
      <vt:variant>
        <vt:lpwstr/>
      </vt:variant>
      <vt:variant>
        <vt:i4>3932271</vt:i4>
      </vt:variant>
      <vt:variant>
        <vt:i4>291</vt:i4>
      </vt:variant>
      <vt:variant>
        <vt:i4>0</vt:i4>
      </vt:variant>
      <vt:variant>
        <vt:i4>5</vt:i4>
      </vt:variant>
      <vt:variant>
        <vt:lpwstr>https://www.ird.govt.nz/child-support/eligibility/sharing-care</vt:lpwstr>
      </vt:variant>
      <vt:variant>
        <vt:lpwstr/>
      </vt:variant>
      <vt:variant>
        <vt:i4>7471164</vt:i4>
      </vt:variant>
      <vt:variant>
        <vt:i4>288</vt:i4>
      </vt:variant>
      <vt:variant>
        <vt:i4>0</vt:i4>
      </vt:variant>
      <vt:variant>
        <vt:i4>5</vt:i4>
      </vt:variant>
      <vt:variant>
        <vt:lpwstr>https://www.cpag.org.nz/assets/Covid 19 survey report 12 October final.pdf</vt:lpwstr>
      </vt:variant>
      <vt:variant>
        <vt:lpwstr/>
      </vt:variant>
      <vt:variant>
        <vt:i4>4128785</vt:i4>
      </vt:variant>
      <vt:variant>
        <vt:i4>285</vt:i4>
      </vt:variant>
      <vt:variant>
        <vt:i4>0</vt:i4>
      </vt:variant>
      <vt:variant>
        <vt:i4>5</vt:i4>
      </vt:variant>
      <vt:variant>
        <vt:lpwstr>https://objectext.auckland.ac.nz/figshare/17434133/RepartneringReportPPI_CPAGFinalJuly.pdf</vt:lpwstr>
      </vt:variant>
      <vt:variant>
        <vt:lpwstr/>
      </vt:variant>
      <vt:variant>
        <vt:i4>3932197</vt:i4>
      </vt:variant>
      <vt:variant>
        <vt:i4>282</vt:i4>
      </vt:variant>
      <vt:variant>
        <vt:i4>0</vt:i4>
      </vt:variant>
      <vt:variant>
        <vt:i4>5</vt:i4>
      </vt:variant>
      <vt:variant>
        <vt:lpwstr>https://communityresearch.org.nz/research/understanding-welfare-sanctions-in-aotearoa-new-zealand/</vt:lpwstr>
      </vt:variant>
      <vt:variant>
        <vt:lpwstr/>
      </vt:variant>
      <vt:variant>
        <vt:i4>2555954</vt:i4>
      </vt:variant>
      <vt:variant>
        <vt:i4>279</vt:i4>
      </vt:variant>
      <vt:variant>
        <vt:i4>0</vt:i4>
      </vt:variant>
      <vt:variant>
        <vt:i4>5</vt:i4>
      </vt:variant>
      <vt:variant>
        <vt:lpwstr>https://www.rnz.co.nz/news/on-the-inside/454692/ministry-for-disabled-people-really-good-start-but-there-are-omissions</vt:lpwstr>
      </vt:variant>
      <vt:variant>
        <vt:lpwstr/>
      </vt:variant>
      <vt:variant>
        <vt:i4>2949166</vt:i4>
      </vt:variant>
      <vt:variant>
        <vt:i4>276</vt:i4>
      </vt:variant>
      <vt:variant>
        <vt:i4>0</vt:i4>
      </vt:variant>
      <vt:variant>
        <vt:i4>5</vt:i4>
      </vt:variant>
      <vt:variant>
        <vt:lpwstr>https://www.rnz.co.nz/news/on-the-inside/439661/state-builds-missing-from-govt-housing-package</vt:lpwstr>
      </vt:variant>
      <vt:variant>
        <vt:lpwstr/>
      </vt:variant>
      <vt:variant>
        <vt:i4>6750245</vt:i4>
      </vt:variant>
      <vt:variant>
        <vt:i4>273</vt:i4>
      </vt:variant>
      <vt:variant>
        <vt:i4>0</vt:i4>
      </vt:variant>
      <vt:variant>
        <vt:i4>5</vt:i4>
      </vt:variant>
      <vt:variant>
        <vt:lpwstr>https://www.stuff.co.nz/national/politics/120007238/coronavirus-special-cabinet-committee-meeting-on-virus</vt:lpwstr>
      </vt:variant>
      <vt:variant>
        <vt:lpwstr/>
      </vt:variant>
      <vt:variant>
        <vt:i4>6094870</vt:i4>
      </vt:variant>
      <vt:variant>
        <vt:i4>270</vt:i4>
      </vt:variant>
      <vt:variant>
        <vt:i4>0</vt:i4>
      </vt:variant>
      <vt:variant>
        <vt:i4>5</vt:i4>
      </vt:variant>
      <vt:variant>
        <vt:lpwstr>https://www.stuff.co.nz/national/politics/300315663/labour-breaks-promise-to-fund-dental-grants-this-year-but-says-it-will-come-in-later-budgets</vt:lpwstr>
      </vt:variant>
      <vt:variant>
        <vt:lpwstr/>
      </vt:variant>
      <vt:variant>
        <vt:i4>6225927</vt:i4>
      </vt:variant>
      <vt:variant>
        <vt:i4>267</vt:i4>
      </vt:variant>
      <vt:variant>
        <vt:i4>0</vt:i4>
      </vt:variant>
      <vt:variant>
        <vt:i4>5</vt:i4>
      </vt:variant>
      <vt:variant>
        <vt:lpwstr>https://www.stuff.co.nz/national/118971005/beneficiaries-receiving-fewer-meetings-with-employment-officers-despite-more-resources</vt:lpwstr>
      </vt:variant>
      <vt:variant>
        <vt:lpwstr/>
      </vt:variant>
      <vt:variant>
        <vt:i4>4849675</vt:i4>
      </vt:variant>
      <vt:variant>
        <vt:i4>264</vt:i4>
      </vt:variant>
      <vt:variant>
        <vt:i4>0</vt:i4>
      </vt:variant>
      <vt:variant>
        <vt:i4>5</vt:i4>
      </vt:variant>
      <vt:variant>
        <vt:lpwstr>https://www.newsroom.co.nz/where-to-next-for-dead-welfare-report</vt:lpwstr>
      </vt:variant>
      <vt:variant>
        <vt:lpwstr/>
      </vt:variant>
      <vt:variant>
        <vt:i4>7864369</vt:i4>
      </vt:variant>
      <vt:variant>
        <vt:i4>261</vt:i4>
      </vt:variant>
      <vt:variant>
        <vt:i4>0</vt:i4>
      </vt:variant>
      <vt:variant>
        <vt:i4>5</vt:i4>
      </vt:variant>
      <vt:variant>
        <vt:lpwstr>https://www.stuff.co.nz/national/politics/300312340/budget-2021-labour-to-boost-benefits-by-up-to-55-a-week-in-explicit-push-to-reverse-1990s-cuts</vt:lpwstr>
      </vt:variant>
      <vt:variant>
        <vt:lpwstr/>
      </vt:variant>
      <vt:variant>
        <vt:i4>4980740</vt:i4>
      </vt:variant>
      <vt:variant>
        <vt:i4>258</vt:i4>
      </vt:variant>
      <vt:variant>
        <vt:i4>0</vt:i4>
      </vt:variant>
      <vt:variant>
        <vt:i4>5</vt:i4>
      </vt:variant>
      <vt:variant>
        <vt:lpwstr>https://www.1news.co.nz/2021/11/16/debate-rages-over-controversial-beneficiary-sanction/</vt:lpwstr>
      </vt:variant>
      <vt:variant>
        <vt:lpwstr/>
      </vt:variant>
      <vt:variant>
        <vt:i4>6160470</vt:i4>
      </vt:variant>
      <vt:variant>
        <vt:i4>255</vt:i4>
      </vt:variant>
      <vt:variant>
        <vt:i4>0</vt:i4>
      </vt:variant>
      <vt:variant>
        <vt:i4>5</vt:i4>
      </vt:variant>
      <vt:variant>
        <vt:lpwstr>https://thespinoff.co.nz/society/20-01-2021/doubts-cast-over-claims-of-culture-change-at-work-and-income-nz/</vt:lpwstr>
      </vt:variant>
      <vt:variant>
        <vt:lpwstr/>
      </vt:variant>
      <vt:variant>
        <vt:i4>8323192</vt:i4>
      </vt:variant>
      <vt:variant>
        <vt:i4>252</vt:i4>
      </vt:variant>
      <vt:variant>
        <vt:i4>0</vt:i4>
      </vt:variant>
      <vt:variant>
        <vt:i4>5</vt:i4>
      </vt:variant>
      <vt:variant>
        <vt:lpwstr>https://www.cpag.org.nz/the-latest/current-statistics/food-parcels/</vt:lpwstr>
      </vt:variant>
      <vt:variant>
        <vt:lpwstr/>
      </vt:variant>
      <vt:variant>
        <vt:i4>2359409</vt:i4>
      </vt:variant>
      <vt:variant>
        <vt:i4>249</vt:i4>
      </vt:variant>
      <vt:variant>
        <vt:i4>0</vt:i4>
      </vt:variant>
      <vt:variant>
        <vt:i4>5</vt:i4>
      </vt:variant>
      <vt:variant>
        <vt:lpwstr>https://www.cpag.org.nz/assets/CPAG Housing Briefing to Incoming Minister final %282%29.pdf</vt:lpwstr>
      </vt:variant>
      <vt:variant>
        <vt:lpwstr/>
      </vt:variant>
      <vt:variant>
        <vt:i4>6291499</vt:i4>
      </vt:variant>
      <vt:variant>
        <vt:i4>246</vt:i4>
      </vt:variant>
      <vt:variant>
        <vt:i4>0</vt:i4>
      </vt:variant>
      <vt:variant>
        <vt:i4>5</vt:i4>
      </vt:variant>
      <vt:variant>
        <vt:lpwstr>https://www.nzherald.co.nz/nz/anna-casey-cox-welfare-doled-out-with-doses-of-cruelty-and-inhumanity/FW5AR7RYB3RUXTFLHNHCXJHYNY/</vt:lpwstr>
      </vt:variant>
      <vt:variant>
        <vt:lpwstr/>
      </vt:variant>
      <vt:variant>
        <vt:i4>6553640</vt:i4>
      </vt:variant>
      <vt:variant>
        <vt:i4>243</vt:i4>
      </vt:variant>
      <vt:variant>
        <vt:i4>0</vt:i4>
      </vt:variant>
      <vt:variant>
        <vt:i4>5</vt:i4>
      </vt:variant>
      <vt:variant>
        <vt:lpwstr>https://www.rnz.co.nz/news/te-manu-korihi/429746/unfair-outcomes-for-maori-seeking-covid-income-support</vt:lpwstr>
      </vt:variant>
      <vt:variant>
        <vt:lpwstr/>
      </vt:variant>
      <vt:variant>
        <vt:i4>4718681</vt:i4>
      </vt:variant>
      <vt:variant>
        <vt:i4>240</vt:i4>
      </vt:variant>
      <vt:variant>
        <vt:i4>0</vt:i4>
      </vt:variant>
      <vt:variant>
        <vt:i4>5</vt:i4>
      </vt:variant>
      <vt:variant>
        <vt:lpwstr>https://disabilityconnect.org.nz/wp-content/uploads/where-will-we-live-in-the-future.pdf</vt:lpwstr>
      </vt:variant>
      <vt:variant>
        <vt:lpwstr/>
      </vt:variant>
      <vt:variant>
        <vt:i4>5701644</vt:i4>
      </vt:variant>
      <vt:variant>
        <vt:i4>237</vt:i4>
      </vt:variant>
      <vt:variant>
        <vt:i4>0</vt:i4>
      </vt:variant>
      <vt:variant>
        <vt:i4>5</vt:i4>
      </vt:variant>
      <vt:variant>
        <vt:lpwstr>https://www.tvnz.co.nz/one-news/new-zealand/government-putting-more-beneficiaries-into-greater-debt-loans-totalling-almost-2-billion</vt:lpwstr>
      </vt:variant>
      <vt:variant>
        <vt:lpwstr/>
      </vt:variant>
      <vt:variant>
        <vt:i4>70</vt:i4>
      </vt:variant>
      <vt:variant>
        <vt:i4>234</vt:i4>
      </vt:variant>
      <vt:variant>
        <vt:i4>0</vt:i4>
      </vt:variant>
      <vt:variant>
        <vt:i4>5</vt:i4>
      </vt:variant>
      <vt:variant>
        <vt:lpwstr>https://www.rnz.co.nz/national/programmes/checkpoint/audio/2018795060/msd-told-to-crack-down-on-unneeded-wage-subsidy-recipients</vt:lpwstr>
      </vt:variant>
      <vt:variant>
        <vt:lpwstr/>
      </vt:variant>
      <vt:variant>
        <vt:i4>6488179</vt:i4>
      </vt:variant>
      <vt:variant>
        <vt:i4>231</vt:i4>
      </vt:variant>
      <vt:variant>
        <vt:i4>0</vt:i4>
      </vt:variant>
      <vt:variant>
        <vt:i4>5</vt:i4>
      </vt:variant>
      <vt:variant>
        <vt:lpwstr>https://www.rnz.co.nz/national/programmes/checkpoint/audio/2018818398/more-children-living-in-motels-as-housing-crisis-unrelenting</vt:lpwstr>
      </vt:variant>
      <vt:variant>
        <vt:lpwstr/>
      </vt:variant>
      <vt:variant>
        <vt:i4>88</vt:i4>
      </vt:variant>
      <vt:variant>
        <vt:i4>228</vt:i4>
      </vt:variant>
      <vt:variant>
        <vt:i4>0</vt:i4>
      </vt:variant>
      <vt:variant>
        <vt:i4>5</vt:i4>
      </vt:variant>
      <vt:variant>
        <vt:lpwstr>https://www.newsroom.co.nz/ideasroom/a-benchmark-budget-for-mori-housing</vt:lpwstr>
      </vt:variant>
      <vt:variant>
        <vt:lpwstr/>
      </vt:variant>
      <vt:variant>
        <vt:i4>7536748</vt:i4>
      </vt:variant>
      <vt:variant>
        <vt:i4>225</vt:i4>
      </vt:variant>
      <vt:variant>
        <vt:i4>0</vt:i4>
      </vt:variant>
      <vt:variant>
        <vt:i4>5</vt:i4>
      </vt:variant>
      <vt:variant>
        <vt:lpwstr>https://www.newshub.co.nz/home/politics/2021/07/rental-property-wofs-greens-chl-e-swarbrick-says-rental-property-wofs-would-protect-good-landlords-as-well-as-tenants.html</vt:lpwstr>
      </vt:variant>
      <vt:variant>
        <vt:lpwstr/>
      </vt:variant>
      <vt:variant>
        <vt:i4>5701719</vt:i4>
      </vt:variant>
      <vt:variant>
        <vt:i4>222</vt:i4>
      </vt:variant>
      <vt:variant>
        <vt:i4>0</vt:i4>
      </vt:variant>
      <vt:variant>
        <vt:i4>5</vt:i4>
      </vt:variant>
      <vt:variant>
        <vt:lpwstr>https://www.cpag.org.nz/assets/Living Well Children with disability need far greater income support in Aotearoa Sept 2020 %281%29.pdf</vt:lpwstr>
      </vt:variant>
      <vt:variant>
        <vt:lpwstr/>
      </vt:variant>
      <vt:variant>
        <vt:i4>6553661</vt:i4>
      </vt:variant>
      <vt:variant>
        <vt:i4>216</vt:i4>
      </vt:variant>
      <vt:variant>
        <vt:i4>0</vt:i4>
      </vt:variant>
      <vt:variant>
        <vt:i4>5</vt:i4>
      </vt:variant>
      <vt:variant>
        <vt:lpwstr>https://www.tematapihi.org.nz/</vt:lpwstr>
      </vt:variant>
      <vt:variant>
        <vt:lpwstr/>
      </vt:variant>
      <vt:variant>
        <vt:i4>7798787</vt:i4>
      </vt:variant>
      <vt:variant>
        <vt:i4>207</vt:i4>
      </vt:variant>
      <vt:variant>
        <vt:i4>0</vt:i4>
      </vt:variant>
      <vt:variant>
        <vt:i4>5</vt:i4>
      </vt:variant>
      <vt:variant>
        <vt:lpwstr>https://www.cpag.org.nz/assets/CPAG_First_Year_of_Covid_Initial_outcomes_of_our_collective_care_for_low_income_children_in_Aotearoa_NZ.pdf</vt:lpwstr>
      </vt:variant>
      <vt:variant>
        <vt:lpwstr/>
      </vt:variant>
      <vt:variant>
        <vt:i4>8126497</vt:i4>
      </vt:variant>
      <vt:variant>
        <vt:i4>204</vt:i4>
      </vt:variant>
      <vt:variant>
        <vt:i4>0</vt:i4>
      </vt:variant>
      <vt:variant>
        <vt:i4>5</vt:i4>
      </vt:variant>
      <vt:variant>
        <vt:lpwstr>https://www.cpag.org.nz/assets/WEAG Stocktake Final 27 Nov.pdf</vt:lpwstr>
      </vt:variant>
      <vt:variant>
        <vt:lpwstr/>
      </vt:variant>
      <vt:variant>
        <vt:i4>8126497</vt:i4>
      </vt:variant>
      <vt:variant>
        <vt:i4>201</vt:i4>
      </vt:variant>
      <vt:variant>
        <vt:i4>0</vt:i4>
      </vt:variant>
      <vt:variant>
        <vt:i4>5</vt:i4>
      </vt:variant>
      <vt:variant>
        <vt:lpwstr>https://www.cpag.org.nz/assets/WEAG Stocktake Final 27 Nov.pdf</vt:lpwstr>
      </vt:variant>
      <vt:variant>
        <vt:lpwstr/>
      </vt:variant>
      <vt:variant>
        <vt:i4>6291494</vt:i4>
      </vt:variant>
      <vt:variant>
        <vt:i4>198</vt:i4>
      </vt:variant>
      <vt:variant>
        <vt:i4>0</vt:i4>
      </vt:variant>
      <vt:variant>
        <vt:i4>5</vt:i4>
      </vt:variant>
      <vt:variant>
        <vt:lpwstr>https://www.cpag.org.nz/resources/kia-piki-ake-te-mana-tangata-korero-with/</vt:lpwstr>
      </vt:variant>
      <vt:variant>
        <vt:lpwstr/>
      </vt:variant>
      <vt:variant>
        <vt:i4>8126497</vt:i4>
      </vt:variant>
      <vt:variant>
        <vt:i4>195</vt:i4>
      </vt:variant>
      <vt:variant>
        <vt:i4>0</vt:i4>
      </vt:variant>
      <vt:variant>
        <vt:i4>5</vt:i4>
      </vt:variant>
      <vt:variant>
        <vt:lpwstr>https://www.cpag.org.nz/assets/WEAG Stocktake Final 27 Nov.pdf</vt:lpwstr>
      </vt:variant>
      <vt:variant>
        <vt:lpwstr/>
      </vt:variant>
      <vt:variant>
        <vt:i4>6553663</vt:i4>
      </vt:variant>
      <vt:variant>
        <vt:i4>192</vt:i4>
      </vt:variant>
      <vt:variant>
        <vt:i4>0</vt:i4>
      </vt:variant>
      <vt:variant>
        <vt:i4>5</vt:i4>
      </vt:variant>
      <vt:variant>
        <vt:lpwstr>http://www.weag.govt.nz/weag-report/whakamana-tangata/</vt:lpwstr>
      </vt:variant>
      <vt:variant>
        <vt:lpwstr/>
      </vt:variant>
      <vt:variant>
        <vt:i4>1966137</vt:i4>
      </vt:variant>
      <vt:variant>
        <vt:i4>185</vt:i4>
      </vt:variant>
      <vt:variant>
        <vt:i4>0</vt:i4>
      </vt:variant>
      <vt:variant>
        <vt:i4>5</vt:i4>
      </vt:variant>
      <vt:variant>
        <vt:lpwstr/>
      </vt:variant>
      <vt:variant>
        <vt:lpwstr>_Toc89330023</vt:lpwstr>
      </vt:variant>
      <vt:variant>
        <vt:i4>2031673</vt:i4>
      </vt:variant>
      <vt:variant>
        <vt:i4>179</vt:i4>
      </vt:variant>
      <vt:variant>
        <vt:i4>0</vt:i4>
      </vt:variant>
      <vt:variant>
        <vt:i4>5</vt:i4>
      </vt:variant>
      <vt:variant>
        <vt:lpwstr/>
      </vt:variant>
      <vt:variant>
        <vt:lpwstr>_Toc89330022</vt:lpwstr>
      </vt:variant>
      <vt:variant>
        <vt:i4>1835065</vt:i4>
      </vt:variant>
      <vt:variant>
        <vt:i4>173</vt:i4>
      </vt:variant>
      <vt:variant>
        <vt:i4>0</vt:i4>
      </vt:variant>
      <vt:variant>
        <vt:i4>5</vt:i4>
      </vt:variant>
      <vt:variant>
        <vt:lpwstr/>
      </vt:variant>
      <vt:variant>
        <vt:lpwstr>_Toc89330021</vt:lpwstr>
      </vt:variant>
      <vt:variant>
        <vt:i4>1900601</vt:i4>
      </vt:variant>
      <vt:variant>
        <vt:i4>167</vt:i4>
      </vt:variant>
      <vt:variant>
        <vt:i4>0</vt:i4>
      </vt:variant>
      <vt:variant>
        <vt:i4>5</vt:i4>
      </vt:variant>
      <vt:variant>
        <vt:lpwstr/>
      </vt:variant>
      <vt:variant>
        <vt:lpwstr>_Toc89330020</vt:lpwstr>
      </vt:variant>
      <vt:variant>
        <vt:i4>1310778</vt:i4>
      </vt:variant>
      <vt:variant>
        <vt:i4>161</vt:i4>
      </vt:variant>
      <vt:variant>
        <vt:i4>0</vt:i4>
      </vt:variant>
      <vt:variant>
        <vt:i4>5</vt:i4>
      </vt:variant>
      <vt:variant>
        <vt:lpwstr/>
      </vt:variant>
      <vt:variant>
        <vt:lpwstr>_Toc89330019</vt:lpwstr>
      </vt:variant>
      <vt:variant>
        <vt:i4>1376314</vt:i4>
      </vt:variant>
      <vt:variant>
        <vt:i4>155</vt:i4>
      </vt:variant>
      <vt:variant>
        <vt:i4>0</vt:i4>
      </vt:variant>
      <vt:variant>
        <vt:i4>5</vt:i4>
      </vt:variant>
      <vt:variant>
        <vt:lpwstr/>
      </vt:variant>
      <vt:variant>
        <vt:lpwstr>_Toc89330018</vt:lpwstr>
      </vt:variant>
      <vt:variant>
        <vt:i4>1703994</vt:i4>
      </vt:variant>
      <vt:variant>
        <vt:i4>149</vt:i4>
      </vt:variant>
      <vt:variant>
        <vt:i4>0</vt:i4>
      </vt:variant>
      <vt:variant>
        <vt:i4>5</vt:i4>
      </vt:variant>
      <vt:variant>
        <vt:lpwstr/>
      </vt:variant>
      <vt:variant>
        <vt:lpwstr>_Toc89330017</vt:lpwstr>
      </vt:variant>
      <vt:variant>
        <vt:i4>1769530</vt:i4>
      </vt:variant>
      <vt:variant>
        <vt:i4>143</vt:i4>
      </vt:variant>
      <vt:variant>
        <vt:i4>0</vt:i4>
      </vt:variant>
      <vt:variant>
        <vt:i4>5</vt:i4>
      </vt:variant>
      <vt:variant>
        <vt:lpwstr/>
      </vt:variant>
      <vt:variant>
        <vt:lpwstr>_Toc89330016</vt:lpwstr>
      </vt:variant>
      <vt:variant>
        <vt:i4>1572922</vt:i4>
      </vt:variant>
      <vt:variant>
        <vt:i4>137</vt:i4>
      </vt:variant>
      <vt:variant>
        <vt:i4>0</vt:i4>
      </vt:variant>
      <vt:variant>
        <vt:i4>5</vt:i4>
      </vt:variant>
      <vt:variant>
        <vt:lpwstr/>
      </vt:variant>
      <vt:variant>
        <vt:lpwstr>_Toc89330015</vt:lpwstr>
      </vt:variant>
      <vt:variant>
        <vt:i4>1638458</vt:i4>
      </vt:variant>
      <vt:variant>
        <vt:i4>131</vt:i4>
      </vt:variant>
      <vt:variant>
        <vt:i4>0</vt:i4>
      </vt:variant>
      <vt:variant>
        <vt:i4>5</vt:i4>
      </vt:variant>
      <vt:variant>
        <vt:lpwstr/>
      </vt:variant>
      <vt:variant>
        <vt:lpwstr>_Toc89330014</vt:lpwstr>
      </vt:variant>
      <vt:variant>
        <vt:i4>1966138</vt:i4>
      </vt:variant>
      <vt:variant>
        <vt:i4>125</vt:i4>
      </vt:variant>
      <vt:variant>
        <vt:i4>0</vt:i4>
      </vt:variant>
      <vt:variant>
        <vt:i4>5</vt:i4>
      </vt:variant>
      <vt:variant>
        <vt:lpwstr/>
      </vt:variant>
      <vt:variant>
        <vt:lpwstr>_Toc89330013</vt:lpwstr>
      </vt:variant>
      <vt:variant>
        <vt:i4>2031674</vt:i4>
      </vt:variant>
      <vt:variant>
        <vt:i4>119</vt:i4>
      </vt:variant>
      <vt:variant>
        <vt:i4>0</vt:i4>
      </vt:variant>
      <vt:variant>
        <vt:i4>5</vt:i4>
      </vt:variant>
      <vt:variant>
        <vt:lpwstr/>
      </vt:variant>
      <vt:variant>
        <vt:lpwstr>_Toc89330012</vt:lpwstr>
      </vt:variant>
      <vt:variant>
        <vt:i4>1835066</vt:i4>
      </vt:variant>
      <vt:variant>
        <vt:i4>113</vt:i4>
      </vt:variant>
      <vt:variant>
        <vt:i4>0</vt:i4>
      </vt:variant>
      <vt:variant>
        <vt:i4>5</vt:i4>
      </vt:variant>
      <vt:variant>
        <vt:lpwstr/>
      </vt:variant>
      <vt:variant>
        <vt:lpwstr>_Toc89330011</vt:lpwstr>
      </vt:variant>
      <vt:variant>
        <vt:i4>1900602</vt:i4>
      </vt:variant>
      <vt:variant>
        <vt:i4>107</vt:i4>
      </vt:variant>
      <vt:variant>
        <vt:i4>0</vt:i4>
      </vt:variant>
      <vt:variant>
        <vt:i4>5</vt:i4>
      </vt:variant>
      <vt:variant>
        <vt:lpwstr/>
      </vt:variant>
      <vt:variant>
        <vt:lpwstr>_Toc89330010</vt:lpwstr>
      </vt:variant>
      <vt:variant>
        <vt:i4>1310779</vt:i4>
      </vt:variant>
      <vt:variant>
        <vt:i4>101</vt:i4>
      </vt:variant>
      <vt:variant>
        <vt:i4>0</vt:i4>
      </vt:variant>
      <vt:variant>
        <vt:i4>5</vt:i4>
      </vt:variant>
      <vt:variant>
        <vt:lpwstr/>
      </vt:variant>
      <vt:variant>
        <vt:lpwstr>_Toc89330009</vt:lpwstr>
      </vt:variant>
      <vt:variant>
        <vt:i4>1376315</vt:i4>
      </vt:variant>
      <vt:variant>
        <vt:i4>95</vt:i4>
      </vt:variant>
      <vt:variant>
        <vt:i4>0</vt:i4>
      </vt:variant>
      <vt:variant>
        <vt:i4>5</vt:i4>
      </vt:variant>
      <vt:variant>
        <vt:lpwstr/>
      </vt:variant>
      <vt:variant>
        <vt:lpwstr>_Toc89330008</vt:lpwstr>
      </vt:variant>
      <vt:variant>
        <vt:i4>1703995</vt:i4>
      </vt:variant>
      <vt:variant>
        <vt:i4>89</vt:i4>
      </vt:variant>
      <vt:variant>
        <vt:i4>0</vt:i4>
      </vt:variant>
      <vt:variant>
        <vt:i4>5</vt:i4>
      </vt:variant>
      <vt:variant>
        <vt:lpwstr/>
      </vt:variant>
      <vt:variant>
        <vt:lpwstr>_Toc89330007</vt:lpwstr>
      </vt:variant>
      <vt:variant>
        <vt:i4>1769531</vt:i4>
      </vt:variant>
      <vt:variant>
        <vt:i4>83</vt:i4>
      </vt:variant>
      <vt:variant>
        <vt:i4>0</vt:i4>
      </vt:variant>
      <vt:variant>
        <vt:i4>5</vt:i4>
      </vt:variant>
      <vt:variant>
        <vt:lpwstr/>
      </vt:variant>
      <vt:variant>
        <vt:lpwstr>_Toc89330006</vt:lpwstr>
      </vt:variant>
      <vt:variant>
        <vt:i4>1572923</vt:i4>
      </vt:variant>
      <vt:variant>
        <vt:i4>77</vt:i4>
      </vt:variant>
      <vt:variant>
        <vt:i4>0</vt:i4>
      </vt:variant>
      <vt:variant>
        <vt:i4>5</vt:i4>
      </vt:variant>
      <vt:variant>
        <vt:lpwstr/>
      </vt:variant>
      <vt:variant>
        <vt:lpwstr>_Toc89330005</vt:lpwstr>
      </vt:variant>
      <vt:variant>
        <vt:i4>1638459</vt:i4>
      </vt:variant>
      <vt:variant>
        <vt:i4>71</vt:i4>
      </vt:variant>
      <vt:variant>
        <vt:i4>0</vt:i4>
      </vt:variant>
      <vt:variant>
        <vt:i4>5</vt:i4>
      </vt:variant>
      <vt:variant>
        <vt:lpwstr/>
      </vt:variant>
      <vt:variant>
        <vt:lpwstr>_Toc89330004</vt:lpwstr>
      </vt:variant>
      <vt:variant>
        <vt:i4>1966139</vt:i4>
      </vt:variant>
      <vt:variant>
        <vt:i4>65</vt:i4>
      </vt:variant>
      <vt:variant>
        <vt:i4>0</vt:i4>
      </vt:variant>
      <vt:variant>
        <vt:i4>5</vt:i4>
      </vt:variant>
      <vt:variant>
        <vt:lpwstr/>
      </vt:variant>
      <vt:variant>
        <vt:lpwstr>_Toc89330003</vt:lpwstr>
      </vt:variant>
      <vt:variant>
        <vt:i4>2031675</vt:i4>
      </vt:variant>
      <vt:variant>
        <vt:i4>59</vt:i4>
      </vt:variant>
      <vt:variant>
        <vt:i4>0</vt:i4>
      </vt:variant>
      <vt:variant>
        <vt:i4>5</vt:i4>
      </vt:variant>
      <vt:variant>
        <vt:lpwstr/>
      </vt:variant>
      <vt:variant>
        <vt:lpwstr>_Toc89330002</vt:lpwstr>
      </vt:variant>
      <vt:variant>
        <vt:i4>1835067</vt:i4>
      </vt:variant>
      <vt:variant>
        <vt:i4>53</vt:i4>
      </vt:variant>
      <vt:variant>
        <vt:i4>0</vt:i4>
      </vt:variant>
      <vt:variant>
        <vt:i4>5</vt:i4>
      </vt:variant>
      <vt:variant>
        <vt:lpwstr/>
      </vt:variant>
      <vt:variant>
        <vt:lpwstr>_Toc89330001</vt:lpwstr>
      </vt:variant>
      <vt:variant>
        <vt:i4>1900603</vt:i4>
      </vt:variant>
      <vt:variant>
        <vt:i4>47</vt:i4>
      </vt:variant>
      <vt:variant>
        <vt:i4>0</vt:i4>
      </vt:variant>
      <vt:variant>
        <vt:i4>5</vt:i4>
      </vt:variant>
      <vt:variant>
        <vt:lpwstr/>
      </vt:variant>
      <vt:variant>
        <vt:lpwstr>_Toc89330000</vt:lpwstr>
      </vt:variant>
      <vt:variant>
        <vt:i4>1835067</vt:i4>
      </vt:variant>
      <vt:variant>
        <vt:i4>41</vt:i4>
      </vt:variant>
      <vt:variant>
        <vt:i4>0</vt:i4>
      </vt:variant>
      <vt:variant>
        <vt:i4>5</vt:i4>
      </vt:variant>
      <vt:variant>
        <vt:lpwstr/>
      </vt:variant>
      <vt:variant>
        <vt:lpwstr>_Toc89329999</vt:lpwstr>
      </vt:variant>
      <vt:variant>
        <vt:i4>1900603</vt:i4>
      </vt:variant>
      <vt:variant>
        <vt:i4>35</vt:i4>
      </vt:variant>
      <vt:variant>
        <vt:i4>0</vt:i4>
      </vt:variant>
      <vt:variant>
        <vt:i4>5</vt:i4>
      </vt:variant>
      <vt:variant>
        <vt:lpwstr/>
      </vt:variant>
      <vt:variant>
        <vt:lpwstr>_Toc89329998</vt:lpwstr>
      </vt:variant>
      <vt:variant>
        <vt:i4>1179707</vt:i4>
      </vt:variant>
      <vt:variant>
        <vt:i4>29</vt:i4>
      </vt:variant>
      <vt:variant>
        <vt:i4>0</vt:i4>
      </vt:variant>
      <vt:variant>
        <vt:i4>5</vt:i4>
      </vt:variant>
      <vt:variant>
        <vt:lpwstr/>
      </vt:variant>
      <vt:variant>
        <vt:lpwstr>_Toc89329997</vt:lpwstr>
      </vt:variant>
      <vt:variant>
        <vt:i4>1245243</vt:i4>
      </vt:variant>
      <vt:variant>
        <vt:i4>23</vt:i4>
      </vt:variant>
      <vt:variant>
        <vt:i4>0</vt:i4>
      </vt:variant>
      <vt:variant>
        <vt:i4>5</vt:i4>
      </vt:variant>
      <vt:variant>
        <vt:lpwstr/>
      </vt:variant>
      <vt:variant>
        <vt:lpwstr>_Toc89329996</vt:lpwstr>
      </vt:variant>
      <vt:variant>
        <vt:i4>1048635</vt:i4>
      </vt:variant>
      <vt:variant>
        <vt:i4>17</vt:i4>
      </vt:variant>
      <vt:variant>
        <vt:i4>0</vt:i4>
      </vt:variant>
      <vt:variant>
        <vt:i4>5</vt:i4>
      </vt:variant>
      <vt:variant>
        <vt:lpwstr/>
      </vt:variant>
      <vt:variant>
        <vt:lpwstr>_Toc89329995</vt:lpwstr>
      </vt:variant>
      <vt:variant>
        <vt:i4>1114171</vt:i4>
      </vt:variant>
      <vt:variant>
        <vt:i4>11</vt:i4>
      </vt:variant>
      <vt:variant>
        <vt:i4>0</vt:i4>
      </vt:variant>
      <vt:variant>
        <vt:i4>5</vt:i4>
      </vt:variant>
      <vt:variant>
        <vt:lpwstr/>
      </vt:variant>
      <vt:variant>
        <vt:lpwstr>_Toc89329994</vt:lpwstr>
      </vt:variant>
      <vt:variant>
        <vt:i4>1441851</vt:i4>
      </vt:variant>
      <vt:variant>
        <vt:i4>5</vt:i4>
      </vt:variant>
      <vt:variant>
        <vt:i4>0</vt:i4>
      </vt:variant>
      <vt:variant>
        <vt:i4>5</vt:i4>
      </vt:variant>
      <vt:variant>
        <vt:lpwstr/>
      </vt:variant>
      <vt:variant>
        <vt:lpwstr>_Toc89329993</vt:lpwstr>
      </vt:variant>
      <vt:variant>
        <vt:i4>2162721</vt:i4>
      </vt:variant>
      <vt:variant>
        <vt:i4>0</vt:i4>
      </vt:variant>
      <vt:variant>
        <vt:i4>0</vt:i4>
      </vt:variant>
      <vt:variant>
        <vt:i4>5</vt:i4>
      </vt:variant>
      <vt:variant>
        <vt:lpwstr>http://www.cpag.org.nz/</vt:lpwstr>
      </vt:variant>
      <vt:variant>
        <vt:lpwstr/>
      </vt:variant>
      <vt:variant>
        <vt:i4>1245207</vt:i4>
      </vt:variant>
      <vt:variant>
        <vt:i4>9</vt:i4>
      </vt:variant>
      <vt:variant>
        <vt:i4>0</vt:i4>
      </vt:variant>
      <vt:variant>
        <vt:i4>5</vt:i4>
      </vt:variant>
      <vt:variant>
        <vt:lpwstr>https://www.stuff.co.nz/national/300418067/the-mothers-struggling-to-feed-their-babies-while-the-state-keeps-all-their-child-support?rm=a</vt:lpwstr>
      </vt:variant>
      <vt:variant>
        <vt:lpwstr/>
      </vt:variant>
      <vt:variant>
        <vt:i4>6291494</vt:i4>
      </vt:variant>
      <vt:variant>
        <vt:i4>6</vt:i4>
      </vt:variant>
      <vt:variant>
        <vt:i4>0</vt:i4>
      </vt:variant>
      <vt:variant>
        <vt:i4>5</vt:i4>
      </vt:variant>
      <vt:variant>
        <vt:lpwstr>https://www.cpag.org.nz/resources/kia-piki-ake-te-mana-tangata-korero-with/</vt:lpwstr>
      </vt:variant>
      <vt:variant>
        <vt:lpwstr/>
      </vt:variant>
      <vt:variant>
        <vt:i4>560267384</vt:i4>
      </vt:variant>
      <vt:variant>
        <vt:i4>3</vt:i4>
      </vt:variant>
      <vt:variant>
        <vt:i4>0</vt:i4>
      </vt:variant>
      <vt:variant>
        <vt:i4>5</vt:i4>
      </vt:variant>
      <vt:variant>
        <vt:lpwstr>C:\Users\Comms\Documents\McMeeking S, Kahi H, Kururangi G, Maurice E (2019). Kia Piki Ake Te Mana Tāngata— Review of the WEAG Tikanga Framework. Ministry of Social Development. Welfare Expert Advisory Group. Ministry of Social Development</vt:lpwstr>
      </vt:variant>
      <vt:variant>
        <vt:lpwstr/>
      </vt:variant>
      <vt:variant>
        <vt:i4>6684731</vt:i4>
      </vt:variant>
      <vt:variant>
        <vt:i4>0</vt:i4>
      </vt:variant>
      <vt:variant>
        <vt:i4>0</vt:i4>
      </vt:variant>
      <vt:variant>
        <vt:i4>5</vt:i4>
      </vt:variant>
      <vt:variant>
        <vt:lpwstr>https://www.cpag.org.nz/the-governments-response-to-lockdown-hardship/</vt:lpwstr>
      </vt:variant>
      <vt:variant>
        <vt:lpwstr/>
      </vt:variant>
      <vt:variant>
        <vt:i4>6291494</vt:i4>
      </vt:variant>
      <vt:variant>
        <vt:i4>0</vt:i4>
      </vt:variant>
      <vt:variant>
        <vt:i4>0</vt:i4>
      </vt:variant>
      <vt:variant>
        <vt:i4>5</vt:i4>
      </vt:variant>
      <vt:variant>
        <vt:lpwstr>https://www.cpag.org.nz/resources/kia-piki-ake-te-mana-tangata-korero-with/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Neuwelt-Kearns</dc:creator>
  <cp:keywords/>
  <dc:description/>
  <cp:lastModifiedBy>Laura Bond</cp:lastModifiedBy>
  <cp:revision>2</cp:revision>
  <cp:lastPrinted>2021-12-06T00:13:00Z</cp:lastPrinted>
  <dcterms:created xsi:type="dcterms:W3CDTF">2021-12-07T02:42:00Z</dcterms:created>
  <dcterms:modified xsi:type="dcterms:W3CDTF">2021-12-07T02:42:00Z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0x010100C8ADD4DDAAAAEA439446F31CB813A556</vt:lpwstr>
  </property>
</Properties>
</file>