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33A6" w14:textId="77777777" w:rsidR="00FA0852" w:rsidRPr="00B6039A" w:rsidRDefault="00FA0852" w:rsidP="00FA0852">
      <w:pPr>
        <w:rPr>
          <w:sz w:val="24"/>
          <w:szCs w:val="24"/>
        </w:rPr>
      </w:pPr>
      <w:r w:rsidRPr="00B6039A">
        <w:rPr>
          <w:noProof/>
          <w:lang w:eastAsia="en-NZ"/>
        </w:rPr>
        <w:drawing>
          <wp:anchor distT="0" distB="0" distL="114300" distR="114300" simplePos="0" relativeHeight="251659264" behindDoc="0" locked="0" layoutInCell="1" allowOverlap="1" wp14:anchorId="0172C3EA" wp14:editId="7A5B002B">
            <wp:simplePos x="0" y="0"/>
            <wp:positionH relativeFrom="margin">
              <wp:align>right</wp:align>
            </wp:positionH>
            <wp:positionV relativeFrom="paragraph">
              <wp:posOffset>136525</wp:posOffset>
            </wp:positionV>
            <wp:extent cx="2934970" cy="650875"/>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4970" cy="650875"/>
                    </a:xfrm>
                    <a:prstGeom prst="rect">
                      <a:avLst/>
                    </a:prstGeom>
                  </pic:spPr>
                </pic:pic>
              </a:graphicData>
            </a:graphic>
            <wp14:sizeRelH relativeFrom="page">
              <wp14:pctWidth>0</wp14:pctWidth>
            </wp14:sizeRelH>
            <wp14:sizeRelV relativeFrom="page">
              <wp14:pctHeight>0</wp14:pctHeight>
            </wp14:sizeRelV>
          </wp:anchor>
        </w:drawing>
      </w:r>
      <w:r w:rsidRPr="00B6039A">
        <w:rPr>
          <w:noProof/>
          <w:lang w:eastAsia="en-NZ"/>
        </w:rPr>
        <w:drawing>
          <wp:anchor distT="0" distB="0" distL="114300" distR="114300" simplePos="0" relativeHeight="251660288" behindDoc="0" locked="0" layoutInCell="1" allowOverlap="1" wp14:anchorId="6DFCA633" wp14:editId="0B0C3CBB">
            <wp:simplePos x="0" y="0"/>
            <wp:positionH relativeFrom="margin">
              <wp:align>left</wp:align>
            </wp:positionH>
            <wp:positionV relativeFrom="paragraph">
              <wp:posOffset>-33655</wp:posOffset>
            </wp:positionV>
            <wp:extent cx="1804946" cy="1351721"/>
            <wp:effectExtent l="0" t="0" r="0" b="0"/>
            <wp:wrapNone/>
            <wp:docPr id="14" name="Picture 14" descr="CPAG logo: name of the group in capital letters save the &quot;i&quot; in &quot;CHiLD&quot;"/>
            <wp:cNvGraphicFramePr/>
            <a:graphic xmlns:a="http://schemas.openxmlformats.org/drawingml/2006/main">
              <a:graphicData uri="http://schemas.openxmlformats.org/drawingml/2006/picture">
                <pic:pic xmlns:pic="http://schemas.openxmlformats.org/drawingml/2006/picture">
                  <pic:nvPicPr>
                    <pic:cNvPr id="14" name="Picture 14" descr="CPAG logo: name of the group in capital letters save the &quot;i&quot; in &quot;CHiLD&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946" cy="13517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F4544" w14:textId="77777777" w:rsidR="00FA0852" w:rsidRPr="00B6039A" w:rsidRDefault="00FA0852" w:rsidP="00FA0852">
      <w:pPr>
        <w:rPr>
          <w:sz w:val="24"/>
          <w:szCs w:val="24"/>
        </w:rPr>
      </w:pPr>
      <w:r w:rsidRPr="00B6039A">
        <w:rPr>
          <w:sz w:val="24"/>
          <w:szCs w:val="24"/>
        </w:rPr>
        <w:t xml:space="preserve">                             </w:t>
      </w:r>
    </w:p>
    <w:p w14:paraId="7EF112FF" w14:textId="77777777" w:rsidR="00FA0852" w:rsidRPr="00B6039A" w:rsidRDefault="00FA0852" w:rsidP="00FA0852">
      <w:pPr>
        <w:pStyle w:val="Heading1"/>
        <w:jc w:val="center"/>
      </w:pPr>
    </w:p>
    <w:p w14:paraId="4AA8B4E6" w14:textId="77777777" w:rsidR="00185F40" w:rsidRPr="00B6039A" w:rsidRDefault="00185F40" w:rsidP="00137D41">
      <w:pPr>
        <w:ind w:left="0" w:firstLine="0"/>
        <w:rPr>
          <w:b/>
          <w:sz w:val="28"/>
        </w:rPr>
      </w:pPr>
    </w:p>
    <w:p w14:paraId="4530BEB0" w14:textId="77777777" w:rsidR="00185F40" w:rsidRPr="00B6039A" w:rsidRDefault="00185F40" w:rsidP="00137D41">
      <w:pPr>
        <w:ind w:left="0" w:firstLine="0"/>
        <w:rPr>
          <w:b/>
          <w:sz w:val="28"/>
        </w:rPr>
      </w:pPr>
    </w:p>
    <w:p w14:paraId="7A103C54" w14:textId="77777777" w:rsidR="00185F40" w:rsidRPr="00B6039A" w:rsidRDefault="00185F40" w:rsidP="00137D41">
      <w:pPr>
        <w:ind w:left="0" w:firstLine="0"/>
        <w:rPr>
          <w:b/>
          <w:sz w:val="28"/>
        </w:rPr>
      </w:pPr>
    </w:p>
    <w:p w14:paraId="5BE74CEA" w14:textId="77777777" w:rsidR="00185F40" w:rsidRPr="00B6039A" w:rsidRDefault="00185F40" w:rsidP="00137D41">
      <w:pPr>
        <w:ind w:left="0" w:firstLine="0"/>
        <w:rPr>
          <w:b/>
          <w:sz w:val="28"/>
        </w:rPr>
      </w:pPr>
    </w:p>
    <w:p w14:paraId="537E8426" w14:textId="77777777" w:rsidR="00185F40" w:rsidRPr="00B6039A" w:rsidRDefault="00185F40" w:rsidP="00137D41">
      <w:pPr>
        <w:ind w:left="0" w:firstLine="0"/>
        <w:rPr>
          <w:b/>
          <w:sz w:val="28"/>
        </w:rPr>
      </w:pPr>
    </w:p>
    <w:p w14:paraId="37A08929" w14:textId="77777777" w:rsidR="00185F40" w:rsidRPr="00B6039A" w:rsidRDefault="00185F40" w:rsidP="00137D41">
      <w:pPr>
        <w:ind w:left="0" w:firstLine="0"/>
        <w:rPr>
          <w:b/>
          <w:sz w:val="28"/>
        </w:rPr>
      </w:pPr>
    </w:p>
    <w:p w14:paraId="24BABE31" w14:textId="77777777" w:rsidR="00185F40" w:rsidRPr="00B6039A" w:rsidRDefault="00185F40" w:rsidP="00137D41">
      <w:pPr>
        <w:ind w:left="0" w:firstLine="0"/>
        <w:rPr>
          <w:b/>
          <w:sz w:val="28"/>
        </w:rPr>
      </w:pPr>
    </w:p>
    <w:p w14:paraId="2B1F1E8A" w14:textId="77777777" w:rsidR="00185F40" w:rsidRPr="00B6039A" w:rsidRDefault="00185F40" w:rsidP="00137D41">
      <w:pPr>
        <w:ind w:left="0" w:firstLine="0"/>
        <w:rPr>
          <w:b/>
          <w:sz w:val="28"/>
        </w:rPr>
      </w:pPr>
    </w:p>
    <w:p w14:paraId="63E36B92" w14:textId="77777777" w:rsidR="00185F40" w:rsidRPr="00B6039A" w:rsidRDefault="00185F40" w:rsidP="00137D41">
      <w:pPr>
        <w:ind w:left="0" w:firstLine="0"/>
        <w:rPr>
          <w:b/>
          <w:sz w:val="28"/>
        </w:rPr>
      </w:pPr>
    </w:p>
    <w:p w14:paraId="26A2BF45" w14:textId="77777777" w:rsidR="00185F40" w:rsidRPr="00B6039A" w:rsidRDefault="00185F40" w:rsidP="00137D41">
      <w:pPr>
        <w:ind w:left="0" w:firstLine="0"/>
        <w:rPr>
          <w:b/>
          <w:sz w:val="28"/>
        </w:rPr>
      </w:pPr>
    </w:p>
    <w:p w14:paraId="2E08F074" w14:textId="77777777" w:rsidR="00185F40" w:rsidRPr="00B6039A" w:rsidRDefault="00185F40" w:rsidP="00137D41">
      <w:pPr>
        <w:ind w:left="0" w:firstLine="0"/>
        <w:rPr>
          <w:b/>
          <w:sz w:val="28"/>
        </w:rPr>
      </w:pPr>
    </w:p>
    <w:p w14:paraId="27FD4F82" w14:textId="77777777" w:rsidR="00185F40" w:rsidRPr="00B6039A" w:rsidRDefault="00185F40" w:rsidP="00137D41">
      <w:pPr>
        <w:ind w:left="0" w:firstLine="0"/>
        <w:rPr>
          <w:b/>
          <w:sz w:val="28"/>
        </w:rPr>
      </w:pPr>
    </w:p>
    <w:p w14:paraId="3BDFFF00" w14:textId="77777777" w:rsidR="00185F40" w:rsidRPr="00B6039A" w:rsidRDefault="00185F40" w:rsidP="00137D41">
      <w:pPr>
        <w:ind w:left="0" w:firstLine="0"/>
        <w:rPr>
          <w:b/>
          <w:sz w:val="28"/>
        </w:rPr>
      </w:pPr>
    </w:p>
    <w:p w14:paraId="1B467580" w14:textId="77777777" w:rsidR="00185F40" w:rsidRPr="00B6039A" w:rsidRDefault="00185F40" w:rsidP="00185F40">
      <w:pPr>
        <w:ind w:left="0" w:firstLine="0"/>
        <w:jc w:val="center"/>
        <w:rPr>
          <w:b/>
          <w:sz w:val="44"/>
        </w:rPr>
      </w:pPr>
      <w:bookmarkStart w:id="0" w:name="_Hlk57383628"/>
      <w:r w:rsidRPr="00B6039A">
        <w:rPr>
          <w:b/>
          <w:sz w:val="44"/>
        </w:rPr>
        <w:t>What happened to ‘welfare overhaul’?</w:t>
      </w:r>
    </w:p>
    <w:p w14:paraId="79166273" w14:textId="104EC305" w:rsidR="00185F40" w:rsidRPr="00B6039A" w:rsidRDefault="00185F40" w:rsidP="00185F40">
      <w:pPr>
        <w:ind w:left="0" w:firstLine="0"/>
        <w:jc w:val="center"/>
        <w:rPr>
          <w:b/>
          <w:sz w:val="32"/>
        </w:rPr>
      </w:pPr>
      <w:r w:rsidRPr="00B6039A">
        <w:rPr>
          <w:b/>
          <w:sz w:val="32"/>
        </w:rPr>
        <w:t>A stocktake of implementation of the Welfare Expert Advisory Group’s 2019 recommendations</w:t>
      </w:r>
      <w:bookmarkEnd w:id="0"/>
    </w:p>
    <w:p w14:paraId="6ACBC365" w14:textId="77777777" w:rsidR="00185F40" w:rsidRPr="00B6039A" w:rsidRDefault="00185F40" w:rsidP="00137D41">
      <w:pPr>
        <w:ind w:left="0" w:firstLine="0"/>
        <w:rPr>
          <w:b/>
          <w:sz w:val="28"/>
        </w:rPr>
      </w:pPr>
    </w:p>
    <w:p w14:paraId="2613F001" w14:textId="77777777" w:rsidR="00185F40" w:rsidRPr="00B6039A" w:rsidRDefault="00185F40" w:rsidP="00137D41">
      <w:pPr>
        <w:ind w:left="0" w:firstLine="0"/>
        <w:rPr>
          <w:b/>
          <w:sz w:val="28"/>
        </w:rPr>
      </w:pPr>
    </w:p>
    <w:p w14:paraId="65EB2902" w14:textId="77777777" w:rsidR="00185F40" w:rsidRPr="00B6039A" w:rsidRDefault="00185F40" w:rsidP="00137D41">
      <w:pPr>
        <w:ind w:left="0" w:firstLine="0"/>
        <w:rPr>
          <w:b/>
          <w:sz w:val="28"/>
        </w:rPr>
      </w:pPr>
    </w:p>
    <w:p w14:paraId="099118FB" w14:textId="24B45B6B" w:rsidR="00185F40" w:rsidRPr="00B6039A" w:rsidRDefault="00FC79D6" w:rsidP="00137D41">
      <w:pPr>
        <w:ind w:left="0" w:firstLine="0"/>
        <w:rPr>
          <w:sz w:val="28"/>
        </w:rPr>
      </w:pPr>
      <w:r w:rsidRPr="00B6039A">
        <w:rPr>
          <w:sz w:val="28"/>
        </w:rPr>
        <w:t xml:space="preserve">Caitlin </w:t>
      </w:r>
      <w:proofErr w:type="spellStart"/>
      <w:r w:rsidRPr="00B6039A">
        <w:rPr>
          <w:sz w:val="28"/>
        </w:rPr>
        <w:t>Neuwelt</w:t>
      </w:r>
      <w:proofErr w:type="spellEnd"/>
      <w:r w:rsidRPr="00B6039A">
        <w:rPr>
          <w:sz w:val="28"/>
        </w:rPr>
        <w:t>-Kearns</w:t>
      </w:r>
      <w:r w:rsidR="003D018C" w:rsidRPr="00B6039A">
        <w:rPr>
          <w:sz w:val="28"/>
        </w:rPr>
        <w:t>, Innes Asher</w:t>
      </w:r>
    </w:p>
    <w:p w14:paraId="1E781433" w14:textId="77777777" w:rsidR="00387998" w:rsidRPr="00B6039A" w:rsidRDefault="00387998" w:rsidP="00137D41">
      <w:pPr>
        <w:ind w:left="0" w:firstLine="0"/>
        <w:rPr>
          <w:sz w:val="28"/>
        </w:rPr>
      </w:pPr>
      <w:r w:rsidRPr="00B6039A">
        <w:rPr>
          <w:sz w:val="28"/>
        </w:rPr>
        <w:t>November 2020</w:t>
      </w:r>
    </w:p>
    <w:p w14:paraId="7FABB926" w14:textId="77777777" w:rsidR="00FC79D6" w:rsidRPr="00B6039A" w:rsidRDefault="00FC79D6" w:rsidP="00137D41">
      <w:pPr>
        <w:ind w:left="0" w:firstLine="0"/>
        <w:rPr>
          <w:sz w:val="28"/>
        </w:rPr>
      </w:pPr>
      <w:r w:rsidRPr="00B6039A">
        <w:rPr>
          <w:sz w:val="28"/>
        </w:rPr>
        <w:t>Child Poverty Action G</w:t>
      </w:r>
      <w:r w:rsidR="00F744FF" w:rsidRPr="00B6039A">
        <w:rPr>
          <w:sz w:val="28"/>
        </w:rPr>
        <w:t>r</w:t>
      </w:r>
      <w:r w:rsidRPr="00B6039A">
        <w:rPr>
          <w:sz w:val="28"/>
        </w:rPr>
        <w:t>oup</w:t>
      </w:r>
      <w:r w:rsidR="00F744FF" w:rsidRPr="00B6039A">
        <w:rPr>
          <w:sz w:val="28"/>
        </w:rPr>
        <w:t xml:space="preserve"> </w:t>
      </w:r>
    </w:p>
    <w:p w14:paraId="79EAD1B9" w14:textId="446C2EA7" w:rsidR="00185F40" w:rsidRPr="00B6039A" w:rsidRDefault="00185F40" w:rsidP="00137D41">
      <w:pPr>
        <w:ind w:left="0" w:firstLine="0"/>
        <w:rPr>
          <w:b/>
          <w:sz w:val="28"/>
        </w:rPr>
      </w:pPr>
    </w:p>
    <w:p w14:paraId="054689B3" w14:textId="0750299F" w:rsidR="009D4DFC" w:rsidRPr="00B6039A" w:rsidRDefault="009D4DFC" w:rsidP="00137D41">
      <w:pPr>
        <w:ind w:left="0" w:firstLine="0"/>
        <w:rPr>
          <w:b/>
          <w:sz w:val="28"/>
        </w:rPr>
      </w:pPr>
    </w:p>
    <w:p w14:paraId="7E59D9DF" w14:textId="77777777" w:rsidR="005A6469" w:rsidRPr="00B6039A" w:rsidRDefault="005A6469">
      <w:pPr>
        <w:rPr>
          <w:b/>
          <w:sz w:val="28"/>
        </w:rPr>
      </w:pPr>
      <w:bookmarkStart w:id="1" w:name="_Toc57025839"/>
    </w:p>
    <w:p w14:paraId="4D1BEC2E" w14:textId="77777777" w:rsidR="005A6469" w:rsidRPr="00B6039A" w:rsidRDefault="005A6469">
      <w:pPr>
        <w:rPr>
          <w:b/>
          <w:sz w:val="28"/>
        </w:rPr>
      </w:pPr>
    </w:p>
    <w:p w14:paraId="1A87F1F6" w14:textId="77777777" w:rsidR="005A6469" w:rsidRPr="00B6039A" w:rsidRDefault="005A6469">
      <w:pPr>
        <w:rPr>
          <w:b/>
          <w:sz w:val="28"/>
        </w:rPr>
      </w:pPr>
    </w:p>
    <w:p w14:paraId="574923E0" w14:textId="77777777" w:rsidR="005A6469" w:rsidRPr="00B6039A" w:rsidRDefault="005A6469">
      <w:pPr>
        <w:rPr>
          <w:b/>
          <w:sz w:val="28"/>
        </w:rPr>
      </w:pPr>
    </w:p>
    <w:p w14:paraId="028D6FDD" w14:textId="77777777" w:rsidR="005A6469" w:rsidRPr="00B6039A" w:rsidRDefault="005A6469">
      <w:pPr>
        <w:rPr>
          <w:b/>
          <w:sz w:val="28"/>
        </w:rPr>
      </w:pPr>
    </w:p>
    <w:p w14:paraId="05A8D4F3" w14:textId="77777777" w:rsidR="005A6469" w:rsidRPr="00B6039A" w:rsidRDefault="005A6469">
      <w:pPr>
        <w:rPr>
          <w:b/>
          <w:sz w:val="28"/>
        </w:rPr>
      </w:pPr>
    </w:p>
    <w:p w14:paraId="064D96BB" w14:textId="77777777" w:rsidR="005A6469" w:rsidRPr="00B6039A" w:rsidRDefault="005A6469">
      <w:pPr>
        <w:rPr>
          <w:b/>
          <w:sz w:val="28"/>
        </w:rPr>
      </w:pPr>
    </w:p>
    <w:p w14:paraId="74B71086" w14:textId="77777777" w:rsidR="005A6469" w:rsidRPr="00B6039A" w:rsidRDefault="005A6469">
      <w:pPr>
        <w:rPr>
          <w:sz w:val="24"/>
          <w:szCs w:val="24"/>
        </w:rPr>
      </w:pPr>
      <w:r w:rsidRPr="00B6039A">
        <w:rPr>
          <w:sz w:val="24"/>
          <w:szCs w:val="24"/>
        </w:rPr>
        <w:t xml:space="preserve">Child Poverty Action Group Inc. </w:t>
      </w:r>
    </w:p>
    <w:p w14:paraId="186912DA" w14:textId="77777777" w:rsidR="005A6469" w:rsidRPr="00B6039A" w:rsidRDefault="005A6469">
      <w:pPr>
        <w:rPr>
          <w:sz w:val="24"/>
          <w:szCs w:val="24"/>
        </w:rPr>
      </w:pPr>
      <w:r w:rsidRPr="00B6039A">
        <w:rPr>
          <w:sz w:val="24"/>
          <w:szCs w:val="24"/>
        </w:rPr>
        <w:t xml:space="preserve">PO Box 5611, </w:t>
      </w:r>
    </w:p>
    <w:p w14:paraId="64FF5662" w14:textId="77777777" w:rsidR="005A6469" w:rsidRPr="00B6039A" w:rsidRDefault="005A6469">
      <w:pPr>
        <w:rPr>
          <w:sz w:val="24"/>
          <w:szCs w:val="24"/>
        </w:rPr>
      </w:pPr>
      <w:r w:rsidRPr="00B6039A">
        <w:rPr>
          <w:sz w:val="24"/>
          <w:szCs w:val="24"/>
        </w:rPr>
        <w:t xml:space="preserve">Wellesley St, </w:t>
      </w:r>
    </w:p>
    <w:p w14:paraId="05195875" w14:textId="77777777" w:rsidR="005A6469" w:rsidRPr="00B6039A" w:rsidRDefault="005A6469">
      <w:pPr>
        <w:rPr>
          <w:sz w:val="24"/>
          <w:szCs w:val="24"/>
        </w:rPr>
      </w:pPr>
      <w:r w:rsidRPr="00B6039A">
        <w:rPr>
          <w:sz w:val="24"/>
          <w:szCs w:val="24"/>
        </w:rPr>
        <w:t xml:space="preserve">Auckland 1141 </w:t>
      </w:r>
    </w:p>
    <w:p w14:paraId="290688D1" w14:textId="32A1D29B" w:rsidR="005A6469" w:rsidRPr="00B6039A" w:rsidRDefault="005A6469">
      <w:pPr>
        <w:rPr>
          <w:b/>
          <w:sz w:val="24"/>
          <w:szCs w:val="24"/>
        </w:rPr>
      </w:pPr>
      <w:r w:rsidRPr="00B6039A">
        <w:rPr>
          <w:sz w:val="24"/>
          <w:szCs w:val="24"/>
        </w:rPr>
        <w:t>www.cpag.org.nz</w:t>
      </w:r>
    </w:p>
    <w:p w14:paraId="5B1B612F" w14:textId="699C3768" w:rsidR="009D4DFC" w:rsidRPr="00B6039A" w:rsidRDefault="009D4DFC">
      <w:pPr>
        <w:rPr>
          <w:b/>
          <w:sz w:val="28"/>
        </w:rPr>
      </w:pPr>
      <w:r w:rsidRPr="00B6039A">
        <w:rPr>
          <w:b/>
          <w:sz w:val="28"/>
        </w:rPr>
        <w:br w:type="page"/>
      </w:r>
    </w:p>
    <w:p w14:paraId="47199FD3" w14:textId="77777777" w:rsidR="005A6469" w:rsidRPr="00B6039A" w:rsidRDefault="005A6469" w:rsidP="00CE50A8">
      <w:pPr>
        <w:pStyle w:val="Heading1"/>
      </w:pPr>
    </w:p>
    <w:p w14:paraId="63C1FB61" w14:textId="74E66E12" w:rsidR="00BF1362" w:rsidRPr="00B6039A" w:rsidRDefault="00CE50A8" w:rsidP="005A6469">
      <w:pPr>
        <w:pStyle w:val="Heading1"/>
        <w:ind w:hanging="446"/>
      </w:pPr>
      <w:r w:rsidRPr="00B6039A">
        <w:t>About Child Poverty Action Group</w:t>
      </w:r>
      <w:bookmarkEnd w:id="1"/>
    </w:p>
    <w:p w14:paraId="76B1ADE8" w14:textId="77777777" w:rsidR="00D35876" w:rsidRPr="00B6039A" w:rsidRDefault="00D35876" w:rsidP="00D35876"/>
    <w:p w14:paraId="1A86C3C0" w14:textId="77777777" w:rsidR="00CE50A8" w:rsidRPr="00B6039A" w:rsidRDefault="00CE50A8" w:rsidP="005A6469">
      <w:pPr>
        <w:pStyle w:val="Default"/>
        <w:spacing w:after="120"/>
      </w:pPr>
      <w:r w:rsidRPr="00B6039A">
        <w:t xml:space="preserve">Child Poverty Action Group (Inc) (CPAG) is a non-profit group formed in 1994, made up of academics, activists, practitioners and supporters. CPAG has a strong education and research skills base which enables it to contribute to better informed social policy to support children in Aotearoa New Zealand, specifically children who live in poverty. </w:t>
      </w:r>
    </w:p>
    <w:p w14:paraId="3F1068CD" w14:textId="77777777" w:rsidR="00CE50A8" w:rsidRPr="00B6039A" w:rsidRDefault="00CE50A8" w:rsidP="005A6469">
      <w:pPr>
        <w:pStyle w:val="Default"/>
        <w:spacing w:after="120"/>
      </w:pPr>
      <w:r w:rsidRPr="00B6039A">
        <w:t xml:space="preserve">CPAG believes that the country’s high rate of child poverty is not the result of economic necessity, but is due to policy neglect and a flawed ideological emphasis on economic incentives. Through research, CPAG highlights the position of tens of thousands of New Zealand children, and promotes public policies that address the underlying causes of the poverty they live in. </w:t>
      </w:r>
    </w:p>
    <w:p w14:paraId="19699E63" w14:textId="1A4C55E1" w:rsidR="00D35876" w:rsidRPr="00B6039A" w:rsidRDefault="00CE50A8" w:rsidP="009D4DFC">
      <w:pPr>
        <w:ind w:left="0" w:hanging="4"/>
        <w:rPr>
          <w:sz w:val="24"/>
          <w:szCs w:val="24"/>
        </w:rPr>
      </w:pPr>
      <w:r w:rsidRPr="00B6039A">
        <w:rPr>
          <w:sz w:val="24"/>
          <w:szCs w:val="24"/>
        </w:rPr>
        <w:t xml:space="preserve">If you are not already supporting CPAG and you would like to make a donation to assist with ongoing work, please contact us at the address below or through our website: </w:t>
      </w:r>
      <w:hyperlink r:id="rId10" w:history="1">
        <w:r w:rsidRPr="00B6039A">
          <w:rPr>
            <w:rStyle w:val="Hyperlink"/>
            <w:sz w:val="24"/>
            <w:szCs w:val="24"/>
          </w:rPr>
          <w:t>www.cpag.org.nz</w:t>
        </w:r>
      </w:hyperlink>
      <w:r w:rsidRPr="00B6039A">
        <w:rPr>
          <w:sz w:val="24"/>
          <w:szCs w:val="24"/>
        </w:rPr>
        <w:t xml:space="preserve"> </w:t>
      </w:r>
    </w:p>
    <w:p w14:paraId="340D8485" w14:textId="77777777" w:rsidR="005E2A62" w:rsidRPr="00B6039A" w:rsidRDefault="005E2A62" w:rsidP="00CE50A8">
      <w:pPr>
        <w:rPr>
          <w:sz w:val="23"/>
          <w:szCs w:val="23"/>
        </w:rPr>
      </w:pPr>
    </w:p>
    <w:p w14:paraId="7667B86C" w14:textId="041AF77B" w:rsidR="009D4DFC" w:rsidRPr="00B6039A" w:rsidRDefault="009D4DFC" w:rsidP="00CE50A8">
      <w:pPr>
        <w:rPr>
          <w:sz w:val="23"/>
          <w:szCs w:val="23"/>
        </w:rPr>
      </w:pPr>
    </w:p>
    <w:p w14:paraId="7F8AB8D6" w14:textId="4CC70CF8" w:rsidR="009D4DFC" w:rsidRPr="00B6039A" w:rsidRDefault="009D4DFC" w:rsidP="005A6469">
      <w:pPr>
        <w:pStyle w:val="Heading1"/>
        <w:ind w:hanging="446"/>
      </w:pPr>
      <w:bookmarkStart w:id="2" w:name="_Toc57025841"/>
      <w:r w:rsidRPr="00B6039A">
        <w:t xml:space="preserve">About the </w:t>
      </w:r>
      <w:r w:rsidR="00B95447" w:rsidRPr="00B6039A">
        <w:t>A</w:t>
      </w:r>
      <w:r w:rsidRPr="00B6039A">
        <w:t>uthors</w:t>
      </w:r>
      <w:bookmarkEnd w:id="2"/>
    </w:p>
    <w:p w14:paraId="07E1F962" w14:textId="77777777" w:rsidR="009D4DFC" w:rsidRPr="00B6039A" w:rsidRDefault="009D4DFC" w:rsidP="009D4DFC">
      <w:pPr>
        <w:rPr>
          <w:sz w:val="24"/>
          <w:szCs w:val="24"/>
        </w:rPr>
      </w:pPr>
    </w:p>
    <w:p w14:paraId="0328E006" w14:textId="77777777" w:rsidR="009D4DFC" w:rsidRPr="00B6039A" w:rsidRDefault="009D4DFC" w:rsidP="009D4DFC">
      <w:pPr>
        <w:rPr>
          <w:sz w:val="24"/>
          <w:szCs w:val="24"/>
        </w:rPr>
      </w:pPr>
      <w:r w:rsidRPr="00B6039A">
        <w:rPr>
          <w:sz w:val="24"/>
          <w:szCs w:val="24"/>
        </w:rPr>
        <w:t xml:space="preserve">Caitlin </w:t>
      </w:r>
      <w:proofErr w:type="spellStart"/>
      <w:r w:rsidRPr="00B6039A">
        <w:rPr>
          <w:sz w:val="24"/>
          <w:szCs w:val="24"/>
        </w:rPr>
        <w:t>Neuwelt</w:t>
      </w:r>
      <w:proofErr w:type="spellEnd"/>
      <w:r w:rsidRPr="00B6039A">
        <w:rPr>
          <w:sz w:val="24"/>
          <w:szCs w:val="24"/>
        </w:rPr>
        <w:t xml:space="preserve">-Kearns is a researcher for CPAG. She also holds a research position with the Auckland City Mission. She completed a Master of Arts in Geography with First Class Honours at the University of Auckland in 2019, and her research interests lie in issues of access to health and social services, and framings of poverty. </w:t>
      </w:r>
    </w:p>
    <w:p w14:paraId="5226FB3A" w14:textId="77777777" w:rsidR="009D4DFC" w:rsidRPr="00B6039A" w:rsidRDefault="009D4DFC" w:rsidP="009D4DFC">
      <w:pPr>
        <w:rPr>
          <w:sz w:val="24"/>
          <w:szCs w:val="24"/>
        </w:rPr>
      </w:pPr>
    </w:p>
    <w:p w14:paraId="3C80D0FD" w14:textId="512BF499" w:rsidR="009D4DFC" w:rsidRPr="00B6039A" w:rsidRDefault="009D4DFC" w:rsidP="009D4DFC">
      <w:pPr>
        <w:rPr>
          <w:sz w:val="24"/>
          <w:szCs w:val="24"/>
        </w:rPr>
      </w:pPr>
      <w:r w:rsidRPr="00B6039A">
        <w:rPr>
          <w:sz w:val="24"/>
          <w:szCs w:val="24"/>
        </w:rPr>
        <w:t xml:space="preserve">Innes Asher </w:t>
      </w:r>
      <w:r w:rsidR="00C27D86" w:rsidRPr="00B6039A">
        <w:rPr>
          <w:sz w:val="24"/>
          <w:szCs w:val="24"/>
        </w:rPr>
        <w:t xml:space="preserve">ONZM </w:t>
      </w:r>
      <w:r w:rsidRPr="00B6039A">
        <w:rPr>
          <w:sz w:val="24"/>
          <w:szCs w:val="24"/>
        </w:rPr>
        <w:t xml:space="preserve">is Professor </w:t>
      </w:r>
      <w:r w:rsidR="00056925" w:rsidRPr="00B6039A">
        <w:rPr>
          <w:sz w:val="24"/>
          <w:szCs w:val="24"/>
        </w:rPr>
        <w:t xml:space="preserve">Emeritus </w:t>
      </w:r>
      <w:r w:rsidRPr="00B6039A">
        <w:rPr>
          <w:sz w:val="24"/>
          <w:szCs w:val="24"/>
        </w:rPr>
        <w:t xml:space="preserve">of Paediatrics in the University of Auckland’s Department of Paediatrics: Child and Youth Health, and until her retirement in September 2020 was Respiratory Paediatrician, </w:t>
      </w:r>
      <w:proofErr w:type="spellStart"/>
      <w:r w:rsidRPr="00B6039A">
        <w:rPr>
          <w:sz w:val="24"/>
          <w:szCs w:val="24"/>
        </w:rPr>
        <w:t>Starship</w:t>
      </w:r>
      <w:proofErr w:type="spellEnd"/>
      <w:r w:rsidRPr="00B6039A">
        <w:rPr>
          <w:sz w:val="24"/>
          <w:szCs w:val="24"/>
        </w:rPr>
        <w:t xml:space="preserve"> Children’s Health, Auckland. She was awarded the Health Research Council </w:t>
      </w:r>
      <w:proofErr w:type="spellStart"/>
      <w:r w:rsidRPr="00B6039A">
        <w:rPr>
          <w:sz w:val="24"/>
          <w:szCs w:val="24"/>
        </w:rPr>
        <w:t>Liley</w:t>
      </w:r>
      <w:proofErr w:type="spellEnd"/>
      <w:r w:rsidRPr="00B6039A">
        <w:rPr>
          <w:sz w:val="24"/>
          <w:szCs w:val="24"/>
        </w:rPr>
        <w:t xml:space="preserve"> Medal for her research leadership, and the NZ Medical Association Chair</w:t>
      </w:r>
      <w:r w:rsidR="00C27D86" w:rsidRPr="00B6039A">
        <w:rPr>
          <w:sz w:val="24"/>
          <w:szCs w:val="24"/>
        </w:rPr>
        <w:t>’</w:t>
      </w:r>
      <w:r w:rsidRPr="00B6039A">
        <w:rPr>
          <w:sz w:val="24"/>
          <w:szCs w:val="24"/>
        </w:rPr>
        <w:t>s award for her advocacy work. She serves on the Steering Group of New Zealand’s National Child and Youth Epidemiology Service. She is Chair of the Global Asthma Network and a WHO Expert on Chronic Respiratory Diseases. She was a member of the Government’s Welfare Expert Advisory Group 2018-19. She has been on the Management Committee of CPAG and a CPAG Health Spokesperson since 2000.</w:t>
      </w:r>
    </w:p>
    <w:p w14:paraId="34DE607D" w14:textId="77777777" w:rsidR="009D4DFC" w:rsidRPr="00B6039A" w:rsidRDefault="009D4DFC" w:rsidP="009D4DFC">
      <w:pPr>
        <w:rPr>
          <w:sz w:val="24"/>
          <w:szCs w:val="24"/>
        </w:rPr>
      </w:pPr>
    </w:p>
    <w:p w14:paraId="1994E10F" w14:textId="14A9A430" w:rsidR="009D4DFC" w:rsidRPr="00B6039A" w:rsidRDefault="009D4DFC" w:rsidP="00CE50A8">
      <w:pPr>
        <w:rPr>
          <w:sz w:val="23"/>
          <w:szCs w:val="23"/>
        </w:rPr>
      </w:pPr>
    </w:p>
    <w:p w14:paraId="39C68C53" w14:textId="77777777" w:rsidR="009D4DFC" w:rsidRPr="00B6039A" w:rsidRDefault="009D4DFC" w:rsidP="005A6469">
      <w:pPr>
        <w:pStyle w:val="Heading1"/>
        <w:spacing w:after="240"/>
        <w:ind w:left="442" w:hanging="357"/>
      </w:pPr>
      <w:bookmarkStart w:id="3" w:name="_Toc57025840"/>
      <w:r w:rsidRPr="00B6039A">
        <w:t>Acknowledgements</w:t>
      </w:r>
      <w:bookmarkEnd w:id="3"/>
    </w:p>
    <w:p w14:paraId="4B0C813B" w14:textId="25ADE0A4" w:rsidR="009D4DFC" w:rsidRPr="00B6039A" w:rsidRDefault="005A6469" w:rsidP="00CE50A8">
      <w:pPr>
        <w:rPr>
          <w:sz w:val="24"/>
          <w:szCs w:val="24"/>
        </w:rPr>
      </w:pPr>
      <w:r w:rsidRPr="00B6039A">
        <w:rPr>
          <w:sz w:val="24"/>
          <w:szCs w:val="24"/>
        </w:rPr>
        <w:t xml:space="preserve">The authors gratefully acknowledge the contributions of </w:t>
      </w:r>
      <w:r w:rsidR="00C27D86" w:rsidRPr="00B6039A">
        <w:rPr>
          <w:sz w:val="24"/>
          <w:szCs w:val="24"/>
        </w:rPr>
        <w:t xml:space="preserve">Associate Professor </w:t>
      </w:r>
      <w:r w:rsidR="00FA0852" w:rsidRPr="00B6039A">
        <w:rPr>
          <w:sz w:val="24"/>
          <w:szCs w:val="24"/>
        </w:rPr>
        <w:t>Susan St John</w:t>
      </w:r>
      <w:r w:rsidRPr="00B6039A">
        <w:rPr>
          <w:sz w:val="24"/>
          <w:szCs w:val="24"/>
        </w:rPr>
        <w:t xml:space="preserve"> </w:t>
      </w:r>
      <w:r w:rsidR="00C27D86" w:rsidRPr="00B6039A">
        <w:rPr>
          <w:sz w:val="24"/>
          <w:szCs w:val="24"/>
        </w:rPr>
        <w:t xml:space="preserve">CNZM </w:t>
      </w:r>
      <w:r w:rsidRPr="00B6039A">
        <w:rPr>
          <w:sz w:val="24"/>
          <w:szCs w:val="24"/>
        </w:rPr>
        <w:t xml:space="preserve">and Janet McAllister to this report, as well as helpful information furnished by </w:t>
      </w:r>
      <w:r w:rsidR="00056925" w:rsidRPr="00B6039A">
        <w:rPr>
          <w:sz w:val="24"/>
          <w:szCs w:val="24"/>
        </w:rPr>
        <w:t xml:space="preserve">several </w:t>
      </w:r>
      <w:r w:rsidRPr="00B6039A">
        <w:rPr>
          <w:sz w:val="24"/>
          <w:szCs w:val="24"/>
        </w:rPr>
        <w:t>WEAG members. Analysis and any errors remain the responsibility of the Child Poverty Action Group.</w:t>
      </w:r>
    </w:p>
    <w:p w14:paraId="6744361A" w14:textId="0DAFF4A8" w:rsidR="009D4DFC" w:rsidRPr="00B6039A" w:rsidRDefault="009D4DFC">
      <w:pPr>
        <w:rPr>
          <w:sz w:val="23"/>
          <w:szCs w:val="23"/>
        </w:rPr>
      </w:pPr>
      <w:r w:rsidRPr="00B6039A">
        <w:rPr>
          <w:sz w:val="23"/>
          <w:szCs w:val="23"/>
        </w:rPr>
        <w:br w:type="page"/>
      </w:r>
    </w:p>
    <w:p w14:paraId="32499631" w14:textId="77777777" w:rsidR="005E2A62" w:rsidRPr="00B6039A" w:rsidRDefault="005E2A62" w:rsidP="00CE50A8">
      <w:pPr>
        <w:rPr>
          <w:sz w:val="23"/>
          <w:szCs w:val="23"/>
        </w:rPr>
      </w:pPr>
    </w:p>
    <w:p w14:paraId="73DF0376" w14:textId="77777777" w:rsidR="005E2A62" w:rsidRPr="00B6039A" w:rsidRDefault="005E2A62" w:rsidP="00CE50A8">
      <w:pPr>
        <w:rPr>
          <w:sz w:val="23"/>
          <w:szCs w:val="23"/>
        </w:rPr>
      </w:pPr>
    </w:p>
    <w:p w14:paraId="4D94C3E5" w14:textId="74F664C1" w:rsidR="005E2A62" w:rsidRPr="00B6039A" w:rsidRDefault="005E2A62" w:rsidP="00CE50A8">
      <w:pPr>
        <w:rPr>
          <w:sz w:val="23"/>
          <w:szCs w:val="23"/>
        </w:rPr>
      </w:pPr>
    </w:p>
    <w:p w14:paraId="4DD5774A" w14:textId="77777777" w:rsidR="00D75A0A" w:rsidRPr="00B6039A" w:rsidRDefault="00D75A0A" w:rsidP="00D75A0A">
      <w:pPr>
        <w:pStyle w:val="b-qt"/>
        <w:spacing w:after="0" w:afterAutospacing="0"/>
        <w:ind w:left="720"/>
        <w:rPr>
          <w:rFonts w:asciiTheme="minorHAnsi" w:hAnsiTheme="minorHAnsi" w:cstheme="minorHAnsi"/>
          <w:i/>
          <w:sz w:val="28"/>
          <w:szCs w:val="28"/>
        </w:rPr>
      </w:pPr>
    </w:p>
    <w:p w14:paraId="0CF765EA" w14:textId="1AC68B29" w:rsidR="00E90DBC" w:rsidRPr="00B6039A" w:rsidRDefault="00E90DBC" w:rsidP="00D75A0A">
      <w:pPr>
        <w:pStyle w:val="b-qt"/>
        <w:spacing w:after="0" w:afterAutospacing="0"/>
        <w:ind w:left="720"/>
        <w:rPr>
          <w:rFonts w:asciiTheme="minorHAnsi" w:hAnsiTheme="minorHAnsi" w:cstheme="minorHAnsi"/>
          <w:i/>
          <w:sz w:val="28"/>
          <w:szCs w:val="28"/>
        </w:rPr>
      </w:pPr>
      <w:r w:rsidRPr="00B6039A">
        <w:rPr>
          <w:rFonts w:asciiTheme="minorHAnsi" w:hAnsiTheme="minorHAnsi" w:cstheme="minorHAnsi"/>
          <w:i/>
          <w:sz w:val="28"/>
          <w:szCs w:val="28"/>
        </w:rPr>
        <w:t xml:space="preserve">“Many things we need can wait. The child cannot. Now is the time his bones are formed, his mind developed. To him we cannot say tomorrow, his name is today.” </w:t>
      </w:r>
    </w:p>
    <w:p w14:paraId="2B844929" w14:textId="37F96063" w:rsidR="00E90DBC" w:rsidRPr="00B6039A" w:rsidRDefault="00225E13" w:rsidP="00D75A0A">
      <w:pPr>
        <w:pStyle w:val="ListParagraph"/>
        <w:numPr>
          <w:ilvl w:val="0"/>
          <w:numId w:val="24"/>
        </w:numPr>
        <w:jc w:val="right"/>
        <w:rPr>
          <w:sz w:val="24"/>
          <w:szCs w:val="24"/>
        </w:rPr>
      </w:pPr>
      <w:hyperlink r:id="rId11" w:history="1">
        <w:r w:rsidR="00E90DBC" w:rsidRPr="00B6039A">
          <w:rPr>
            <w:rStyle w:val="Hyperlink"/>
            <w:rFonts w:cstheme="minorHAnsi"/>
            <w:color w:val="auto"/>
            <w:sz w:val="24"/>
            <w:szCs w:val="24"/>
            <w:u w:val="none"/>
          </w:rPr>
          <w:t>Gabriela Mistral</w:t>
        </w:r>
      </w:hyperlink>
      <w:r w:rsidR="00276CD5" w:rsidRPr="00B6039A">
        <w:rPr>
          <w:rStyle w:val="Hyperlink"/>
          <w:rFonts w:cstheme="minorHAnsi"/>
          <w:color w:val="auto"/>
          <w:sz w:val="24"/>
          <w:szCs w:val="24"/>
          <w:u w:val="none"/>
        </w:rPr>
        <w:t xml:space="preserve"> (1889-1957)</w:t>
      </w:r>
    </w:p>
    <w:p w14:paraId="5F2C161C" w14:textId="77777777" w:rsidR="005E2A62" w:rsidRPr="00B6039A" w:rsidRDefault="005E2A62" w:rsidP="00CE50A8">
      <w:pPr>
        <w:rPr>
          <w:sz w:val="23"/>
          <w:szCs w:val="23"/>
        </w:rPr>
      </w:pPr>
    </w:p>
    <w:p w14:paraId="39591BEB" w14:textId="114E3218" w:rsidR="005E2A62" w:rsidRPr="00B6039A" w:rsidRDefault="005E2A62" w:rsidP="00CE50A8"/>
    <w:p w14:paraId="7FE47EE2" w14:textId="7BE49ED5" w:rsidR="00D75A0A" w:rsidRPr="00B6039A" w:rsidRDefault="00D75A0A" w:rsidP="00CE50A8"/>
    <w:p w14:paraId="0CAE3F9A" w14:textId="77777777" w:rsidR="00D75A0A" w:rsidRPr="00B6039A" w:rsidRDefault="00D75A0A" w:rsidP="00CE50A8"/>
    <w:sdt>
      <w:sdtPr>
        <w:rPr>
          <w:rFonts w:asciiTheme="minorHAnsi" w:eastAsiaTheme="minorHAnsi" w:hAnsiTheme="minorHAnsi" w:cstheme="minorBidi"/>
          <w:color w:val="auto"/>
          <w:sz w:val="22"/>
          <w:szCs w:val="22"/>
          <w:lang w:val="en-NZ"/>
        </w:rPr>
        <w:id w:val="-615906423"/>
        <w:docPartObj>
          <w:docPartGallery w:val="Table of Contents"/>
          <w:docPartUnique/>
        </w:docPartObj>
      </w:sdtPr>
      <w:sdtEndPr>
        <w:rPr>
          <w:b/>
          <w:bCs/>
          <w:noProof/>
        </w:rPr>
      </w:sdtEndPr>
      <w:sdtContent>
        <w:p w14:paraId="7CB7E00A" w14:textId="2EC5714D" w:rsidR="00F8737A" w:rsidRPr="00B6039A" w:rsidRDefault="00F8737A">
          <w:pPr>
            <w:pStyle w:val="TOCHeading"/>
            <w:rPr>
              <w:lang w:val="en-NZ"/>
            </w:rPr>
          </w:pPr>
          <w:r w:rsidRPr="00B6039A">
            <w:rPr>
              <w:lang w:val="en-NZ"/>
            </w:rPr>
            <w:t>Contents</w:t>
          </w:r>
        </w:p>
        <w:p w14:paraId="480B6709" w14:textId="47E020D2" w:rsidR="00F33463" w:rsidRPr="00B6039A" w:rsidRDefault="00F8737A" w:rsidP="009D4DFC">
          <w:pPr>
            <w:pStyle w:val="TOC1"/>
            <w:tabs>
              <w:tab w:val="right" w:leader="dot" w:pos="9016"/>
            </w:tabs>
            <w:rPr>
              <w:rFonts w:eastAsiaTheme="minorEastAsia"/>
              <w:noProof/>
              <w:sz w:val="24"/>
              <w:szCs w:val="24"/>
              <w:lang w:eastAsia="en-NZ"/>
            </w:rPr>
          </w:pPr>
          <w:r w:rsidRPr="00B6039A">
            <w:rPr>
              <w:b/>
              <w:bCs/>
              <w:noProof/>
              <w:sz w:val="24"/>
              <w:szCs w:val="24"/>
            </w:rPr>
            <w:fldChar w:fldCharType="begin"/>
          </w:r>
          <w:r w:rsidRPr="00B6039A">
            <w:rPr>
              <w:b/>
              <w:bCs/>
              <w:noProof/>
              <w:sz w:val="24"/>
              <w:szCs w:val="24"/>
            </w:rPr>
            <w:instrText xml:space="preserve"> TOC \o "1-3" \h \z \u </w:instrText>
          </w:r>
          <w:r w:rsidRPr="00B6039A">
            <w:rPr>
              <w:b/>
              <w:bCs/>
              <w:noProof/>
              <w:sz w:val="24"/>
              <w:szCs w:val="24"/>
            </w:rPr>
            <w:fldChar w:fldCharType="separate"/>
          </w:r>
        </w:p>
        <w:p w14:paraId="787CA586" w14:textId="71502E34" w:rsidR="00F33463" w:rsidRPr="00B6039A" w:rsidRDefault="00225E13">
          <w:pPr>
            <w:pStyle w:val="TOC1"/>
            <w:tabs>
              <w:tab w:val="right" w:leader="dot" w:pos="9016"/>
            </w:tabs>
            <w:rPr>
              <w:rFonts w:eastAsiaTheme="minorEastAsia"/>
              <w:noProof/>
              <w:sz w:val="24"/>
              <w:szCs w:val="24"/>
              <w:lang w:eastAsia="en-NZ"/>
            </w:rPr>
          </w:pPr>
          <w:hyperlink w:anchor="_Toc57025842" w:history="1">
            <w:r w:rsidR="00F33463" w:rsidRPr="00B6039A">
              <w:rPr>
                <w:rStyle w:val="Hyperlink"/>
                <w:noProof/>
                <w:sz w:val="24"/>
                <w:szCs w:val="24"/>
              </w:rPr>
              <w:t>Foreword</w:t>
            </w:r>
            <w:r w:rsidR="00F33463" w:rsidRPr="00B6039A">
              <w:rPr>
                <w:noProof/>
                <w:webHidden/>
                <w:sz w:val="24"/>
                <w:szCs w:val="24"/>
              </w:rPr>
              <w:tab/>
            </w:r>
            <w:r w:rsidR="00F33463" w:rsidRPr="00B6039A">
              <w:rPr>
                <w:noProof/>
                <w:webHidden/>
                <w:sz w:val="24"/>
                <w:szCs w:val="24"/>
              </w:rPr>
              <w:fldChar w:fldCharType="begin"/>
            </w:r>
            <w:r w:rsidR="00F33463" w:rsidRPr="00B6039A">
              <w:rPr>
                <w:noProof/>
                <w:webHidden/>
                <w:sz w:val="24"/>
                <w:szCs w:val="24"/>
              </w:rPr>
              <w:instrText xml:space="preserve"> PAGEREF _Toc57025842 \h </w:instrText>
            </w:r>
            <w:r w:rsidR="00F33463" w:rsidRPr="00B6039A">
              <w:rPr>
                <w:noProof/>
                <w:webHidden/>
                <w:sz w:val="24"/>
                <w:szCs w:val="24"/>
              </w:rPr>
            </w:r>
            <w:r w:rsidR="00F33463" w:rsidRPr="00B6039A">
              <w:rPr>
                <w:noProof/>
                <w:webHidden/>
                <w:sz w:val="24"/>
                <w:szCs w:val="24"/>
              </w:rPr>
              <w:fldChar w:fldCharType="separate"/>
            </w:r>
            <w:r w:rsidR="00E145F6" w:rsidRPr="00B6039A">
              <w:rPr>
                <w:noProof/>
                <w:webHidden/>
                <w:sz w:val="24"/>
                <w:szCs w:val="24"/>
              </w:rPr>
              <w:t>4</w:t>
            </w:r>
            <w:r w:rsidR="00F33463" w:rsidRPr="00B6039A">
              <w:rPr>
                <w:noProof/>
                <w:webHidden/>
                <w:sz w:val="24"/>
                <w:szCs w:val="24"/>
              </w:rPr>
              <w:fldChar w:fldCharType="end"/>
            </w:r>
          </w:hyperlink>
        </w:p>
        <w:p w14:paraId="60E6FD0A" w14:textId="635346D7" w:rsidR="00F33463" w:rsidRPr="00B6039A" w:rsidRDefault="00225E13">
          <w:pPr>
            <w:pStyle w:val="TOC1"/>
            <w:tabs>
              <w:tab w:val="right" w:leader="dot" w:pos="9016"/>
            </w:tabs>
            <w:rPr>
              <w:rFonts w:eastAsiaTheme="minorEastAsia"/>
              <w:noProof/>
              <w:sz w:val="24"/>
              <w:szCs w:val="24"/>
              <w:lang w:eastAsia="en-NZ"/>
            </w:rPr>
          </w:pPr>
          <w:hyperlink w:anchor="_Toc57025843" w:history="1">
            <w:r w:rsidR="00F33463" w:rsidRPr="00B6039A">
              <w:rPr>
                <w:rStyle w:val="Hyperlink"/>
                <w:noProof/>
                <w:sz w:val="24"/>
                <w:szCs w:val="24"/>
              </w:rPr>
              <w:t>Introduction</w:t>
            </w:r>
            <w:r w:rsidR="00F33463" w:rsidRPr="00B6039A">
              <w:rPr>
                <w:noProof/>
                <w:webHidden/>
                <w:sz w:val="24"/>
                <w:szCs w:val="24"/>
              </w:rPr>
              <w:tab/>
            </w:r>
            <w:r w:rsidR="00F33463" w:rsidRPr="00B6039A">
              <w:rPr>
                <w:noProof/>
                <w:webHidden/>
                <w:sz w:val="24"/>
                <w:szCs w:val="24"/>
              </w:rPr>
              <w:fldChar w:fldCharType="begin"/>
            </w:r>
            <w:r w:rsidR="00F33463" w:rsidRPr="00B6039A">
              <w:rPr>
                <w:noProof/>
                <w:webHidden/>
                <w:sz w:val="24"/>
                <w:szCs w:val="24"/>
              </w:rPr>
              <w:instrText xml:space="preserve"> PAGEREF _Toc57025843 \h </w:instrText>
            </w:r>
            <w:r w:rsidR="00F33463" w:rsidRPr="00B6039A">
              <w:rPr>
                <w:noProof/>
                <w:webHidden/>
                <w:sz w:val="24"/>
                <w:szCs w:val="24"/>
              </w:rPr>
            </w:r>
            <w:r w:rsidR="00F33463" w:rsidRPr="00B6039A">
              <w:rPr>
                <w:noProof/>
                <w:webHidden/>
                <w:sz w:val="24"/>
                <w:szCs w:val="24"/>
              </w:rPr>
              <w:fldChar w:fldCharType="separate"/>
            </w:r>
            <w:r w:rsidR="00E145F6" w:rsidRPr="00B6039A">
              <w:rPr>
                <w:noProof/>
                <w:webHidden/>
                <w:sz w:val="24"/>
                <w:szCs w:val="24"/>
              </w:rPr>
              <w:t>5</w:t>
            </w:r>
            <w:r w:rsidR="00F33463" w:rsidRPr="00B6039A">
              <w:rPr>
                <w:noProof/>
                <w:webHidden/>
                <w:sz w:val="24"/>
                <w:szCs w:val="24"/>
              </w:rPr>
              <w:fldChar w:fldCharType="end"/>
            </w:r>
          </w:hyperlink>
        </w:p>
        <w:p w14:paraId="1886501D" w14:textId="5E2E812D" w:rsidR="00F33463" w:rsidRPr="00B6039A" w:rsidRDefault="00225E13">
          <w:pPr>
            <w:pStyle w:val="TOC1"/>
            <w:tabs>
              <w:tab w:val="right" w:leader="dot" w:pos="9016"/>
            </w:tabs>
            <w:rPr>
              <w:rFonts w:eastAsiaTheme="minorEastAsia"/>
              <w:noProof/>
              <w:sz w:val="24"/>
              <w:szCs w:val="24"/>
              <w:lang w:eastAsia="en-NZ"/>
            </w:rPr>
          </w:pPr>
          <w:hyperlink w:anchor="_Toc57025844" w:history="1">
            <w:r w:rsidR="00F33463" w:rsidRPr="00B6039A">
              <w:rPr>
                <w:rStyle w:val="Hyperlink"/>
                <w:noProof/>
                <w:sz w:val="24"/>
                <w:szCs w:val="24"/>
              </w:rPr>
              <w:t xml:space="preserve">Background to </w:t>
            </w:r>
            <w:r w:rsidR="00F33463" w:rsidRPr="00B6039A">
              <w:rPr>
                <w:rStyle w:val="Hyperlink"/>
                <w:i/>
                <w:noProof/>
                <w:sz w:val="24"/>
                <w:szCs w:val="24"/>
              </w:rPr>
              <w:t>Whakamana Tāngata</w:t>
            </w:r>
            <w:r w:rsidR="00F33463" w:rsidRPr="00B6039A">
              <w:rPr>
                <w:noProof/>
                <w:webHidden/>
                <w:sz w:val="24"/>
                <w:szCs w:val="24"/>
              </w:rPr>
              <w:tab/>
            </w:r>
            <w:r w:rsidR="00F33463" w:rsidRPr="00B6039A">
              <w:rPr>
                <w:noProof/>
                <w:webHidden/>
                <w:sz w:val="24"/>
                <w:szCs w:val="24"/>
              </w:rPr>
              <w:fldChar w:fldCharType="begin"/>
            </w:r>
            <w:r w:rsidR="00F33463" w:rsidRPr="00B6039A">
              <w:rPr>
                <w:noProof/>
                <w:webHidden/>
                <w:sz w:val="24"/>
                <w:szCs w:val="24"/>
              </w:rPr>
              <w:instrText xml:space="preserve"> PAGEREF _Toc57025844 \h </w:instrText>
            </w:r>
            <w:r w:rsidR="00F33463" w:rsidRPr="00B6039A">
              <w:rPr>
                <w:noProof/>
                <w:webHidden/>
                <w:sz w:val="24"/>
                <w:szCs w:val="24"/>
              </w:rPr>
            </w:r>
            <w:r w:rsidR="00F33463" w:rsidRPr="00B6039A">
              <w:rPr>
                <w:noProof/>
                <w:webHidden/>
                <w:sz w:val="24"/>
                <w:szCs w:val="24"/>
              </w:rPr>
              <w:fldChar w:fldCharType="separate"/>
            </w:r>
            <w:r w:rsidR="00E145F6" w:rsidRPr="00B6039A">
              <w:rPr>
                <w:noProof/>
                <w:webHidden/>
                <w:sz w:val="24"/>
                <w:szCs w:val="24"/>
              </w:rPr>
              <w:t>7</w:t>
            </w:r>
            <w:r w:rsidR="00F33463" w:rsidRPr="00B6039A">
              <w:rPr>
                <w:noProof/>
                <w:webHidden/>
                <w:sz w:val="24"/>
                <w:szCs w:val="24"/>
              </w:rPr>
              <w:fldChar w:fldCharType="end"/>
            </w:r>
          </w:hyperlink>
        </w:p>
        <w:p w14:paraId="73BC1617" w14:textId="63A48007" w:rsidR="00F33463" w:rsidRPr="00B6039A" w:rsidRDefault="00225E13">
          <w:pPr>
            <w:pStyle w:val="TOC1"/>
            <w:tabs>
              <w:tab w:val="right" w:leader="dot" w:pos="9016"/>
            </w:tabs>
            <w:rPr>
              <w:rFonts w:eastAsiaTheme="minorEastAsia"/>
              <w:noProof/>
              <w:sz w:val="24"/>
              <w:szCs w:val="24"/>
              <w:lang w:eastAsia="en-NZ"/>
            </w:rPr>
          </w:pPr>
          <w:hyperlink w:anchor="_Toc57025845" w:history="1">
            <w:r w:rsidR="00F33463" w:rsidRPr="00B6039A">
              <w:rPr>
                <w:rStyle w:val="Hyperlink"/>
                <w:noProof/>
                <w:sz w:val="24"/>
                <w:szCs w:val="24"/>
              </w:rPr>
              <w:t xml:space="preserve">The Coalition Government’s Response to </w:t>
            </w:r>
            <w:r w:rsidR="00F33463" w:rsidRPr="00B6039A">
              <w:rPr>
                <w:rStyle w:val="Hyperlink"/>
                <w:i/>
                <w:noProof/>
                <w:sz w:val="24"/>
                <w:szCs w:val="24"/>
              </w:rPr>
              <w:t>Whakamana Tāngata</w:t>
            </w:r>
            <w:r w:rsidR="00F33463" w:rsidRPr="00B6039A">
              <w:rPr>
                <w:noProof/>
                <w:webHidden/>
                <w:sz w:val="24"/>
                <w:szCs w:val="24"/>
              </w:rPr>
              <w:tab/>
            </w:r>
            <w:r w:rsidR="00F33463" w:rsidRPr="00B6039A">
              <w:rPr>
                <w:noProof/>
                <w:webHidden/>
                <w:sz w:val="24"/>
                <w:szCs w:val="24"/>
              </w:rPr>
              <w:fldChar w:fldCharType="begin"/>
            </w:r>
            <w:r w:rsidR="00F33463" w:rsidRPr="00B6039A">
              <w:rPr>
                <w:noProof/>
                <w:webHidden/>
                <w:sz w:val="24"/>
                <w:szCs w:val="24"/>
              </w:rPr>
              <w:instrText xml:space="preserve"> PAGEREF _Toc57025845 \h </w:instrText>
            </w:r>
            <w:r w:rsidR="00F33463" w:rsidRPr="00B6039A">
              <w:rPr>
                <w:noProof/>
                <w:webHidden/>
                <w:sz w:val="24"/>
                <w:szCs w:val="24"/>
              </w:rPr>
            </w:r>
            <w:r w:rsidR="00F33463" w:rsidRPr="00B6039A">
              <w:rPr>
                <w:noProof/>
                <w:webHidden/>
                <w:sz w:val="24"/>
                <w:szCs w:val="24"/>
              </w:rPr>
              <w:fldChar w:fldCharType="separate"/>
            </w:r>
            <w:r w:rsidR="00E145F6" w:rsidRPr="00B6039A">
              <w:rPr>
                <w:noProof/>
                <w:webHidden/>
                <w:sz w:val="24"/>
                <w:szCs w:val="24"/>
              </w:rPr>
              <w:t>8</w:t>
            </w:r>
            <w:r w:rsidR="00F33463" w:rsidRPr="00B6039A">
              <w:rPr>
                <w:noProof/>
                <w:webHidden/>
                <w:sz w:val="24"/>
                <w:szCs w:val="24"/>
              </w:rPr>
              <w:fldChar w:fldCharType="end"/>
            </w:r>
          </w:hyperlink>
        </w:p>
        <w:p w14:paraId="11A85AFB" w14:textId="2E0E6E1C" w:rsidR="00F33463" w:rsidRPr="00B6039A" w:rsidRDefault="00225E13">
          <w:pPr>
            <w:pStyle w:val="TOC1"/>
            <w:tabs>
              <w:tab w:val="right" w:leader="dot" w:pos="9016"/>
            </w:tabs>
            <w:rPr>
              <w:rFonts w:eastAsiaTheme="minorEastAsia"/>
              <w:noProof/>
              <w:sz w:val="24"/>
              <w:szCs w:val="24"/>
              <w:lang w:eastAsia="en-NZ"/>
            </w:rPr>
          </w:pPr>
          <w:hyperlink w:anchor="_Toc57025846" w:history="1">
            <w:r w:rsidR="00F33463" w:rsidRPr="00B6039A">
              <w:rPr>
                <w:rStyle w:val="Hyperlink"/>
                <w:noProof/>
                <w:sz w:val="24"/>
                <w:szCs w:val="24"/>
              </w:rPr>
              <w:t>Full progress report</w:t>
            </w:r>
            <w:r w:rsidR="00F33463" w:rsidRPr="00B6039A">
              <w:rPr>
                <w:noProof/>
                <w:webHidden/>
                <w:sz w:val="24"/>
                <w:szCs w:val="24"/>
              </w:rPr>
              <w:tab/>
            </w:r>
            <w:r w:rsidR="00F33463" w:rsidRPr="00B6039A">
              <w:rPr>
                <w:noProof/>
                <w:webHidden/>
                <w:sz w:val="24"/>
                <w:szCs w:val="24"/>
              </w:rPr>
              <w:fldChar w:fldCharType="begin"/>
            </w:r>
            <w:r w:rsidR="00F33463" w:rsidRPr="00B6039A">
              <w:rPr>
                <w:noProof/>
                <w:webHidden/>
                <w:sz w:val="24"/>
                <w:szCs w:val="24"/>
              </w:rPr>
              <w:instrText xml:space="preserve"> PAGEREF _Toc57025846 \h </w:instrText>
            </w:r>
            <w:r w:rsidR="00F33463" w:rsidRPr="00B6039A">
              <w:rPr>
                <w:noProof/>
                <w:webHidden/>
                <w:sz w:val="24"/>
                <w:szCs w:val="24"/>
              </w:rPr>
            </w:r>
            <w:r w:rsidR="00F33463" w:rsidRPr="00B6039A">
              <w:rPr>
                <w:noProof/>
                <w:webHidden/>
                <w:sz w:val="24"/>
                <w:szCs w:val="24"/>
              </w:rPr>
              <w:fldChar w:fldCharType="separate"/>
            </w:r>
            <w:r w:rsidR="00E145F6" w:rsidRPr="00B6039A">
              <w:rPr>
                <w:noProof/>
                <w:webHidden/>
                <w:sz w:val="24"/>
                <w:szCs w:val="24"/>
              </w:rPr>
              <w:t>10</w:t>
            </w:r>
            <w:r w:rsidR="00F33463" w:rsidRPr="00B6039A">
              <w:rPr>
                <w:noProof/>
                <w:webHidden/>
                <w:sz w:val="24"/>
                <w:szCs w:val="24"/>
              </w:rPr>
              <w:fldChar w:fldCharType="end"/>
            </w:r>
          </w:hyperlink>
        </w:p>
        <w:p w14:paraId="02B714F2" w14:textId="5AB09D56" w:rsidR="00F33463" w:rsidRPr="00B6039A" w:rsidRDefault="00225E13">
          <w:pPr>
            <w:pStyle w:val="TOC1"/>
            <w:tabs>
              <w:tab w:val="right" w:leader="dot" w:pos="9016"/>
            </w:tabs>
            <w:rPr>
              <w:rFonts w:eastAsiaTheme="minorEastAsia"/>
              <w:noProof/>
              <w:sz w:val="24"/>
              <w:szCs w:val="24"/>
              <w:lang w:eastAsia="en-NZ"/>
            </w:rPr>
          </w:pPr>
          <w:hyperlink w:anchor="_Toc57025847" w:history="1">
            <w:r w:rsidR="00F33463" w:rsidRPr="00B6039A">
              <w:rPr>
                <w:rStyle w:val="Hyperlink"/>
                <w:i/>
                <w:noProof/>
                <w:sz w:val="24"/>
                <w:szCs w:val="24"/>
              </w:rPr>
              <w:t xml:space="preserve">Whakamana Tāngata: </w:t>
            </w:r>
            <w:r w:rsidR="00F33463" w:rsidRPr="00B6039A">
              <w:rPr>
                <w:rStyle w:val="Hyperlink"/>
                <w:noProof/>
                <w:sz w:val="24"/>
                <w:szCs w:val="24"/>
              </w:rPr>
              <w:t>the road ahead and CPAG’s recommendations</w:t>
            </w:r>
            <w:r w:rsidR="00F33463" w:rsidRPr="00B6039A">
              <w:rPr>
                <w:noProof/>
                <w:webHidden/>
                <w:sz w:val="24"/>
                <w:szCs w:val="24"/>
              </w:rPr>
              <w:tab/>
            </w:r>
            <w:r w:rsidR="00F33463" w:rsidRPr="00B6039A">
              <w:rPr>
                <w:noProof/>
                <w:webHidden/>
                <w:sz w:val="24"/>
                <w:szCs w:val="24"/>
              </w:rPr>
              <w:fldChar w:fldCharType="begin"/>
            </w:r>
            <w:r w:rsidR="00F33463" w:rsidRPr="00B6039A">
              <w:rPr>
                <w:noProof/>
                <w:webHidden/>
                <w:sz w:val="24"/>
                <w:szCs w:val="24"/>
              </w:rPr>
              <w:instrText xml:space="preserve"> PAGEREF _Toc57025847 \h </w:instrText>
            </w:r>
            <w:r w:rsidR="00F33463" w:rsidRPr="00B6039A">
              <w:rPr>
                <w:noProof/>
                <w:webHidden/>
                <w:sz w:val="24"/>
                <w:szCs w:val="24"/>
              </w:rPr>
            </w:r>
            <w:r w:rsidR="00F33463" w:rsidRPr="00B6039A">
              <w:rPr>
                <w:noProof/>
                <w:webHidden/>
                <w:sz w:val="24"/>
                <w:szCs w:val="24"/>
              </w:rPr>
              <w:fldChar w:fldCharType="separate"/>
            </w:r>
            <w:r w:rsidR="00E145F6" w:rsidRPr="00B6039A">
              <w:rPr>
                <w:noProof/>
                <w:webHidden/>
                <w:sz w:val="24"/>
                <w:szCs w:val="24"/>
              </w:rPr>
              <w:t>66</w:t>
            </w:r>
            <w:r w:rsidR="00F33463" w:rsidRPr="00B6039A">
              <w:rPr>
                <w:noProof/>
                <w:webHidden/>
                <w:sz w:val="24"/>
                <w:szCs w:val="24"/>
              </w:rPr>
              <w:fldChar w:fldCharType="end"/>
            </w:r>
          </w:hyperlink>
        </w:p>
        <w:p w14:paraId="44AB3F83" w14:textId="05B1EFC4" w:rsidR="00F33463" w:rsidRPr="00B6039A" w:rsidRDefault="00225E13">
          <w:pPr>
            <w:pStyle w:val="TOC1"/>
            <w:tabs>
              <w:tab w:val="right" w:leader="dot" w:pos="9016"/>
            </w:tabs>
            <w:rPr>
              <w:rFonts w:eastAsiaTheme="minorEastAsia"/>
              <w:noProof/>
              <w:sz w:val="24"/>
              <w:szCs w:val="24"/>
              <w:lang w:eastAsia="en-NZ"/>
            </w:rPr>
          </w:pPr>
          <w:hyperlink w:anchor="_Toc57025848" w:history="1">
            <w:r w:rsidR="00F33463" w:rsidRPr="00B6039A">
              <w:rPr>
                <w:rStyle w:val="Hyperlink"/>
                <w:noProof/>
                <w:sz w:val="24"/>
                <w:szCs w:val="24"/>
              </w:rPr>
              <w:t>Conclusion</w:t>
            </w:r>
            <w:r w:rsidR="00F33463" w:rsidRPr="00B6039A">
              <w:rPr>
                <w:noProof/>
                <w:webHidden/>
                <w:sz w:val="24"/>
                <w:szCs w:val="24"/>
              </w:rPr>
              <w:tab/>
            </w:r>
            <w:r w:rsidR="00F33463" w:rsidRPr="00B6039A">
              <w:rPr>
                <w:noProof/>
                <w:webHidden/>
                <w:sz w:val="24"/>
                <w:szCs w:val="24"/>
              </w:rPr>
              <w:fldChar w:fldCharType="begin"/>
            </w:r>
            <w:r w:rsidR="00F33463" w:rsidRPr="00B6039A">
              <w:rPr>
                <w:noProof/>
                <w:webHidden/>
                <w:sz w:val="24"/>
                <w:szCs w:val="24"/>
              </w:rPr>
              <w:instrText xml:space="preserve"> PAGEREF _Toc57025848 \h </w:instrText>
            </w:r>
            <w:r w:rsidR="00F33463" w:rsidRPr="00B6039A">
              <w:rPr>
                <w:noProof/>
                <w:webHidden/>
                <w:sz w:val="24"/>
                <w:szCs w:val="24"/>
              </w:rPr>
            </w:r>
            <w:r w:rsidR="00F33463" w:rsidRPr="00B6039A">
              <w:rPr>
                <w:noProof/>
                <w:webHidden/>
                <w:sz w:val="24"/>
                <w:szCs w:val="24"/>
              </w:rPr>
              <w:fldChar w:fldCharType="separate"/>
            </w:r>
            <w:r w:rsidR="00E145F6" w:rsidRPr="00B6039A">
              <w:rPr>
                <w:noProof/>
                <w:webHidden/>
                <w:sz w:val="24"/>
                <w:szCs w:val="24"/>
              </w:rPr>
              <w:t>68</w:t>
            </w:r>
            <w:r w:rsidR="00F33463" w:rsidRPr="00B6039A">
              <w:rPr>
                <w:noProof/>
                <w:webHidden/>
                <w:sz w:val="24"/>
                <w:szCs w:val="24"/>
              </w:rPr>
              <w:fldChar w:fldCharType="end"/>
            </w:r>
          </w:hyperlink>
        </w:p>
        <w:p w14:paraId="78B055E3" w14:textId="5C7A35F4" w:rsidR="00F33463" w:rsidRPr="00B6039A" w:rsidRDefault="00225E13">
          <w:pPr>
            <w:pStyle w:val="TOC1"/>
            <w:tabs>
              <w:tab w:val="right" w:leader="dot" w:pos="9016"/>
            </w:tabs>
            <w:rPr>
              <w:rFonts w:eastAsiaTheme="minorEastAsia"/>
              <w:noProof/>
              <w:sz w:val="24"/>
              <w:szCs w:val="24"/>
              <w:lang w:eastAsia="en-NZ"/>
            </w:rPr>
          </w:pPr>
          <w:hyperlink w:anchor="_Toc57025849" w:history="1">
            <w:r w:rsidR="00F33463" w:rsidRPr="00B6039A">
              <w:rPr>
                <w:rStyle w:val="Hyperlink"/>
                <w:noProof/>
                <w:sz w:val="24"/>
                <w:szCs w:val="24"/>
              </w:rPr>
              <w:t>Reference list</w:t>
            </w:r>
            <w:r w:rsidR="00F33463" w:rsidRPr="00B6039A">
              <w:rPr>
                <w:noProof/>
                <w:webHidden/>
                <w:sz w:val="24"/>
                <w:szCs w:val="24"/>
              </w:rPr>
              <w:tab/>
            </w:r>
            <w:r w:rsidR="00F33463" w:rsidRPr="00B6039A">
              <w:rPr>
                <w:noProof/>
                <w:webHidden/>
                <w:sz w:val="24"/>
                <w:szCs w:val="24"/>
              </w:rPr>
              <w:fldChar w:fldCharType="begin"/>
            </w:r>
            <w:r w:rsidR="00F33463" w:rsidRPr="00B6039A">
              <w:rPr>
                <w:noProof/>
                <w:webHidden/>
                <w:sz w:val="24"/>
                <w:szCs w:val="24"/>
              </w:rPr>
              <w:instrText xml:space="preserve"> PAGEREF _Toc57025849 \h </w:instrText>
            </w:r>
            <w:r w:rsidR="00F33463" w:rsidRPr="00B6039A">
              <w:rPr>
                <w:noProof/>
                <w:webHidden/>
                <w:sz w:val="24"/>
                <w:szCs w:val="24"/>
              </w:rPr>
            </w:r>
            <w:r w:rsidR="00F33463" w:rsidRPr="00B6039A">
              <w:rPr>
                <w:noProof/>
                <w:webHidden/>
                <w:sz w:val="24"/>
                <w:szCs w:val="24"/>
              </w:rPr>
              <w:fldChar w:fldCharType="separate"/>
            </w:r>
            <w:r w:rsidR="00E145F6" w:rsidRPr="00B6039A">
              <w:rPr>
                <w:noProof/>
                <w:webHidden/>
                <w:sz w:val="24"/>
                <w:szCs w:val="24"/>
              </w:rPr>
              <w:t>70</w:t>
            </w:r>
            <w:r w:rsidR="00F33463" w:rsidRPr="00B6039A">
              <w:rPr>
                <w:noProof/>
                <w:webHidden/>
                <w:sz w:val="24"/>
                <w:szCs w:val="24"/>
              </w:rPr>
              <w:fldChar w:fldCharType="end"/>
            </w:r>
          </w:hyperlink>
        </w:p>
        <w:p w14:paraId="351AE754" w14:textId="1CD559C4" w:rsidR="00F8737A" w:rsidRPr="00B6039A" w:rsidRDefault="00F8737A">
          <w:r w:rsidRPr="00B6039A">
            <w:rPr>
              <w:b/>
              <w:bCs/>
              <w:noProof/>
              <w:sz w:val="24"/>
              <w:szCs w:val="24"/>
            </w:rPr>
            <w:fldChar w:fldCharType="end"/>
          </w:r>
        </w:p>
      </w:sdtContent>
    </w:sdt>
    <w:p w14:paraId="03EDEE3F" w14:textId="77777777" w:rsidR="00D35876" w:rsidRPr="00B6039A" w:rsidRDefault="00D35876" w:rsidP="00D35876"/>
    <w:p w14:paraId="365EF4D2" w14:textId="77777777" w:rsidR="00F8737A" w:rsidRPr="00B6039A" w:rsidRDefault="00F8737A" w:rsidP="00D35876"/>
    <w:p w14:paraId="57C8A099" w14:textId="77777777" w:rsidR="00CE50A8" w:rsidRPr="00B6039A" w:rsidRDefault="00CE50A8" w:rsidP="00CE50A8"/>
    <w:p w14:paraId="738B59E0" w14:textId="77777777" w:rsidR="00637401" w:rsidRPr="00B6039A" w:rsidRDefault="00637401" w:rsidP="00D35876"/>
    <w:p w14:paraId="2DFADF63" w14:textId="77777777" w:rsidR="00F8737A" w:rsidRPr="00B6039A" w:rsidRDefault="00F8737A" w:rsidP="00D35876"/>
    <w:p w14:paraId="4128DD8F" w14:textId="77777777" w:rsidR="00CE50A8" w:rsidRPr="00B6039A" w:rsidRDefault="00CE50A8" w:rsidP="00D35876"/>
    <w:p w14:paraId="2A90E7DB" w14:textId="77777777" w:rsidR="005E2A62" w:rsidRPr="00B6039A" w:rsidRDefault="005E2A62" w:rsidP="002203FB">
      <w:pPr>
        <w:ind w:left="0" w:firstLine="0"/>
      </w:pPr>
    </w:p>
    <w:p w14:paraId="141B7C1A" w14:textId="77777777" w:rsidR="005E2A62" w:rsidRPr="00B6039A" w:rsidRDefault="005E2A62" w:rsidP="00D35876"/>
    <w:p w14:paraId="29C4DC0E" w14:textId="6F62155B" w:rsidR="00726240" w:rsidRPr="00B6039A" w:rsidRDefault="009D4DFC" w:rsidP="00A42692">
      <w:r w:rsidRPr="00B6039A">
        <w:br w:type="page"/>
      </w:r>
      <w:bookmarkStart w:id="4" w:name="_Toc57025842"/>
    </w:p>
    <w:p w14:paraId="74F2DBE4" w14:textId="77777777" w:rsidR="00A42692" w:rsidRPr="00B6039A" w:rsidRDefault="00A42692" w:rsidP="00A42692">
      <w:pPr>
        <w:pStyle w:val="Heading1"/>
        <w:spacing w:before="0"/>
        <w:ind w:left="0" w:firstLine="0"/>
        <w:rPr>
          <w:sz w:val="14"/>
          <w:szCs w:val="14"/>
        </w:rPr>
      </w:pPr>
    </w:p>
    <w:p w14:paraId="6BD67796" w14:textId="7C784552" w:rsidR="001B39FE" w:rsidRPr="00B6039A" w:rsidRDefault="001B39FE" w:rsidP="00A42692">
      <w:pPr>
        <w:pStyle w:val="Heading1"/>
        <w:spacing w:after="120"/>
        <w:ind w:left="0" w:firstLine="0"/>
      </w:pPr>
      <w:r w:rsidRPr="00B6039A">
        <w:t>Foreword</w:t>
      </w:r>
      <w:bookmarkEnd w:id="4"/>
      <w:r w:rsidRPr="00B6039A">
        <w:t xml:space="preserve"> </w:t>
      </w:r>
    </w:p>
    <w:p w14:paraId="00FB9251" w14:textId="4CAA22E3" w:rsidR="001B39FE" w:rsidRPr="00B6039A" w:rsidRDefault="00EF01A7" w:rsidP="00A42692">
      <w:pPr>
        <w:spacing w:after="120"/>
        <w:ind w:left="85" w:firstLine="0"/>
        <w:rPr>
          <w:sz w:val="24"/>
          <w:szCs w:val="24"/>
        </w:rPr>
      </w:pPr>
      <w:r w:rsidRPr="00B6039A">
        <w:rPr>
          <w:sz w:val="24"/>
          <w:szCs w:val="24"/>
        </w:rPr>
        <w:t xml:space="preserve">The Child Poverty Action Group </w:t>
      </w:r>
      <w:r w:rsidR="00A42692" w:rsidRPr="00B6039A">
        <w:rPr>
          <w:sz w:val="24"/>
          <w:szCs w:val="24"/>
        </w:rPr>
        <w:t xml:space="preserve">(CPAG) </w:t>
      </w:r>
      <w:r w:rsidR="00D570BB" w:rsidRPr="00B6039A">
        <w:rPr>
          <w:sz w:val="24"/>
          <w:szCs w:val="24"/>
        </w:rPr>
        <w:t xml:space="preserve">has produced this report </w:t>
      </w:r>
      <w:r w:rsidRPr="00B6039A">
        <w:rPr>
          <w:sz w:val="24"/>
          <w:szCs w:val="24"/>
        </w:rPr>
        <w:t xml:space="preserve">to offer an independent analysis of the </w:t>
      </w:r>
      <w:r w:rsidR="00A42692" w:rsidRPr="00B6039A">
        <w:rPr>
          <w:sz w:val="24"/>
          <w:szCs w:val="24"/>
        </w:rPr>
        <w:t>g</w:t>
      </w:r>
      <w:r w:rsidRPr="00B6039A">
        <w:rPr>
          <w:sz w:val="24"/>
          <w:szCs w:val="24"/>
        </w:rPr>
        <w:t xml:space="preserve">overnment’s response thus far to </w:t>
      </w:r>
      <w:r w:rsidR="00D570BB" w:rsidRPr="00B6039A">
        <w:rPr>
          <w:sz w:val="24"/>
          <w:szCs w:val="24"/>
        </w:rPr>
        <w:t xml:space="preserve">the recommendations of </w:t>
      </w:r>
      <w:r w:rsidRPr="00B6039A">
        <w:rPr>
          <w:sz w:val="24"/>
          <w:szCs w:val="24"/>
        </w:rPr>
        <w:t xml:space="preserve">the </w:t>
      </w:r>
      <w:r w:rsidR="00D570BB" w:rsidRPr="00B6039A">
        <w:rPr>
          <w:sz w:val="24"/>
          <w:szCs w:val="24"/>
        </w:rPr>
        <w:t xml:space="preserve">Welfare Expert Advisory Group (WEAG). </w:t>
      </w:r>
      <w:r w:rsidR="00811097" w:rsidRPr="00B6039A">
        <w:rPr>
          <w:sz w:val="24"/>
          <w:szCs w:val="24"/>
        </w:rPr>
        <w:t xml:space="preserve">This report reflects the views of CPAG, and is not a WEAG publication. </w:t>
      </w:r>
      <w:r w:rsidR="008D4402" w:rsidRPr="00B6039A">
        <w:rPr>
          <w:sz w:val="24"/>
          <w:szCs w:val="24"/>
        </w:rPr>
        <w:t>O</w:t>
      </w:r>
      <w:r w:rsidR="00AF596C" w:rsidRPr="00B6039A">
        <w:rPr>
          <w:sz w:val="24"/>
          <w:szCs w:val="24"/>
        </w:rPr>
        <w:t xml:space="preserve">ne of the </w:t>
      </w:r>
      <w:r w:rsidR="00A42692" w:rsidRPr="00B6039A">
        <w:rPr>
          <w:sz w:val="24"/>
          <w:szCs w:val="24"/>
        </w:rPr>
        <w:t xml:space="preserve">CPAG </w:t>
      </w:r>
      <w:r w:rsidR="00AF596C" w:rsidRPr="00B6039A">
        <w:rPr>
          <w:sz w:val="24"/>
          <w:szCs w:val="24"/>
        </w:rPr>
        <w:t xml:space="preserve">co-authors of this report, Innes Asher, was a </w:t>
      </w:r>
      <w:r w:rsidRPr="00B6039A">
        <w:rPr>
          <w:sz w:val="24"/>
          <w:szCs w:val="24"/>
        </w:rPr>
        <w:t xml:space="preserve">WEAG </w:t>
      </w:r>
      <w:r w:rsidR="00AF596C" w:rsidRPr="00B6039A">
        <w:rPr>
          <w:sz w:val="24"/>
          <w:szCs w:val="24"/>
        </w:rPr>
        <w:t>member</w:t>
      </w:r>
      <w:r w:rsidR="00A42692" w:rsidRPr="00B6039A">
        <w:rPr>
          <w:sz w:val="24"/>
          <w:szCs w:val="24"/>
        </w:rPr>
        <w:t>, and v</w:t>
      </w:r>
      <w:r w:rsidR="00811097" w:rsidRPr="00B6039A">
        <w:rPr>
          <w:sz w:val="24"/>
          <w:szCs w:val="24"/>
        </w:rPr>
        <w:t xml:space="preserve">iews of other WEAG members </w:t>
      </w:r>
      <w:r w:rsidR="00434F1A" w:rsidRPr="00B6039A">
        <w:rPr>
          <w:sz w:val="24"/>
          <w:szCs w:val="24"/>
        </w:rPr>
        <w:t xml:space="preserve">on the accuracy of this stocktake </w:t>
      </w:r>
      <w:r w:rsidR="00811097" w:rsidRPr="00B6039A">
        <w:rPr>
          <w:sz w:val="24"/>
          <w:szCs w:val="24"/>
        </w:rPr>
        <w:t>were so</w:t>
      </w:r>
      <w:r w:rsidR="00434F1A" w:rsidRPr="00B6039A">
        <w:rPr>
          <w:sz w:val="24"/>
          <w:szCs w:val="24"/>
        </w:rPr>
        <w:t>ught</w:t>
      </w:r>
      <w:r w:rsidR="00811097" w:rsidRPr="00B6039A">
        <w:rPr>
          <w:sz w:val="24"/>
          <w:szCs w:val="24"/>
        </w:rPr>
        <w:t xml:space="preserve"> in the preparation of this report</w:t>
      </w:r>
      <w:r w:rsidR="003E1EB6" w:rsidRPr="00B6039A">
        <w:rPr>
          <w:sz w:val="24"/>
          <w:szCs w:val="24"/>
        </w:rPr>
        <w:t>, in order to inform</w:t>
      </w:r>
      <w:r w:rsidR="006575B3" w:rsidRPr="00B6039A">
        <w:rPr>
          <w:sz w:val="24"/>
          <w:szCs w:val="24"/>
        </w:rPr>
        <w:t xml:space="preserve"> CPAG’s analysis</w:t>
      </w:r>
      <w:r w:rsidR="00811097" w:rsidRPr="00B6039A">
        <w:rPr>
          <w:sz w:val="24"/>
          <w:szCs w:val="24"/>
        </w:rPr>
        <w:t xml:space="preserve">. However, </w:t>
      </w:r>
      <w:r w:rsidRPr="00B6039A">
        <w:rPr>
          <w:sz w:val="24"/>
          <w:szCs w:val="24"/>
        </w:rPr>
        <w:t xml:space="preserve">CPAG’s </w:t>
      </w:r>
      <w:r w:rsidR="00811097" w:rsidRPr="00B6039A">
        <w:rPr>
          <w:sz w:val="24"/>
          <w:szCs w:val="24"/>
        </w:rPr>
        <w:t xml:space="preserve">analysis of both the </w:t>
      </w:r>
      <w:proofErr w:type="spellStart"/>
      <w:r w:rsidR="00811097" w:rsidRPr="00B6039A">
        <w:rPr>
          <w:i/>
          <w:iCs/>
          <w:sz w:val="24"/>
          <w:szCs w:val="24"/>
        </w:rPr>
        <w:t>Whakamana</w:t>
      </w:r>
      <w:proofErr w:type="spellEnd"/>
      <w:r w:rsidR="00811097" w:rsidRPr="00B6039A">
        <w:rPr>
          <w:i/>
          <w:iCs/>
          <w:sz w:val="24"/>
          <w:szCs w:val="24"/>
        </w:rPr>
        <w:t xml:space="preserve"> </w:t>
      </w:r>
      <w:proofErr w:type="spellStart"/>
      <w:r w:rsidR="00811097" w:rsidRPr="00B6039A">
        <w:rPr>
          <w:i/>
          <w:iCs/>
          <w:sz w:val="24"/>
          <w:szCs w:val="24"/>
        </w:rPr>
        <w:t>T</w:t>
      </w:r>
      <w:r w:rsidR="00A42692" w:rsidRPr="00B6039A">
        <w:rPr>
          <w:i/>
          <w:iCs/>
          <w:sz w:val="24"/>
          <w:szCs w:val="24"/>
        </w:rPr>
        <w:t>ā</w:t>
      </w:r>
      <w:r w:rsidR="00811097" w:rsidRPr="00B6039A">
        <w:rPr>
          <w:i/>
          <w:iCs/>
          <w:sz w:val="24"/>
          <w:szCs w:val="24"/>
        </w:rPr>
        <w:t>ngata</w:t>
      </w:r>
      <w:proofErr w:type="spellEnd"/>
      <w:r w:rsidRPr="00B6039A">
        <w:rPr>
          <w:sz w:val="24"/>
          <w:szCs w:val="24"/>
        </w:rPr>
        <w:t xml:space="preserve"> </w:t>
      </w:r>
      <w:r w:rsidR="00811097" w:rsidRPr="00B6039A">
        <w:rPr>
          <w:sz w:val="24"/>
          <w:szCs w:val="24"/>
        </w:rPr>
        <w:t xml:space="preserve">recommendations, and the </w:t>
      </w:r>
      <w:r w:rsidR="00A42692" w:rsidRPr="00B6039A">
        <w:rPr>
          <w:sz w:val="24"/>
          <w:szCs w:val="24"/>
        </w:rPr>
        <w:t>g</w:t>
      </w:r>
      <w:r w:rsidR="00811097" w:rsidRPr="00B6039A">
        <w:rPr>
          <w:sz w:val="24"/>
          <w:szCs w:val="24"/>
        </w:rPr>
        <w:t xml:space="preserve">overnment’s response to those recommendations, are separate to the views and analysis of WEAG as a collective. </w:t>
      </w:r>
    </w:p>
    <w:p w14:paraId="591CDBC6" w14:textId="0DAF05C6" w:rsidR="00D570BB" w:rsidRPr="00B6039A" w:rsidRDefault="00D570BB" w:rsidP="00A42692">
      <w:pPr>
        <w:spacing w:after="120"/>
        <w:ind w:left="85" w:firstLine="0"/>
        <w:rPr>
          <w:sz w:val="24"/>
          <w:szCs w:val="24"/>
        </w:rPr>
      </w:pPr>
      <w:r w:rsidRPr="00B6039A">
        <w:rPr>
          <w:sz w:val="24"/>
          <w:szCs w:val="24"/>
        </w:rPr>
        <w:t xml:space="preserve">Children are significantly impacted by the state of the welfare system, and </w:t>
      </w:r>
      <w:r w:rsidR="00A26F3F" w:rsidRPr="00B6039A">
        <w:rPr>
          <w:sz w:val="24"/>
          <w:szCs w:val="24"/>
        </w:rPr>
        <w:t xml:space="preserve">CPAG </w:t>
      </w:r>
      <w:r w:rsidR="00B95447" w:rsidRPr="00B6039A">
        <w:rPr>
          <w:sz w:val="24"/>
          <w:szCs w:val="24"/>
        </w:rPr>
        <w:t xml:space="preserve">strongly </w:t>
      </w:r>
      <w:r w:rsidRPr="00B6039A">
        <w:rPr>
          <w:sz w:val="24"/>
          <w:szCs w:val="24"/>
        </w:rPr>
        <w:t>support</w:t>
      </w:r>
      <w:r w:rsidR="00A26F3F" w:rsidRPr="00B6039A">
        <w:rPr>
          <w:sz w:val="24"/>
          <w:szCs w:val="24"/>
        </w:rPr>
        <w:t>s</w:t>
      </w:r>
      <w:r w:rsidRPr="00B6039A">
        <w:rPr>
          <w:sz w:val="24"/>
          <w:szCs w:val="24"/>
        </w:rPr>
        <w:t xml:space="preserve"> </w:t>
      </w:r>
      <w:r w:rsidR="00C27D86" w:rsidRPr="00B6039A">
        <w:rPr>
          <w:sz w:val="24"/>
          <w:szCs w:val="24"/>
        </w:rPr>
        <w:t xml:space="preserve">the majority </w:t>
      </w:r>
      <w:r w:rsidRPr="00B6039A">
        <w:rPr>
          <w:sz w:val="24"/>
          <w:szCs w:val="24"/>
        </w:rPr>
        <w:t>of the recommendations of the WEAG for transformation.</w:t>
      </w:r>
      <w:r w:rsidR="00A26F3F" w:rsidRPr="00B6039A">
        <w:rPr>
          <w:sz w:val="24"/>
          <w:szCs w:val="24"/>
        </w:rPr>
        <w:t xml:space="preserve"> </w:t>
      </w:r>
      <w:r w:rsidRPr="00B6039A">
        <w:rPr>
          <w:sz w:val="24"/>
          <w:szCs w:val="24"/>
        </w:rPr>
        <w:t>H</w:t>
      </w:r>
      <w:r w:rsidR="00A26F3F" w:rsidRPr="00B6039A">
        <w:rPr>
          <w:sz w:val="24"/>
          <w:szCs w:val="24"/>
        </w:rPr>
        <w:t xml:space="preserve">owever, CPAG does not endorse </w:t>
      </w:r>
      <w:r w:rsidR="00C27D86" w:rsidRPr="00B6039A">
        <w:rPr>
          <w:sz w:val="24"/>
          <w:szCs w:val="24"/>
        </w:rPr>
        <w:t>every</w:t>
      </w:r>
      <w:r w:rsidR="00A26F3F" w:rsidRPr="00B6039A">
        <w:rPr>
          <w:sz w:val="24"/>
          <w:szCs w:val="24"/>
        </w:rPr>
        <w:t xml:space="preserve"> WEAG recommendation, and some of these points of difference are noted in Tables 3</w:t>
      </w:r>
      <w:r w:rsidR="00A42692" w:rsidRPr="00B6039A">
        <w:rPr>
          <w:sz w:val="24"/>
          <w:szCs w:val="24"/>
        </w:rPr>
        <w:t xml:space="preserve"> </w:t>
      </w:r>
      <w:r w:rsidR="0029286F" w:rsidRPr="00B6039A">
        <w:rPr>
          <w:sz w:val="24"/>
          <w:szCs w:val="24"/>
        </w:rPr>
        <w:t xml:space="preserve">and 4 </w:t>
      </w:r>
      <w:r w:rsidR="00A42692" w:rsidRPr="00B6039A">
        <w:rPr>
          <w:sz w:val="24"/>
          <w:szCs w:val="24"/>
        </w:rPr>
        <w:t>in the main body of the report</w:t>
      </w:r>
      <w:r w:rsidR="00A26F3F" w:rsidRPr="00B6039A">
        <w:rPr>
          <w:sz w:val="24"/>
          <w:szCs w:val="24"/>
        </w:rPr>
        <w:t xml:space="preserve">. </w:t>
      </w:r>
    </w:p>
    <w:p w14:paraId="4328191D" w14:textId="2B9C200A" w:rsidR="00D570BB" w:rsidRPr="00B6039A" w:rsidRDefault="00B87619" w:rsidP="00D570BB">
      <w:pPr>
        <w:ind w:left="86" w:firstLine="0"/>
        <w:rPr>
          <w:sz w:val="24"/>
          <w:szCs w:val="24"/>
        </w:rPr>
      </w:pPr>
      <w:r w:rsidRPr="00B6039A">
        <w:rPr>
          <w:sz w:val="24"/>
          <w:szCs w:val="24"/>
        </w:rPr>
        <w:t xml:space="preserve">As discussed in more detail </w:t>
      </w:r>
      <w:r w:rsidR="00B8587C" w:rsidRPr="00B6039A">
        <w:rPr>
          <w:sz w:val="24"/>
          <w:szCs w:val="24"/>
        </w:rPr>
        <w:t>from page 6</w:t>
      </w:r>
      <w:r w:rsidR="004F5804" w:rsidRPr="00B6039A">
        <w:rPr>
          <w:sz w:val="24"/>
          <w:szCs w:val="24"/>
        </w:rPr>
        <w:t>6</w:t>
      </w:r>
      <w:r w:rsidRPr="00B6039A">
        <w:rPr>
          <w:sz w:val="24"/>
          <w:szCs w:val="24"/>
        </w:rPr>
        <w:t xml:space="preserve">, </w:t>
      </w:r>
      <w:r w:rsidR="00811097" w:rsidRPr="00B6039A">
        <w:rPr>
          <w:sz w:val="24"/>
          <w:szCs w:val="24"/>
        </w:rPr>
        <w:t xml:space="preserve">CPAG strongly recommends </w:t>
      </w:r>
      <w:r w:rsidRPr="00B6039A">
        <w:rPr>
          <w:sz w:val="24"/>
          <w:szCs w:val="24"/>
        </w:rPr>
        <w:t xml:space="preserve">the </w:t>
      </w:r>
      <w:r w:rsidR="00811097" w:rsidRPr="00B6039A">
        <w:rPr>
          <w:sz w:val="24"/>
          <w:szCs w:val="24"/>
        </w:rPr>
        <w:t>government prioritise</w:t>
      </w:r>
      <w:r w:rsidRPr="00B6039A">
        <w:rPr>
          <w:sz w:val="24"/>
          <w:szCs w:val="24"/>
        </w:rPr>
        <w:t>s</w:t>
      </w:r>
      <w:r w:rsidR="00811097" w:rsidRPr="00B6039A">
        <w:rPr>
          <w:sz w:val="24"/>
          <w:szCs w:val="24"/>
        </w:rPr>
        <w:t xml:space="preserve"> </w:t>
      </w:r>
      <w:r w:rsidRPr="00B6039A">
        <w:rPr>
          <w:sz w:val="24"/>
          <w:szCs w:val="24"/>
        </w:rPr>
        <w:t xml:space="preserve">implementing </w:t>
      </w:r>
      <w:r w:rsidR="00811097" w:rsidRPr="00B6039A">
        <w:rPr>
          <w:sz w:val="24"/>
          <w:szCs w:val="24"/>
        </w:rPr>
        <w:t>following WEAG recommendations</w:t>
      </w:r>
      <w:r w:rsidRPr="00B6039A">
        <w:rPr>
          <w:sz w:val="24"/>
          <w:szCs w:val="24"/>
        </w:rPr>
        <w:t xml:space="preserve"> as a matter of urgency</w:t>
      </w:r>
      <w:r w:rsidR="00A26F3F" w:rsidRPr="00B6039A">
        <w:rPr>
          <w:sz w:val="24"/>
          <w:szCs w:val="24"/>
        </w:rPr>
        <w:t xml:space="preserve">: </w:t>
      </w:r>
    </w:p>
    <w:p w14:paraId="077577EB" w14:textId="7C50A30A" w:rsidR="00091096" w:rsidRPr="00B6039A" w:rsidRDefault="00091096" w:rsidP="00091096">
      <w:pPr>
        <w:ind w:left="0" w:firstLine="0"/>
        <w:rPr>
          <w:sz w:val="24"/>
          <w:szCs w:val="24"/>
          <w:highlight w:val="yellow"/>
        </w:rPr>
      </w:pPr>
    </w:p>
    <w:tbl>
      <w:tblPr>
        <w:tblStyle w:val="TableGrid"/>
        <w:tblW w:w="0" w:type="auto"/>
        <w:tblInd w:w="720" w:type="dxa"/>
        <w:tblLook w:val="04A0" w:firstRow="1" w:lastRow="0" w:firstColumn="1" w:lastColumn="0" w:noHBand="0" w:noVBand="1"/>
      </w:tblPr>
      <w:tblGrid>
        <w:gridCol w:w="4731"/>
        <w:gridCol w:w="3049"/>
      </w:tblGrid>
      <w:tr w:rsidR="0092072A" w:rsidRPr="00B6039A" w14:paraId="69BDF41C" w14:textId="77777777" w:rsidTr="00A42692">
        <w:tc>
          <w:tcPr>
            <w:tcW w:w="4731" w:type="dxa"/>
          </w:tcPr>
          <w:p w14:paraId="32DA94D8" w14:textId="4A852CC2" w:rsidR="0092072A" w:rsidRPr="00B6039A" w:rsidRDefault="0092072A" w:rsidP="009D4DFC">
            <w:pPr>
              <w:pStyle w:val="ListParagraph"/>
              <w:ind w:left="432" w:firstLine="0"/>
              <w:rPr>
                <w:b/>
                <w:sz w:val="23"/>
                <w:szCs w:val="23"/>
              </w:rPr>
            </w:pPr>
            <w:r w:rsidRPr="00B6039A">
              <w:rPr>
                <w:b/>
                <w:sz w:val="23"/>
                <w:szCs w:val="23"/>
              </w:rPr>
              <w:t>WEAG recommendation</w:t>
            </w:r>
            <w:r w:rsidR="00B95447" w:rsidRPr="00B6039A">
              <w:rPr>
                <w:b/>
                <w:sz w:val="23"/>
                <w:szCs w:val="23"/>
              </w:rPr>
              <w:t>s</w:t>
            </w:r>
            <w:r w:rsidRPr="00B6039A">
              <w:rPr>
                <w:b/>
                <w:sz w:val="23"/>
                <w:szCs w:val="23"/>
              </w:rPr>
              <w:t xml:space="preserve"> </w:t>
            </w:r>
            <w:r w:rsidR="00B95447" w:rsidRPr="00B6039A">
              <w:rPr>
                <w:b/>
                <w:sz w:val="23"/>
                <w:szCs w:val="23"/>
              </w:rPr>
              <w:t>identified</w:t>
            </w:r>
            <w:r w:rsidRPr="00B6039A">
              <w:rPr>
                <w:b/>
                <w:sz w:val="23"/>
                <w:szCs w:val="23"/>
              </w:rPr>
              <w:t xml:space="preserve"> by CPAG as </w:t>
            </w:r>
            <w:r w:rsidR="00B95447" w:rsidRPr="00B6039A">
              <w:rPr>
                <w:b/>
                <w:sz w:val="23"/>
                <w:szCs w:val="23"/>
              </w:rPr>
              <w:t xml:space="preserve">urgent </w:t>
            </w:r>
            <w:r w:rsidRPr="00B6039A">
              <w:rPr>
                <w:b/>
                <w:sz w:val="23"/>
                <w:szCs w:val="23"/>
              </w:rPr>
              <w:t>priorit</w:t>
            </w:r>
            <w:r w:rsidR="00B95447" w:rsidRPr="00B6039A">
              <w:rPr>
                <w:b/>
                <w:sz w:val="23"/>
                <w:szCs w:val="23"/>
              </w:rPr>
              <w:t>ies</w:t>
            </w:r>
          </w:p>
        </w:tc>
        <w:tc>
          <w:tcPr>
            <w:tcW w:w="3049" w:type="dxa"/>
            <w:tcBorders>
              <w:bottom w:val="single" w:sz="4" w:space="0" w:color="auto"/>
            </w:tcBorders>
          </w:tcPr>
          <w:p w14:paraId="068CFC76" w14:textId="78C1C8CD" w:rsidR="0092072A" w:rsidRPr="00B6039A" w:rsidRDefault="0092072A" w:rsidP="00A42692">
            <w:pPr>
              <w:pStyle w:val="ListParagraph"/>
              <w:spacing w:after="120"/>
              <w:ind w:left="284" w:firstLine="0"/>
              <w:rPr>
                <w:b/>
                <w:sz w:val="23"/>
                <w:szCs w:val="23"/>
              </w:rPr>
            </w:pPr>
            <w:r w:rsidRPr="00B6039A">
              <w:rPr>
                <w:b/>
                <w:sz w:val="23"/>
                <w:szCs w:val="23"/>
              </w:rPr>
              <w:t>Evidence of implementation</w:t>
            </w:r>
            <w:r w:rsidR="00B95447" w:rsidRPr="00B6039A">
              <w:rPr>
                <w:b/>
                <w:sz w:val="23"/>
                <w:szCs w:val="23"/>
              </w:rPr>
              <w:t xml:space="preserve"> </w:t>
            </w:r>
            <w:r w:rsidR="00A42692" w:rsidRPr="00B6039A">
              <w:rPr>
                <w:b/>
                <w:sz w:val="23"/>
                <w:szCs w:val="23"/>
              </w:rPr>
              <w:t>thus far</w:t>
            </w:r>
          </w:p>
        </w:tc>
      </w:tr>
      <w:tr w:rsidR="009D4DFC" w:rsidRPr="00B6039A" w14:paraId="706CDAE7" w14:textId="2FB07043" w:rsidTr="00A42692">
        <w:trPr>
          <w:trHeight w:val="278"/>
        </w:trPr>
        <w:tc>
          <w:tcPr>
            <w:tcW w:w="4731" w:type="dxa"/>
            <w:vMerge w:val="restart"/>
          </w:tcPr>
          <w:p w14:paraId="6F9CE0E6" w14:textId="0FCC654F" w:rsidR="009D4DFC" w:rsidRPr="00B6039A" w:rsidRDefault="009D4DFC" w:rsidP="00FF6FA8">
            <w:pPr>
              <w:pStyle w:val="ListParagraph"/>
              <w:numPr>
                <w:ilvl w:val="0"/>
                <w:numId w:val="20"/>
              </w:numPr>
              <w:spacing w:after="80"/>
              <w:ind w:left="431" w:hanging="357"/>
              <w:contextualSpacing w:val="0"/>
              <w:rPr>
                <w:bCs/>
                <w:sz w:val="23"/>
                <w:szCs w:val="23"/>
              </w:rPr>
            </w:pPr>
            <w:r w:rsidRPr="00B6039A">
              <w:rPr>
                <w:b/>
                <w:sz w:val="23"/>
                <w:szCs w:val="23"/>
              </w:rPr>
              <w:t>Increase income support to adequate levels</w:t>
            </w:r>
            <w:r w:rsidRPr="00B6039A">
              <w:rPr>
                <w:bCs/>
                <w:sz w:val="23"/>
                <w:szCs w:val="23"/>
              </w:rPr>
              <w:t xml:space="preserve"> (including benefits and the Family Tax Credit); lower abatement rates in Working For Families; and establish a minimum income standard that is met by the income support system.</w:t>
            </w:r>
          </w:p>
        </w:tc>
        <w:tc>
          <w:tcPr>
            <w:tcW w:w="3049" w:type="dxa"/>
            <w:tcBorders>
              <w:bottom w:val="nil"/>
            </w:tcBorders>
            <w:shd w:val="clear" w:color="auto" w:fill="FF0000"/>
          </w:tcPr>
          <w:p w14:paraId="1ECF8A11" w14:textId="3572FD72" w:rsidR="009D4DFC" w:rsidRPr="00B6039A" w:rsidRDefault="009D4DFC" w:rsidP="009D4DFC">
            <w:pPr>
              <w:pStyle w:val="ListParagraph"/>
              <w:ind w:left="282" w:firstLine="0"/>
              <w:rPr>
                <w:b/>
                <w:sz w:val="23"/>
                <w:szCs w:val="23"/>
              </w:rPr>
            </w:pPr>
          </w:p>
        </w:tc>
      </w:tr>
      <w:tr w:rsidR="009D4DFC" w:rsidRPr="00B6039A" w14:paraId="024FD5B1" w14:textId="77777777" w:rsidTr="00A42692">
        <w:trPr>
          <w:trHeight w:val="804"/>
        </w:trPr>
        <w:tc>
          <w:tcPr>
            <w:tcW w:w="4731" w:type="dxa"/>
            <w:vMerge/>
          </w:tcPr>
          <w:p w14:paraId="06769B81" w14:textId="77777777" w:rsidR="009D4DFC" w:rsidRPr="00B6039A" w:rsidRDefault="009D4DFC" w:rsidP="003E1EB6">
            <w:pPr>
              <w:pStyle w:val="ListParagraph"/>
              <w:numPr>
                <w:ilvl w:val="0"/>
                <w:numId w:val="20"/>
              </w:numPr>
              <w:ind w:left="432"/>
              <w:rPr>
                <w:bCs/>
                <w:sz w:val="23"/>
                <w:szCs w:val="23"/>
              </w:rPr>
            </w:pPr>
          </w:p>
        </w:tc>
        <w:tc>
          <w:tcPr>
            <w:tcW w:w="3049" w:type="dxa"/>
            <w:tcBorders>
              <w:top w:val="nil"/>
              <w:bottom w:val="single" w:sz="4" w:space="0" w:color="auto"/>
            </w:tcBorders>
          </w:tcPr>
          <w:p w14:paraId="4B854B11" w14:textId="77777777" w:rsidR="009D4DFC" w:rsidRPr="00B6039A" w:rsidRDefault="009D4DFC" w:rsidP="009D4DFC">
            <w:pPr>
              <w:pStyle w:val="ListParagraph"/>
              <w:ind w:left="282" w:firstLine="0"/>
              <w:rPr>
                <w:bCs/>
                <w:sz w:val="23"/>
                <w:szCs w:val="23"/>
              </w:rPr>
            </w:pPr>
            <w:r w:rsidRPr="00B6039A">
              <w:rPr>
                <w:bCs/>
                <w:sz w:val="23"/>
                <w:szCs w:val="23"/>
              </w:rPr>
              <w:t>None</w:t>
            </w:r>
          </w:p>
          <w:p w14:paraId="0F386A39" w14:textId="77777777" w:rsidR="009D4DFC" w:rsidRPr="00B6039A" w:rsidRDefault="009D4DFC" w:rsidP="0092072A">
            <w:pPr>
              <w:pStyle w:val="ListParagraph"/>
              <w:ind w:left="282" w:firstLine="0"/>
              <w:rPr>
                <w:b/>
                <w:sz w:val="23"/>
                <w:szCs w:val="23"/>
              </w:rPr>
            </w:pPr>
          </w:p>
        </w:tc>
      </w:tr>
      <w:tr w:rsidR="009D4DFC" w:rsidRPr="00B6039A" w14:paraId="51E26D8C" w14:textId="1AF06BD8" w:rsidTr="00A42692">
        <w:trPr>
          <w:trHeight w:val="188"/>
        </w:trPr>
        <w:tc>
          <w:tcPr>
            <w:tcW w:w="4731" w:type="dxa"/>
            <w:vMerge w:val="restart"/>
          </w:tcPr>
          <w:p w14:paraId="1B16B9CB" w14:textId="753BF353" w:rsidR="009D4DFC" w:rsidRPr="00B6039A" w:rsidRDefault="009D4DFC" w:rsidP="003E1EB6">
            <w:pPr>
              <w:pStyle w:val="ListParagraph"/>
              <w:numPr>
                <w:ilvl w:val="0"/>
                <w:numId w:val="20"/>
              </w:numPr>
              <w:ind w:left="432"/>
              <w:rPr>
                <w:bCs/>
                <w:sz w:val="23"/>
                <w:szCs w:val="23"/>
              </w:rPr>
            </w:pPr>
            <w:r w:rsidRPr="00B6039A">
              <w:rPr>
                <w:b/>
                <w:sz w:val="23"/>
                <w:szCs w:val="23"/>
              </w:rPr>
              <w:t>Ensure disability supports are adequate</w:t>
            </w:r>
            <w:r w:rsidRPr="00B6039A">
              <w:rPr>
                <w:bCs/>
                <w:sz w:val="23"/>
                <w:szCs w:val="23"/>
              </w:rPr>
              <w:t>.</w:t>
            </w:r>
          </w:p>
        </w:tc>
        <w:tc>
          <w:tcPr>
            <w:tcW w:w="3049" w:type="dxa"/>
            <w:tcBorders>
              <w:bottom w:val="nil"/>
            </w:tcBorders>
            <w:shd w:val="clear" w:color="auto" w:fill="FFC000"/>
          </w:tcPr>
          <w:p w14:paraId="146603C1" w14:textId="409C6482" w:rsidR="009D4DFC" w:rsidRPr="00B6039A" w:rsidRDefault="009D4DFC" w:rsidP="0092072A">
            <w:pPr>
              <w:pStyle w:val="ListParagraph"/>
              <w:ind w:left="282" w:firstLine="0"/>
              <w:rPr>
                <w:bCs/>
                <w:sz w:val="23"/>
                <w:szCs w:val="23"/>
              </w:rPr>
            </w:pPr>
          </w:p>
        </w:tc>
      </w:tr>
      <w:tr w:rsidR="009D4DFC" w:rsidRPr="00B6039A" w14:paraId="416B7EDF" w14:textId="77777777" w:rsidTr="00A42692">
        <w:trPr>
          <w:trHeight w:val="402"/>
        </w:trPr>
        <w:tc>
          <w:tcPr>
            <w:tcW w:w="4731" w:type="dxa"/>
            <w:vMerge/>
          </w:tcPr>
          <w:p w14:paraId="43389C57" w14:textId="77777777" w:rsidR="009D4DFC" w:rsidRPr="00B6039A" w:rsidRDefault="009D4DFC" w:rsidP="003E1EB6">
            <w:pPr>
              <w:pStyle w:val="ListParagraph"/>
              <w:numPr>
                <w:ilvl w:val="0"/>
                <w:numId w:val="20"/>
              </w:numPr>
              <w:ind w:left="432"/>
              <w:rPr>
                <w:b/>
                <w:sz w:val="23"/>
                <w:szCs w:val="23"/>
              </w:rPr>
            </w:pPr>
          </w:p>
        </w:tc>
        <w:tc>
          <w:tcPr>
            <w:tcW w:w="3049" w:type="dxa"/>
            <w:tcBorders>
              <w:top w:val="nil"/>
              <w:bottom w:val="single" w:sz="4" w:space="0" w:color="auto"/>
            </w:tcBorders>
          </w:tcPr>
          <w:p w14:paraId="6DD28CAB" w14:textId="0C9D8469" w:rsidR="009D4DFC" w:rsidRPr="00B6039A" w:rsidRDefault="00A42692" w:rsidP="0092072A">
            <w:pPr>
              <w:pStyle w:val="ListParagraph"/>
              <w:ind w:left="282" w:firstLine="0"/>
              <w:rPr>
                <w:bCs/>
                <w:sz w:val="23"/>
                <w:szCs w:val="23"/>
              </w:rPr>
            </w:pPr>
            <w:r w:rsidRPr="00B6039A">
              <w:rPr>
                <w:bCs/>
                <w:sz w:val="23"/>
                <w:szCs w:val="23"/>
              </w:rPr>
              <w:t>Very m</w:t>
            </w:r>
            <w:r w:rsidR="009D4DFC" w:rsidRPr="00B6039A">
              <w:rPr>
                <w:bCs/>
                <w:sz w:val="23"/>
                <w:szCs w:val="23"/>
              </w:rPr>
              <w:t>inimal (for employment support only; nothing for children with disability)</w:t>
            </w:r>
          </w:p>
        </w:tc>
      </w:tr>
      <w:tr w:rsidR="009D4DFC" w:rsidRPr="00B6039A" w14:paraId="453591AC" w14:textId="28AAC520" w:rsidTr="00A42692">
        <w:trPr>
          <w:trHeight w:val="269"/>
        </w:trPr>
        <w:tc>
          <w:tcPr>
            <w:tcW w:w="4731" w:type="dxa"/>
            <w:vMerge w:val="restart"/>
          </w:tcPr>
          <w:p w14:paraId="769174AA" w14:textId="0FA8244A" w:rsidR="009D4DFC" w:rsidRPr="00B6039A" w:rsidRDefault="009D4DFC" w:rsidP="00FF6FA8">
            <w:pPr>
              <w:pStyle w:val="ListParagraph"/>
              <w:numPr>
                <w:ilvl w:val="0"/>
                <w:numId w:val="20"/>
              </w:numPr>
              <w:spacing w:after="80"/>
              <w:ind w:left="431" w:hanging="357"/>
              <w:contextualSpacing w:val="0"/>
              <w:rPr>
                <w:bCs/>
                <w:sz w:val="23"/>
                <w:szCs w:val="23"/>
              </w:rPr>
            </w:pPr>
            <w:r w:rsidRPr="00B6039A">
              <w:rPr>
                <w:b/>
                <w:sz w:val="23"/>
                <w:szCs w:val="23"/>
              </w:rPr>
              <w:t xml:space="preserve">Amend the Social Security Act so that its purpose is </w:t>
            </w:r>
            <w:proofErr w:type="spellStart"/>
            <w:r w:rsidRPr="00B6039A">
              <w:rPr>
                <w:b/>
                <w:sz w:val="23"/>
                <w:szCs w:val="23"/>
              </w:rPr>
              <w:t>whakamana</w:t>
            </w:r>
            <w:proofErr w:type="spellEnd"/>
            <w:r w:rsidRPr="00B6039A">
              <w:rPr>
                <w:b/>
                <w:sz w:val="23"/>
                <w:szCs w:val="23"/>
              </w:rPr>
              <w:t xml:space="preserve"> </w:t>
            </w:r>
            <w:proofErr w:type="spellStart"/>
            <w:r w:rsidRPr="00B6039A">
              <w:rPr>
                <w:b/>
                <w:sz w:val="23"/>
                <w:szCs w:val="23"/>
              </w:rPr>
              <w:t>t</w:t>
            </w:r>
            <w:r w:rsidR="00A42692" w:rsidRPr="00B6039A">
              <w:rPr>
                <w:b/>
                <w:sz w:val="23"/>
                <w:szCs w:val="23"/>
              </w:rPr>
              <w:t>ā</w:t>
            </w:r>
            <w:r w:rsidRPr="00B6039A">
              <w:rPr>
                <w:b/>
                <w:sz w:val="23"/>
                <w:szCs w:val="23"/>
              </w:rPr>
              <w:t>ngata</w:t>
            </w:r>
            <w:proofErr w:type="spellEnd"/>
            <w:r w:rsidRPr="00B6039A">
              <w:rPr>
                <w:b/>
                <w:sz w:val="23"/>
                <w:szCs w:val="23"/>
              </w:rPr>
              <w:t xml:space="preserve"> </w:t>
            </w:r>
            <w:r w:rsidRPr="00B6039A">
              <w:rPr>
                <w:bCs/>
                <w:sz w:val="23"/>
                <w:szCs w:val="23"/>
              </w:rPr>
              <w:t>and ensure that the welfare system fulfils the principles of this amended Act.</w:t>
            </w:r>
          </w:p>
        </w:tc>
        <w:tc>
          <w:tcPr>
            <w:tcW w:w="3049" w:type="dxa"/>
            <w:tcBorders>
              <w:bottom w:val="nil"/>
            </w:tcBorders>
            <w:shd w:val="clear" w:color="auto" w:fill="FF0000"/>
          </w:tcPr>
          <w:p w14:paraId="3A593770" w14:textId="1CA8EFEF" w:rsidR="009D4DFC" w:rsidRPr="00B6039A" w:rsidRDefault="009D4DFC" w:rsidP="009D4DFC">
            <w:pPr>
              <w:pStyle w:val="ListParagraph"/>
              <w:ind w:left="282" w:firstLine="0"/>
              <w:rPr>
                <w:b/>
                <w:sz w:val="23"/>
                <w:szCs w:val="23"/>
              </w:rPr>
            </w:pPr>
          </w:p>
        </w:tc>
      </w:tr>
      <w:tr w:rsidR="009D4DFC" w:rsidRPr="00B6039A" w14:paraId="4E27BB26" w14:textId="77777777" w:rsidTr="00A42692">
        <w:trPr>
          <w:trHeight w:val="540"/>
        </w:trPr>
        <w:tc>
          <w:tcPr>
            <w:tcW w:w="4731" w:type="dxa"/>
            <w:vMerge/>
          </w:tcPr>
          <w:p w14:paraId="37B1B091" w14:textId="77777777" w:rsidR="009D4DFC" w:rsidRPr="00B6039A" w:rsidRDefault="009D4DFC" w:rsidP="003E1EB6">
            <w:pPr>
              <w:pStyle w:val="ListParagraph"/>
              <w:numPr>
                <w:ilvl w:val="0"/>
                <w:numId w:val="20"/>
              </w:numPr>
              <w:ind w:left="432"/>
              <w:rPr>
                <w:b/>
                <w:sz w:val="23"/>
                <w:szCs w:val="23"/>
              </w:rPr>
            </w:pPr>
          </w:p>
        </w:tc>
        <w:tc>
          <w:tcPr>
            <w:tcW w:w="3049" w:type="dxa"/>
            <w:tcBorders>
              <w:top w:val="nil"/>
              <w:bottom w:val="single" w:sz="4" w:space="0" w:color="auto"/>
            </w:tcBorders>
          </w:tcPr>
          <w:p w14:paraId="18097593" w14:textId="77777777" w:rsidR="009D4DFC" w:rsidRPr="00B6039A" w:rsidRDefault="009D4DFC" w:rsidP="009D4DFC">
            <w:pPr>
              <w:pStyle w:val="ListParagraph"/>
              <w:ind w:left="282" w:firstLine="0"/>
              <w:rPr>
                <w:bCs/>
                <w:sz w:val="23"/>
                <w:szCs w:val="23"/>
              </w:rPr>
            </w:pPr>
            <w:r w:rsidRPr="00B6039A">
              <w:rPr>
                <w:bCs/>
                <w:sz w:val="23"/>
                <w:szCs w:val="23"/>
              </w:rPr>
              <w:t>None</w:t>
            </w:r>
          </w:p>
          <w:p w14:paraId="36CF6A24" w14:textId="77777777" w:rsidR="009D4DFC" w:rsidRPr="00B6039A" w:rsidRDefault="009D4DFC" w:rsidP="0092072A">
            <w:pPr>
              <w:pStyle w:val="ListParagraph"/>
              <w:ind w:left="282" w:firstLine="0"/>
              <w:rPr>
                <w:b/>
                <w:sz w:val="23"/>
                <w:szCs w:val="23"/>
              </w:rPr>
            </w:pPr>
          </w:p>
        </w:tc>
      </w:tr>
      <w:tr w:rsidR="009D4DFC" w:rsidRPr="00B6039A" w14:paraId="45FD3AD3" w14:textId="0BB0A339" w:rsidTr="00A42692">
        <w:trPr>
          <w:trHeight w:val="179"/>
        </w:trPr>
        <w:tc>
          <w:tcPr>
            <w:tcW w:w="4731" w:type="dxa"/>
            <w:vMerge w:val="restart"/>
          </w:tcPr>
          <w:p w14:paraId="33224D53" w14:textId="77777777" w:rsidR="009D4DFC" w:rsidRPr="00B6039A" w:rsidRDefault="009D4DFC" w:rsidP="003E1EB6">
            <w:pPr>
              <w:pStyle w:val="ListParagraph"/>
              <w:numPr>
                <w:ilvl w:val="0"/>
                <w:numId w:val="20"/>
              </w:numPr>
              <w:ind w:left="432"/>
              <w:rPr>
                <w:bCs/>
                <w:sz w:val="23"/>
                <w:szCs w:val="23"/>
              </w:rPr>
            </w:pPr>
            <w:r w:rsidRPr="00B6039A">
              <w:rPr>
                <w:b/>
                <w:sz w:val="23"/>
                <w:szCs w:val="23"/>
              </w:rPr>
              <w:t>Accelerate public housing development</w:t>
            </w:r>
            <w:r w:rsidRPr="00B6039A">
              <w:rPr>
                <w:bCs/>
                <w:sz w:val="23"/>
                <w:szCs w:val="23"/>
              </w:rPr>
              <w:t>.</w:t>
            </w:r>
          </w:p>
        </w:tc>
        <w:tc>
          <w:tcPr>
            <w:tcW w:w="3049" w:type="dxa"/>
            <w:tcBorders>
              <w:bottom w:val="nil"/>
            </w:tcBorders>
            <w:shd w:val="clear" w:color="auto" w:fill="FFFF00"/>
          </w:tcPr>
          <w:p w14:paraId="12728BE4" w14:textId="71E0E7FD" w:rsidR="009D4DFC" w:rsidRPr="00B6039A" w:rsidRDefault="009D4DFC" w:rsidP="00A9604E">
            <w:pPr>
              <w:pStyle w:val="ListParagraph"/>
              <w:ind w:left="282" w:firstLine="0"/>
              <w:rPr>
                <w:bCs/>
                <w:sz w:val="23"/>
                <w:szCs w:val="23"/>
              </w:rPr>
            </w:pPr>
          </w:p>
        </w:tc>
      </w:tr>
      <w:tr w:rsidR="009D4DFC" w:rsidRPr="00B6039A" w14:paraId="590B288F" w14:textId="77777777" w:rsidTr="00A42692">
        <w:trPr>
          <w:trHeight w:val="132"/>
        </w:trPr>
        <w:tc>
          <w:tcPr>
            <w:tcW w:w="4731" w:type="dxa"/>
            <w:vMerge/>
          </w:tcPr>
          <w:p w14:paraId="121A532A" w14:textId="77777777" w:rsidR="009D4DFC" w:rsidRPr="00B6039A" w:rsidRDefault="009D4DFC" w:rsidP="003E1EB6">
            <w:pPr>
              <w:pStyle w:val="ListParagraph"/>
              <w:numPr>
                <w:ilvl w:val="0"/>
                <w:numId w:val="20"/>
              </w:numPr>
              <w:ind w:left="432"/>
              <w:rPr>
                <w:b/>
                <w:sz w:val="23"/>
                <w:szCs w:val="23"/>
              </w:rPr>
            </w:pPr>
          </w:p>
        </w:tc>
        <w:tc>
          <w:tcPr>
            <w:tcW w:w="3049" w:type="dxa"/>
            <w:tcBorders>
              <w:top w:val="nil"/>
              <w:bottom w:val="single" w:sz="4" w:space="0" w:color="auto"/>
            </w:tcBorders>
          </w:tcPr>
          <w:p w14:paraId="16F53BFD" w14:textId="5C30B99D" w:rsidR="009D4DFC" w:rsidRPr="00B6039A" w:rsidRDefault="009D4DFC" w:rsidP="00A42692">
            <w:pPr>
              <w:pStyle w:val="ListParagraph"/>
              <w:spacing w:after="120"/>
              <w:ind w:left="284" w:firstLine="0"/>
              <w:rPr>
                <w:bCs/>
                <w:sz w:val="23"/>
                <w:szCs w:val="23"/>
              </w:rPr>
            </w:pPr>
            <w:r w:rsidRPr="00B6039A">
              <w:rPr>
                <w:bCs/>
                <w:sz w:val="23"/>
                <w:szCs w:val="23"/>
              </w:rPr>
              <w:t>Partial</w:t>
            </w:r>
          </w:p>
        </w:tc>
      </w:tr>
      <w:tr w:rsidR="00B95447" w:rsidRPr="00B6039A" w14:paraId="41AA9639" w14:textId="4F6D568F" w:rsidTr="00A42692">
        <w:trPr>
          <w:trHeight w:val="152"/>
        </w:trPr>
        <w:tc>
          <w:tcPr>
            <w:tcW w:w="4731" w:type="dxa"/>
            <w:vMerge w:val="restart"/>
          </w:tcPr>
          <w:p w14:paraId="1EC68A0B" w14:textId="6E40A315" w:rsidR="00B95447" w:rsidRPr="00B6039A" w:rsidRDefault="00B95447" w:rsidP="00FF6FA8">
            <w:pPr>
              <w:pStyle w:val="ListParagraph"/>
              <w:numPr>
                <w:ilvl w:val="0"/>
                <w:numId w:val="20"/>
              </w:numPr>
              <w:spacing w:after="120"/>
              <w:ind w:left="431" w:hanging="357"/>
              <w:contextualSpacing w:val="0"/>
              <w:rPr>
                <w:bCs/>
                <w:sz w:val="23"/>
                <w:szCs w:val="23"/>
              </w:rPr>
            </w:pPr>
            <w:r w:rsidRPr="00B6039A">
              <w:rPr>
                <w:sz w:val="23"/>
                <w:szCs w:val="23"/>
              </w:rPr>
              <w:t xml:space="preserve">Ensure income support settings have less impact on </w:t>
            </w:r>
            <w:r w:rsidRPr="00B6039A">
              <w:rPr>
                <w:b/>
                <w:bCs/>
                <w:sz w:val="23"/>
                <w:szCs w:val="23"/>
              </w:rPr>
              <w:t>partnering decisions</w:t>
            </w:r>
            <w:r w:rsidRPr="00B6039A">
              <w:rPr>
                <w:bCs/>
                <w:sz w:val="23"/>
                <w:szCs w:val="23"/>
              </w:rPr>
              <w:t xml:space="preserve"> (NB: CPAG’s view differs from WEAG’s as to the appropriate definition of a relationship for the purposes of the welfare system: CPAG’s view is it should be similar to that of the Property (Relationships) Act; WEAG’s view is that a 6-month grace period is sufficient)</w:t>
            </w:r>
            <w:r w:rsidR="00FF6FA8" w:rsidRPr="00B6039A">
              <w:rPr>
                <w:bCs/>
                <w:sz w:val="23"/>
                <w:szCs w:val="23"/>
              </w:rPr>
              <w:t>.</w:t>
            </w:r>
          </w:p>
        </w:tc>
        <w:tc>
          <w:tcPr>
            <w:tcW w:w="3049" w:type="dxa"/>
            <w:tcBorders>
              <w:bottom w:val="nil"/>
            </w:tcBorders>
            <w:shd w:val="clear" w:color="auto" w:fill="FF0000"/>
          </w:tcPr>
          <w:p w14:paraId="309E96A6" w14:textId="286F18FF" w:rsidR="00B95447" w:rsidRPr="00B6039A" w:rsidRDefault="00B95447" w:rsidP="00A9604E">
            <w:pPr>
              <w:pStyle w:val="ListParagraph"/>
              <w:ind w:left="282" w:firstLine="0"/>
              <w:rPr>
                <w:bCs/>
                <w:sz w:val="23"/>
                <w:szCs w:val="23"/>
              </w:rPr>
            </w:pPr>
          </w:p>
        </w:tc>
      </w:tr>
      <w:tr w:rsidR="00B95447" w:rsidRPr="00B6039A" w14:paraId="549FD454" w14:textId="77777777" w:rsidTr="00A42692">
        <w:trPr>
          <w:trHeight w:val="2118"/>
        </w:trPr>
        <w:tc>
          <w:tcPr>
            <w:tcW w:w="4731" w:type="dxa"/>
            <w:vMerge/>
          </w:tcPr>
          <w:p w14:paraId="67BB2CF6" w14:textId="77777777" w:rsidR="00B95447" w:rsidRPr="00B6039A" w:rsidRDefault="00B95447" w:rsidP="003E1EB6">
            <w:pPr>
              <w:pStyle w:val="ListParagraph"/>
              <w:numPr>
                <w:ilvl w:val="0"/>
                <w:numId w:val="20"/>
              </w:numPr>
              <w:ind w:left="432"/>
              <w:rPr>
                <w:sz w:val="23"/>
                <w:szCs w:val="23"/>
              </w:rPr>
            </w:pPr>
          </w:p>
        </w:tc>
        <w:tc>
          <w:tcPr>
            <w:tcW w:w="3049" w:type="dxa"/>
            <w:tcBorders>
              <w:top w:val="nil"/>
            </w:tcBorders>
          </w:tcPr>
          <w:p w14:paraId="12B8BFB9" w14:textId="491EB119" w:rsidR="00B95447" w:rsidRPr="00B6039A" w:rsidRDefault="00B95447" w:rsidP="00A9604E">
            <w:pPr>
              <w:pStyle w:val="ListParagraph"/>
              <w:ind w:left="282" w:firstLine="0"/>
              <w:rPr>
                <w:bCs/>
                <w:sz w:val="23"/>
                <w:szCs w:val="23"/>
              </w:rPr>
            </w:pPr>
            <w:r w:rsidRPr="00B6039A">
              <w:rPr>
                <w:bCs/>
                <w:sz w:val="23"/>
                <w:szCs w:val="23"/>
              </w:rPr>
              <w:t>None</w:t>
            </w:r>
          </w:p>
        </w:tc>
      </w:tr>
    </w:tbl>
    <w:p w14:paraId="268A49FE" w14:textId="726EFF86" w:rsidR="00FF6FA8" w:rsidRPr="00B6039A" w:rsidRDefault="00FF6FA8" w:rsidP="00A42692">
      <w:pPr>
        <w:ind w:left="0" w:firstLine="0"/>
      </w:pPr>
    </w:p>
    <w:p w14:paraId="67CC92BF" w14:textId="47E5BB96" w:rsidR="001A54CB" w:rsidRPr="00B6039A" w:rsidRDefault="001A54CB" w:rsidP="00FF6FA8">
      <w:pPr>
        <w:pStyle w:val="Heading1"/>
        <w:spacing w:before="0" w:after="240"/>
        <w:ind w:left="0" w:firstLine="0"/>
      </w:pPr>
      <w:bookmarkStart w:id="5" w:name="_Toc57025843"/>
      <w:r w:rsidRPr="00B6039A">
        <w:lastRenderedPageBreak/>
        <w:t>Executive Summary</w:t>
      </w:r>
    </w:p>
    <w:p w14:paraId="25AC7BBC" w14:textId="409744BB" w:rsidR="001A54CB" w:rsidRPr="00B6039A" w:rsidRDefault="001A54CB" w:rsidP="00FF6FA8">
      <w:pPr>
        <w:spacing w:after="120" w:line="259" w:lineRule="auto"/>
        <w:ind w:left="0" w:firstLine="0"/>
        <w:rPr>
          <w:sz w:val="24"/>
          <w:szCs w:val="24"/>
        </w:rPr>
      </w:pPr>
      <w:r w:rsidRPr="00B6039A">
        <w:rPr>
          <w:sz w:val="24"/>
          <w:szCs w:val="24"/>
        </w:rPr>
        <w:t xml:space="preserve">In May 2018, </w:t>
      </w:r>
      <w:r w:rsidR="00B95447" w:rsidRPr="00B6039A">
        <w:rPr>
          <w:sz w:val="24"/>
          <w:szCs w:val="24"/>
        </w:rPr>
        <w:t xml:space="preserve">the </w:t>
      </w:r>
      <w:r w:rsidR="000B4771" w:rsidRPr="00B6039A">
        <w:rPr>
          <w:sz w:val="24"/>
          <w:szCs w:val="24"/>
        </w:rPr>
        <w:t>Coalition</w:t>
      </w:r>
      <w:r w:rsidR="00B95447" w:rsidRPr="00B6039A">
        <w:rPr>
          <w:sz w:val="24"/>
          <w:szCs w:val="24"/>
        </w:rPr>
        <w:t xml:space="preserve"> Government explicitly laid out its vision for welfare, in </w:t>
      </w:r>
      <w:r w:rsidRPr="00B6039A">
        <w:rPr>
          <w:sz w:val="24"/>
          <w:szCs w:val="24"/>
        </w:rPr>
        <w:t xml:space="preserve">the Terms of Reference for the </w:t>
      </w:r>
      <w:r w:rsidR="006575B3" w:rsidRPr="00B6039A">
        <w:rPr>
          <w:sz w:val="24"/>
          <w:szCs w:val="24"/>
        </w:rPr>
        <w:t xml:space="preserve">Welfare Expert Advisory Group </w:t>
      </w:r>
      <w:r w:rsidR="00F47B97" w:rsidRPr="00B6039A">
        <w:rPr>
          <w:sz w:val="24"/>
          <w:szCs w:val="24"/>
        </w:rPr>
        <w:t>(WEAG)</w:t>
      </w:r>
      <w:r w:rsidRPr="00B6039A">
        <w:rPr>
          <w:sz w:val="24"/>
          <w:szCs w:val="24"/>
        </w:rPr>
        <w:t xml:space="preserve">: </w:t>
      </w:r>
    </w:p>
    <w:p w14:paraId="3FC85502" w14:textId="19C9F44B" w:rsidR="001A54CB" w:rsidRPr="00B6039A" w:rsidRDefault="001A54CB" w:rsidP="00FF6FA8">
      <w:pPr>
        <w:spacing w:after="120" w:line="259" w:lineRule="auto"/>
        <w:ind w:left="720" w:firstLine="0"/>
        <w:rPr>
          <w:i/>
          <w:sz w:val="24"/>
          <w:szCs w:val="24"/>
        </w:rPr>
      </w:pPr>
      <w:r w:rsidRPr="00B6039A">
        <w:rPr>
          <w:i/>
          <w:sz w:val="24"/>
          <w:szCs w:val="24"/>
        </w:rPr>
        <w:t>“The Government’s vision is for a welfare system that ensures people have an adequate income and standard of living, are</w:t>
      </w:r>
      <w:bookmarkStart w:id="6" w:name="_Hlk57374629"/>
      <w:r w:rsidRPr="00B6039A">
        <w:rPr>
          <w:i/>
          <w:sz w:val="24"/>
          <w:szCs w:val="24"/>
        </w:rPr>
        <w:t xml:space="preserve"> treated with and can live in dignity </w:t>
      </w:r>
      <w:bookmarkEnd w:id="6"/>
      <w:r w:rsidRPr="00B6039A">
        <w:rPr>
          <w:i/>
          <w:sz w:val="24"/>
          <w:szCs w:val="24"/>
        </w:rPr>
        <w:t>and are able to participate meaningfully in their communities…”</w:t>
      </w:r>
      <w:r w:rsidRPr="00B6039A">
        <w:rPr>
          <w:rStyle w:val="FootnoteReference"/>
          <w:i/>
          <w:sz w:val="24"/>
          <w:szCs w:val="24"/>
        </w:rPr>
        <w:footnoteReference w:id="1"/>
      </w:r>
      <w:r w:rsidRPr="00B6039A">
        <w:rPr>
          <w:i/>
          <w:sz w:val="24"/>
          <w:szCs w:val="24"/>
        </w:rPr>
        <w:t xml:space="preserve"> </w:t>
      </w:r>
    </w:p>
    <w:p w14:paraId="48AA1CA4" w14:textId="58470893" w:rsidR="00D47773" w:rsidRPr="00B6039A" w:rsidRDefault="00D47773" w:rsidP="00FF6FA8">
      <w:pPr>
        <w:spacing w:line="259" w:lineRule="auto"/>
        <w:ind w:left="0" w:firstLine="0"/>
        <w:rPr>
          <w:sz w:val="24"/>
          <w:szCs w:val="24"/>
        </w:rPr>
      </w:pPr>
      <w:bookmarkStart w:id="7" w:name="_Hlk57364621"/>
      <w:r w:rsidRPr="00B6039A">
        <w:rPr>
          <w:iCs/>
          <w:sz w:val="24"/>
          <w:szCs w:val="24"/>
        </w:rPr>
        <w:t>N</w:t>
      </w:r>
      <w:r w:rsidR="001A54CB" w:rsidRPr="00B6039A">
        <w:rPr>
          <w:iCs/>
          <w:sz w:val="24"/>
          <w:szCs w:val="24"/>
        </w:rPr>
        <w:t xml:space="preserve">early two years </w:t>
      </w:r>
      <w:r w:rsidRPr="00B6039A">
        <w:rPr>
          <w:iCs/>
          <w:sz w:val="24"/>
          <w:szCs w:val="24"/>
        </w:rPr>
        <w:t xml:space="preserve">have </w:t>
      </w:r>
      <w:r w:rsidR="000326AA" w:rsidRPr="00B6039A">
        <w:rPr>
          <w:iCs/>
          <w:sz w:val="24"/>
          <w:szCs w:val="24"/>
        </w:rPr>
        <w:t xml:space="preserve">passed </w:t>
      </w:r>
      <w:r w:rsidR="001A54CB" w:rsidRPr="00B6039A">
        <w:rPr>
          <w:iCs/>
          <w:sz w:val="24"/>
          <w:szCs w:val="24"/>
        </w:rPr>
        <w:t xml:space="preserve">since the WEAG delivered its </w:t>
      </w:r>
      <w:proofErr w:type="spellStart"/>
      <w:r w:rsidR="001A54CB" w:rsidRPr="00B6039A">
        <w:rPr>
          <w:i/>
          <w:sz w:val="24"/>
          <w:szCs w:val="24"/>
        </w:rPr>
        <w:t>Whakamana</w:t>
      </w:r>
      <w:proofErr w:type="spellEnd"/>
      <w:r w:rsidR="001A54CB" w:rsidRPr="00B6039A">
        <w:rPr>
          <w:i/>
          <w:sz w:val="24"/>
          <w:szCs w:val="24"/>
        </w:rPr>
        <w:t xml:space="preserve"> </w:t>
      </w:r>
      <w:proofErr w:type="spellStart"/>
      <w:r w:rsidR="001A54CB" w:rsidRPr="00B6039A">
        <w:rPr>
          <w:i/>
          <w:sz w:val="24"/>
          <w:szCs w:val="24"/>
        </w:rPr>
        <w:t>T</w:t>
      </w:r>
      <w:r w:rsidR="000B4771" w:rsidRPr="00B6039A">
        <w:rPr>
          <w:rFonts w:cstheme="minorHAnsi"/>
          <w:i/>
          <w:sz w:val="24"/>
          <w:szCs w:val="24"/>
        </w:rPr>
        <w:t>ā</w:t>
      </w:r>
      <w:r w:rsidR="001A54CB" w:rsidRPr="00B6039A">
        <w:rPr>
          <w:i/>
          <w:sz w:val="24"/>
          <w:szCs w:val="24"/>
        </w:rPr>
        <w:t>ngata</w:t>
      </w:r>
      <w:proofErr w:type="spellEnd"/>
      <w:r w:rsidR="001A54CB" w:rsidRPr="00B6039A">
        <w:rPr>
          <w:iCs/>
          <w:sz w:val="24"/>
          <w:szCs w:val="24"/>
        </w:rPr>
        <w:t xml:space="preserve"> report</w:t>
      </w:r>
      <w:r w:rsidR="009D5E8C" w:rsidRPr="00B6039A">
        <w:rPr>
          <w:iCs/>
          <w:sz w:val="24"/>
          <w:szCs w:val="24"/>
        </w:rPr>
        <w:t xml:space="preserve"> </w:t>
      </w:r>
      <w:r w:rsidR="00116F36" w:rsidRPr="00B6039A">
        <w:rPr>
          <w:iCs/>
          <w:sz w:val="24"/>
          <w:szCs w:val="24"/>
        </w:rPr>
        <w:t>explain</w:t>
      </w:r>
      <w:r w:rsidR="009D5E8C" w:rsidRPr="00B6039A">
        <w:rPr>
          <w:iCs/>
          <w:sz w:val="24"/>
          <w:szCs w:val="24"/>
        </w:rPr>
        <w:t>ing</w:t>
      </w:r>
      <w:r w:rsidR="00116F36" w:rsidRPr="00B6039A">
        <w:rPr>
          <w:iCs/>
          <w:sz w:val="24"/>
          <w:szCs w:val="24"/>
        </w:rPr>
        <w:t xml:space="preserve"> </w:t>
      </w:r>
      <w:r w:rsidR="006575B3" w:rsidRPr="00B6039A">
        <w:rPr>
          <w:iCs/>
          <w:sz w:val="24"/>
          <w:szCs w:val="24"/>
        </w:rPr>
        <w:t xml:space="preserve">how the </w:t>
      </w:r>
      <w:r w:rsidR="007206FC" w:rsidRPr="00B6039A">
        <w:rPr>
          <w:iCs/>
          <w:sz w:val="24"/>
          <w:szCs w:val="24"/>
        </w:rPr>
        <w:t>g</w:t>
      </w:r>
      <w:r w:rsidR="006575B3" w:rsidRPr="00B6039A">
        <w:rPr>
          <w:iCs/>
          <w:sz w:val="24"/>
          <w:szCs w:val="24"/>
        </w:rPr>
        <w:t>overnment could go about achieving this vision</w:t>
      </w:r>
      <w:r w:rsidR="000B4771" w:rsidRPr="00B6039A">
        <w:rPr>
          <w:iCs/>
          <w:sz w:val="24"/>
          <w:szCs w:val="24"/>
        </w:rPr>
        <w:t>. However</w:t>
      </w:r>
      <w:r w:rsidR="001A54CB" w:rsidRPr="00B6039A">
        <w:rPr>
          <w:iCs/>
          <w:sz w:val="24"/>
          <w:szCs w:val="24"/>
        </w:rPr>
        <w:t xml:space="preserve"> </w:t>
      </w:r>
      <w:r w:rsidR="00CD4A85" w:rsidRPr="00B6039A">
        <w:rPr>
          <w:iCs/>
          <w:sz w:val="24"/>
          <w:szCs w:val="24"/>
        </w:rPr>
        <w:t xml:space="preserve">our analysis shows </w:t>
      </w:r>
      <w:r w:rsidR="001A54CB" w:rsidRPr="00B6039A">
        <w:rPr>
          <w:iCs/>
          <w:sz w:val="24"/>
          <w:szCs w:val="24"/>
        </w:rPr>
        <w:t xml:space="preserve">the </w:t>
      </w:r>
      <w:r w:rsidR="007206FC" w:rsidRPr="00B6039A">
        <w:rPr>
          <w:iCs/>
          <w:sz w:val="24"/>
          <w:szCs w:val="24"/>
        </w:rPr>
        <w:t>g</w:t>
      </w:r>
      <w:r w:rsidR="001A54CB" w:rsidRPr="00B6039A">
        <w:rPr>
          <w:iCs/>
          <w:sz w:val="24"/>
          <w:szCs w:val="24"/>
        </w:rPr>
        <w:t xml:space="preserve">overnment has implemented very few </w:t>
      </w:r>
      <w:r w:rsidR="009D5E8C" w:rsidRPr="00B6039A">
        <w:rPr>
          <w:iCs/>
          <w:sz w:val="24"/>
          <w:szCs w:val="24"/>
        </w:rPr>
        <w:t xml:space="preserve">of </w:t>
      </w:r>
      <w:r w:rsidR="001A54CB" w:rsidRPr="00B6039A">
        <w:rPr>
          <w:iCs/>
          <w:sz w:val="24"/>
          <w:szCs w:val="24"/>
        </w:rPr>
        <w:t>WEAG’s recommendations (Fig</w:t>
      </w:r>
      <w:r w:rsidR="000B4771" w:rsidRPr="00B6039A">
        <w:rPr>
          <w:iCs/>
          <w:sz w:val="24"/>
          <w:szCs w:val="24"/>
        </w:rPr>
        <w:t>ure</w:t>
      </w:r>
      <w:r w:rsidR="001A54CB" w:rsidRPr="00B6039A">
        <w:rPr>
          <w:iCs/>
          <w:sz w:val="24"/>
          <w:szCs w:val="24"/>
        </w:rPr>
        <w:t xml:space="preserve"> 1)</w:t>
      </w:r>
      <w:r w:rsidR="00CD4A85" w:rsidRPr="00B6039A">
        <w:rPr>
          <w:iCs/>
          <w:sz w:val="24"/>
          <w:szCs w:val="24"/>
        </w:rPr>
        <w:t xml:space="preserve">. </w:t>
      </w:r>
      <w:r w:rsidRPr="00B6039A">
        <w:rPr>
          <w:iCs/>
          <w:sz w:val="24"/>
          <w:szCs w:val="24"/>
        </w:rPr>
        <w:t>N</w:t>
      </w:r>
      <w:r w:rsidRPr="00B6039A">
        <w:rPr>
          <w:sz w:val="24"/>
          <w:szCs w:val="24"/>
        </w:rPr>
        <w:t xml:space="preserve">one of the 42 key recommendations, and only four of 126 detailed recommendations, have been fully implemented. </w:t>
      </w:r>
      <w:r w:rsidR="0024757E" w:rsidRPr="00B6039A">
        <w:rPr>
          <w:iCs/>
          <w:sz w:val="24"/>
          <w:szCs w:val="24"/>
        </w:rPr>
        <w:t xml:space="preserve">It has partially implemented </w:t>
      </w:r>
      <w:r w:rsidR="00116F36" w:rsidRPr="00B6039A">
        <w:rPr>
          <w:iCs/>
          <w:sz w:val="24"/>
          <w:szCs w:val="24"/>
        </w:rPr>
        <w:t>only</w:t>
      </w:r>
      <w:r w:rsidR="000B4771" w:rsidRPr="00B6039A">
        <w:rPr>
          <w:iCs/>
          <w:sz w:val="24"/>
          <w:szCs w:val="24"/>
        </w:rPr>
        <w:t xml:space="preserve"> </w:t>
      </w:r>
      <w:r w:rsidR="007206FC" w:rsidRPr="00B6039A">
        <w:rPr>
          <w:iCs/>
          <w:sz w:val="24"/>
          <w:szCs w:val="24"/>
        </w:rPr>
        <w:t xml:space="preserve">7 </w:t>
      </w:r>
      <w:r w:rsidR="0024757E" w:rsidRPr="00B6039A">
        <w:rPr>
          <w:iCs/>
          <w:sz w:val="24"/>
          <w:szCs w:val="24"/>
        </w:rPr>
        <w:t>of the 42 key recommendations</w:t>
      </w:r>
      <w:r w:rsidR="007206FC" w:rsidRPr="00B6039A">
        <w:rPr>
          <w:iCs/>
          <w:sz w:val="24"/>
          <w:szCs w:val="24"/>
        </w:rPr>
        <w:t xml:space="preserve"> (17%)</w:t>
      </w:r>
      <w:r w:rsidR="0024757E" w:rsidRPr="00B6039A">
        <w:rPr>
          <w:iCs/>
          <w:sz w:val="24"/>
          <w:szCs w:val="24"/>
        </w:rPr>
        <w:t xml:space="preserve">, and partially or fully implemented </w:t>
      </w:r>
      <w:r w:rsidR="007206FC" w:rsidRPr="00B6039A">
        <w:rPr>
          <w:iCs/>
          <w:sz w:val="24"/>
          <w:szCs w:val="24"/>
        </w:rPr>
        <w:t xml:space="preserve">13 </w:t>
      </w:r>
      <w:r w:rsidR="0024757E" w:rsidRPr="00B6039A">
        <w:rPr>
          <w:iCs/>
          <w:sz w:val="24"/>
          <w:szCs w:val="24"/>
        </w:rPr>
        <w:t>of the 126 detailed recommendations</w:t>
      </w:r>
      <w:r w:rsidR="009D5E8C" w:rsidRPr="00B6039A">
        <w:rPr>
          <w:iCs/>
          <w:sz w:val="24"/>
          <w:szCs w:val="24"/>
        </w:rPr>
        <w:t xml:space="preserve"> (10%)</w:t>
      </w:r>
      <w:r w:rsidR="0024757E" w:rsidRPr="00B6039A">
        <w:rPr>
          <w:iCs/>
          <w:sz w:val="24"/>
          <w:szCs w:val="24"/>
        </w:rPr>
        <w:t>.</w:t>
      </w:r>
      <w:r w:rsidR="00AE527C" w:rsidRPr="00B6039A">
        <w:rPr>
          <w:iCs/>
          <w:sz w:val="24"/>
          <w:szCs w:val="24"/>
        </w:rPr>
        <w:t xml:space="preserve"> </w:t>
      </w:r>
    </w:p>
    <w:p w14:paraId="18C9BF9F" w14:textId="41208BD3" w:rsidR="001A54CB" w:rsidRPr="00B6039A" w:rsidRDefault="001A54CB" w:rsidP="00FF6FA8">
      <w:pPr>
        <w:pStyle w:val="Heading1"/>
        <w:spacing w:line="259" w:lineRule="auto"/>
        <w:ind w:left="0" w:firstLine="0"/>
        <w:rPr>
          <w:sz w:val="36"/>
          <w:szCs w:val="36"/>
        </w:rPr>
      </w:pPr>
      <w:r w:rsidRPr="00B6039A">
        <w:rPr>
          <w:noProof/>
          <w:sz w:val="36"/>
          <w:szCs w:val="36"/>
          <w:lang w:eastAsia="en-NZ"/>
        </w:rPr>
        <w:drawing>
          <wp:inline distT="0" distB="0" distL="0" distR="0" wp14:anchorId="198620F6" wp14:editId="5A6BF320">
            <wp:extent cx="3994150" cy="3268980"/>
            <wp:effectExtent l="0" t="0" r="6350" b="7620"/>
            <wp:docPr id="1" name="Chart 1" descr="Title: Known govt implementation of Whakamana Tāngata recommendations by Nov 2020. Key recs: 7 partially implemented, 12 minimally implemented, 23 with no evidence of implementation. Detailed recs: 4 fully implemented, 9 partially, 6 minimally and 107 with no evidence of implementation">
              <a:extLst xmlns:a="http://schemas.openxmlformats.org/drawingml/2006/main">
                <a:ext uri="{FF2B5EF4-FFF2-40B4-BE49-F238E27FC236}">
                  <a16:creationId xmlns:a16="http://schemas.microsoft.com/office/drawing/2014/main" id="{6450424D-F982-4563-8C51-009750AD91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923AD9" w14:textId="4172C55B" w:rsidR="00AE527C" w:rsidRPr="00B6039A" w:rsidRDefault="00116F36" w:rsidP="00C734C5">
      <w:pPr>
        <w:spacing w:before="120" w:after="120" w:line="259" w:lineRule="auto"/>
        <w:ind w:left="0" w:firstLine="0"/>
        <w:rPr>
          <w:iCs/>
          <w:sz w:val="24"/>
          <w:szCs w:val="24"/>
        </w:rPr>
      </w:pPr>
      <w:bookmarkStart w:id="8" w:name="_Hlk57375108"/>
      <w:bookmarkEnd w:id="7"/>
      <w:r w:rsidRPr="00B6039A">
        <w:rPr>
          <w:iCs/>
          <w:sz w:val="24"/>
          <w:szCs w:val="24"/>
        </w:rPr>
        <w:t>I</w:t>
      </w:r>
      <w:r w:rsidR="008E1F3C" w:rsidRPr="00B6039A">
        <w:rPr>
          <w:iCs/>
          <w:sz w:val="24"/>
          <w:szCs w:val="24"/>
        </w:rPr>
        <w:t xml:space="preserve">mplementation of many of the more substantial recommendations could reasonably </w:t>
      </w:r>
      <w:r w:rsidR="009D5E8C" w:rsidRPr="00B6039A">
        <w:rPr>
          <w:iCs/>
          <w:sz w:val="24"/>
          <w:szCs w:val="24"/>
        </w:rPr>
        <w:t xml:space="preserve">be </w:t>
      </w:r>
      <w:r w:rsidR="008E1F3C" w:rsidRPr="00B6039A">
        <w:rPr>
          <w:iCs/>
          <w:sz w:val="24"/>
          <w:szCs w:val="24"/>
        </w:rPr>
        <w:t xml:space="preserve">expected to take </w:t>
      </w:r>
      <w:r w:rsidR="008E1F3C" w:rsidRPr="00B6039A">
        <w:rPr>
          <w:i/>
          <w:sz w:val="24"/>
          <w:szCs w:val="24"/>
        </w:rPr>
        <w:t>some</w:t>
      </w:r>
      <w:r w:rsidR="008E1F3C" w:rsidRPr="00B6039A">
        <w:rPr>
          <w:iCs/>
          <w:sz w:val="24"/>
          <w:szCs w:val="24"/>
        </w:rPr>
        <w:t xml:space="preserve"> time in order to mitigate the risks of unexpected effects. </w:t>
      </w:r>
      <w:r w:rsidR="009D5E8C" w:rsidRPr="00B6039A">
        <w:rPr>
          <w:iCs/>
          <w:sz w:val="24"/>
          <w:szCs w:val="24"/>
        </w:rPr>
        <w:t>However, w</w:t>
      </w:r>
      <w:r w:rsidR="000B4771" w:rsidRPr="00B6039A">
        <w:rPr>
          <w:iCs/>
          <w:sz w:val="24"/>
          <w:szCs w:val="24"/>
        </w:rPr>
        <w:t xml:space="preserve">hile there are indications that </w:t>
      </w:r>
      <w:r w:rsidR="009D5E8C" w:rsidRPr="00B6039A">
        <w:rPr>
          <w:iCs/>
          <w:sz w:val="24"/>
          <w:szCs w:val="24"/>
        </w:rPr>
        <w:t xml:space="preserve">further policy work </w:t>
      </w:r>
      <w:r w:rsidR="000B4771" w:rsidRPr="00B6039A">
        <w:rPr>
          <w:iCs/>
          <w:sz w:val="24"/>
          <w:szCs w:val="24"/>
        </w:rPr>
        <w:t>is underway on some recommendations</w:t>
      </w:r>
      <w:r w:rsidR="008E1F3C" w:rsidRPr="00B6039A">
        <w:rPr>
          <w:iCs/>
          <w:sz w:val="24"/>
          <w:szCs w:val="24"/>
        </w:rPr>
        <w:t xml:space="preserve">, the Government has not announced </w:t>
      </w:r>
      <w:r w:rsidR="000B4771" w:rsidRPr="00B6039A">
        <w:rPr>
          <w:iCs/>
          <w:sz w:val="24"/>
          <w:szCs w:val="24"/>
        </w:rPr>
        <w:t>the</w:t>
      </w:r>
      <w:r w:rsidR="008E1F3C" w:rsidRPr="00B6039A">
        <w:rPr>
          <w:iCs/>
          <w:sz w:val="24"/>
          <w:szCs w:val="24"/>
        </w:rPr>
        <w:t xml:space="preserve"> </w:t>
      </w:r>
      <w:r w:rsidR="0024757E" w:rsidRPr="00B6039A">
        <w:rPr>
          <w:iCs/>
          <w:sz w:val="24"/>
          <w:szCs w:val="24"/>
        </w:rPr>
        <w:t>specific</w:t>
      </w:r>
      <w:r w:rsidR="000B4771" w:rsidRPr="00B6039A">
        <w:rPr>
          <w:iCs/>
          <w:sz w:val="24"/>
          <w:szCs w:val="24"/>
        </w:rPr>
        <w:t>s</w:t>
      </w:r>
      <w:r w:rsidR="008E1F3C" w:rsidRPr="00B6039A">
        <w:rPr>
          <w:iCs/>
          <w:sz w:val="24"/>
          <w:szCs w:val="24"/>
        </w:rPr>
        <w:t xml:space="preserve"> for </w:t>
      </w:r>
      <w:r w:rsidR="009D5E8C" w:rsidRPr="00B6039A">
        <w:rPr>
          <w:iCs/>
          <w:sz w:val="24"/>
          <w:szCs w:val="24"/>
        </w:rPr>
        <w:t xml:space="preserve">any </w:t>
      </w:r>
      <w:r w:rsidR="008E1F3C" w:rsidRPr="00B6039A">
        <w:rPr>
          <w:iCs/>
          <w:sz w:val="24"/>
          <w:szCs w:val="24"/>
        </w:rPr>
        <w:t>future implementation, apart from one promise to further increase benefit abatement levels at some time before the next election</w:t>
      </w:r>
      <w:r w:rsidR="00E90DBC" w:rsidRPr="00B6039A">
        <w:rPr>
          <w:iCs/>
          <w:sz w:val="24"/>
          <w:szCs w:val="24"/>
        </w:rPr>
        <w:t xml:space="preserve">. When </w:t>
      </w:r>
      <w:r w:rsidR="00C27D86" w:rsidRPr="00B6039A">
        <w:rPr>
          <w:iCs/>
          <w:sz w:val="24"/>
          <w:szCs w:val="24"/>
        </w:rPr>
        <w:t>that happens</w:t>
      </w:r>
      <w:r w:rsidR="00E90DBC" w:rsidRPr="00B6039A">
        <w:rPr>
          <w:iCs/>
          <w:sz w:val="24"/>
          <w:szCs w:val="24"/>
        </w:rPr>
        <w:t>,</w:t>
      </w:r>
      <w:r w:rsidR="00C27D86" w:rsidRPr="00B6039A">
        <w:rPr>
          <w:iCs/>
          <w:sz w:val="24"/>
          <w:szCs w:val="24"/>
        </w:rPr>
        <w:t xml:space="preserve"> </w:t>
      </w:r>
      <w:r w:rsidR="00E90DBC" w:rsidRPr="00B6039A">
        <w:rPr>
          <w:iCs/>
          <w:sz w:val="24"/>
          <w:szCs w:val="24"/>
        </w:rPr>
        <w:t xml:space="preserve">it </w:t>
      </w:r>
      <w:r w:rsidR="00C27D86" w:rsidRPr="00B6039A">
        <w:rPr>
          <w:iCs/>
          <w:sz w:val="24"/>
          <w:szCs w:val="24"/>
        </w:rPr>
        <w:t xml:space="preserve">will </w:t>
      </w:r>
      <w:r w:rsidR="008E1F3C" w:rsidRPr="00B6039A">
        <w:rPr>
          <w:iCs/>
          <w:sz w:val="24"/>
          <w:szCs w:val="24"/>
        </w:rPr>
        <w:t>change the status of one key recommendation from “minimally implemented” to “partially implemented”.</w:t>
      </w:r>
    </w:p>
    <w:bookmarkEnd w:id="8"/>
    <w:p w14:paraId="48306806" w14:textId="7E6A408A" w:rsidR="00F47B97" w:rsidRPr="00B6039A" w:rsidRDefault="00276CD5" w:rsidP="00C734C5">
      <w:pPr>
        <w:spacing w:after="120" w:line="259" w:lineRule="auto"/>
        <w:ind w:left="0" w:firstLine="0"/>
        <w:rPr>
          <w:iCs/>
          <w:sz w:val="24"/>
          <w:szCs w:val="24"/>
        </w:rPr>
      </w:pPr>
      <w:r w:rsidRPr="00B6039A">
        <w:rPr>
          <w:iCs/>
          <w:sz w:val="24"/>
          <w:szCs w:val="24"/>
        </w:rPr>
        <w:t xml:space="preserve">When we broadly categorise the key recommendations (Table 2), those directly </w:t>
      </w:r>
      <w:r w:rsidR="00AE527C" w:rsidRPr="00B6039A">
        <w:rPr>
          <w:iCs/>
          <w:sz w:val="24"/>
          <w:szCs w:val="24"/>
        </w:rPr>
        <w:t>regarding income support</w:t>
      </w:r>
      <w:r w:rsidR="008E1F3C" w:rsidRPr="00B6039A">
        <w:rPr>
          <w:iCs/>
          <w:sz w:val="24"/>
          <w:szCs w:val="24"/>
        </w:rPr>
        <w:t xml:space="preserve"> </w:t>
      </w:r>
      <w:r w:rsidRPr="00B6039A">
        <w:rPr>
          <w:iCs/>
          <w:sz w:val="24"/>
          <w:szCs w:val="24"/>
        </w:rPr>
        <w:t xml:space="preserve">(key recs 19-28) </w:t>
      </w:r>
      <w:r w:rsidR="00AE527C" w:rsidRPr="00B6039A">
        <w:rPr>
          <w:iCs/>
          <w:sz w:val="24"/>
          <w:szCs w:val="24"/>
        </w:rPr>
        <w:t xml:space="preserve">have had less implementation than average, so far: only one out of </w:t>
      </w:r>
      <w:r w:rsidRPr="00B6039A">
        <w:rPr>
          <w:iCs/>
          <w:sz w:val="24"/>
          <w:szCs w:val="24"/>
        </w:rPr>
        <w:t xml:space="preserve">the 10 </w:t>
      </w:r>
      <w:r w:rsidR="009D5E8C" w:rsidRPr="00B6039A">
        <w:rPr>
          <w:iCs/>
          <w:sz w:val="24"/>
          <w:szCs w:val="24"/>
        </w:rPr>
        <w:t xml:space="preserve">recommendations </w:t>
      </w:r>
      <w:r w:rsidR="00AE527C" w:rsidRPr="00B6039A">
        <w:rPr>
          <w:iCs/>
          <w:sz w:val="24"/>
          <w:szCs w:val="24"/>
        </w:rPr>
        <w:t xml:space="preserve">has been partially </w:t>
      </w:r>
      <w:r w:rsidR="0029286F" w:rsidRPr="00B6039A">
        <w:rPr>
          <w:iCs/>
          <w:sz w:val="24"/>
          <w:szCs w:val="24"/>
        </w:rPr>
        <w:t xml:space="preserve"> </w:t>
      </w:r>
      <w:r w:rsidR="00AE527C" w:rsidRPr="00B6039A">
        <w:rPr>
          <w:iCs/>
          <w:sz w:val="24"/>
          <w:szCs w:val="24"/>
        </w:rPr>
        <w:t xml:space="preserve">implemented; </w:t>
      </w:r>
      <w:r w:rsidRPr="00B6039A">
        <w:rPr>
          <w:iCs/>
          <w:sz w:val="24"/>
          <w:szCs w:val="24"/>
        </w:rPr>
        <w:t xml:space="preserve">one has </w:t>
      </w:r>
      <w:r w:rsidR="00AE527C" w:rsidRPr="00B6039A">
        <w:rPr>
          <w:iCs/>
          <w:sz w:val="24"/>
          <w:szCs w:val="24"/>
        </w:rPr>
        <w:t xml:space="preserve">been </w:t>
      </w:r>
      <w:r w:rsidR="00AE527C" w:rsidRPr="00B6039A">
        <w:rPr>
          <w:iCs/>
          <w:sz w:val="24"/>
          <w:szCs w:val="24"/>
        </w:rPr>
        <w:lastRenderedPageBreak/>
        <w:t xml:space="preserve">minimally implemented, and </w:t>
      </w:r>
      <w:r w:rsidRPr="00B6039A">
        <w:rPr>
          <w:iCs/>
          <w:sz w:val="24"/>
          <w:szCs w:val="24"/>
        </w:rPr>
        <w:t xml:space="preserve">eight </w:t>
      </w:r>
      <w:r w:rsidR="00AE527C" w:rsidRPr="00B6039A">
        <w:rPr>
          <w:iCs/>
          <w:sz w:val="24"/>
          <w:szCs w:val="24"/>
        </w:rPr>
        <w:t>(</w:t>
      </w:r>
      <w:r w:rsidRPr="00B6039A">
        <w:rPr>
          <w:iCs/>
          <w:sz w:val="24"/>
          <w:szCs w:val="24"/>
        </w:rPr>
        <w:t>80</w:t>
      </w:r>
      <w:r w:rsidR="00AE527C" w:rsidRPr="00B6039A">
        <w:rPr>
          <w:iCs/>
          <w:sz w:val="24"/>
          <w:szCs w:val="24"/>
        </w:rPr>
        <w:t>%) have had no implementation at all.</w:t>
      </w:r>
      <w:r w:rsidR="0029286F" w:rsidRPr="00B6039A">
        <w:rPr>
          <w:iCs/>
          <w:sz w:val="24"/>
          <w:szCs w:val="24"/>
        </w:rPr>
        <w:t xml:space="preserve"> </w:t>
      </w:r>
      <w:r w:rsidRPr="00B6039A">
        <w:rPr>
          <w:iCs/>
          <w:sz w:val="24"/>
          <w:szCs w:val="24"/>
        </w:rPr>
        <w:t>N</w:t>
      </w:r>
      <w:r w:rsidR="00093233" w:rsidRPr="00B6039A">
        <w:rPr>
          <w:iCs/>
          <w:sz w:val="24"/>
          <w:szCs w:val="24"/>
        </w:rPr>
        <w:t xml:space="preserve">one of the three </w:t>
      </w:r>
      <w:r w:rsidRPr="00B6039A">
        <w:rPr>
          <w:iCs/>
          <w:sz w:val="24"/>
          <w:szCs w:val="24"/>
        </w:rPr>
        <w:t xml:space="preserve">key recommendations </w:t>
      </w:r>
      <w:r w:rsidR="00093233" w:rsidRPr="00B6039A">
        <w:rPr>
          <w:iCs/>
          <w:sz w:val="24"/>
          <w:szCs w:val="24"/>
        </w:rPr>
        <w:t xml:space="preserve">related to welfare debt have been implemented at all, and only one of the four designed to assist the set-up of the new welfare system has been partially implemented. </w:t>
      </w:r>
      <w:r w:rsidR="006C3C39" w:rsidRPr="00B6039A">
        <w:rPr>
          <w:rFonts w:ascii="Calibri" w:hAnsi="Calibri" w:cs="Calibri"/>
          <w:sz w:val="24"/>
          <w:szCs w:val="24"/>
        </w:rPr>
        <w:t>None of the WEAG’s recommendations for children affected by disability have been implemented</w:t>
      </w:r>
      <w:r w:rsidR="00AE1EE9" w:rsidRPr="00B6039A">
        <w:rPr>
          <w:rFonts w:ascii="Calibri" w:hAnsi="Calibri" w:cs="Calibri"/>
          <w:sz w:val="24"/>
          <w:szCs w:val="24"/>
        </w:rPr>
        <w:t xml:space="preserve">, and there is minimal progress in the health and disability section. </w:t>
      </w:r>
      <w:r w:rsidR="00093233" w:rsidRPr="00B6039A">
        <w:rPr>
          <w:iCs/>
          <w:sz w:val="24"/>
          <w:szCs w:val="24"/>
        </w:rPr>
        <w:t xml:space="preserve">Housing-related recommendations have fared </w:t>
      </w:r>
      <w:r w:rsidR="00093233" w:rsidRPr="00B6039A">
        <w:rPr>
          <w:i/>
          <w:sz w:val="24"/>
          <w:szCs w:val="24"/>
        </w:rPr>
        <w:t>slightly</w:t>
      </w:r>
      <w:r w:rsidR="00093233" w:rsidRPr="00B6039A">
        <w:rPr>
          <w:iCs/>
          <w:sz w:val="24"/>
          <w:szCs w:val="24"/>
        </w:rPr>
        <w:t xml:space="preserve"> better, as have those to do with improving equity for Māori and </w:t>
      </w:r>
      <w:r w:rsidR="00E90DBC" w:rsidRPr="00B6039A">
        <w:rPr>
          <w:iCs/>
          <w:sz w:val="24"/>
          <w:szCs w:val="24"/>
        </w:rPr>
        <w:t xml:space="preserve">for </w:t>
      </w:r>
      <w:r w:rsidR="00093233" w:rsidRPr="00B6039A">
        <w:rPr>
          <w:iCs/>
          <w:sz w:val="24"/>
          <w:szCs w:val="24"/>
        </w:rPr>
        <w:t xml:space="preserve">Pacific peoples, while all five recommendations regarding employment support (including those specifically for youth and those with disability and/or health conditions) have been minimally implemented. </w:t>
      </w:r>
    </w:p>
    <w:p w14:paraId="7D592632" w14:textId="04137ECE" w:rsidR="008E1F3C" w:rsidRPr="00B6039A" w:rsidRDefault="008E1F3C" w:rsidP="00C734C5">
      <w:pPr>
        <w:spacing w:after="120" w:line="259" w:lineRule="auto"/>
        <w:ind w:left="0" w:firstLine="0"/>
        <w:rPr>
          <w:iCs/>
          <w:sz w:val="24"/>
          <w:szCs w:val="24"/>
        </w:rPr>
      </w:pPr>
      <w:r w:rsidRPr="00B6039A">
        <w:rPr>
          <w:iCs/>
          <w:sz w:val="24"/>
          <w:szCs w:val="24"/>
        </w:rPr>
        <w:t xml:space="preserve">The Government’s public communications about any further plans has been limited: the key information source regarding their </w:t>
      </w:r>
      <w:proofErr w:type="spellStart"/>
      <w:r w:rsidRPr="00B6039A">
        <w:rPr>
          <w:i/>
          <w:sz w:val="24"/>
          <w:szCs w:val="24"/>
        </w:rPr>
        <w:t>Whakamana</w:t>
      </w:r>
      <w:proofErr w:type="spellEnd"/>
      <w:r w:rsidRPr="00B6039A">
        <w:rPr>
          <w:i/>
          <w:sz w:val="24"/>
          <w:szCs w:val="24"/>
        </w:rPr>
        <w:t xml:space="preserve"> </w:t>
      </w:r>
      <w:proofErr w:type="spellStart"/>
      <w:r w:rsidRPr="00B6039A">
        <w:rPr>
          <w:i/>
          <w:sz w:val="24"/>
          <w:szCs w:val="24"/>
        </w:rPr>
        <w:t>T</w:t>
      </w:r>
      <w:r w:rsidR="000B4771" w:rsidRPr="00B6039A">
        <w:rPr>
          <w:rFonts w:cstheme="minorHAnsi"/>
          <w:i/>
          <w:sz w:val="24"/>
          <w:szCs w:val="24"/>
        </w:rPr>
        <w:t>ā</w:t>
      </w:r>
      <w:r w:rsidRPr="00B6039A">
        <w:rPr>
          <w:i/>
          <w:sz w:val="24"/>
          <w:szCs w:val="24"/>
        </w:rPr>
        <w:t>ngata</w:t>
      </w:r>
      <w:proofErr w:type="spellEnd"/>
      <w:r w:rsidRPr="00B6039A">
        <w:rPr>
          <w:iCs/>
          <w:sz w:val="24"/>
          <w:szCs w:val="24"/>
        </w:rPr>
        <w:t xml:space="preserve"> </w:t>
      </w:r>
      <w:r w:rsidR="00116F36" w:rsidRPr="00B6039A">
        <w:rPr>
          <w:iCs/>
          <w:sz w:val="24"/>
          <w:szCs w:val="24"/>
        </w:rPr>
        <w:t xml:space="preserve">intentions </w:t>
      </w:r>
      <w:r w:rsidR="0024757E" w:rsidRPr="00B6039A">
        <w:rPr>
          <w:iCs/>
          <w:sz w:val="24"/>
          <w:szCs w:val="24"/>
        </w:rPr>
        <w:t xml:space="preserve">is </w:t>
      </w:r>
      <w:r w:rsidRPr="00B6039A">
        <w:rPr>
          <w:iCs/>
          <w:sz w:val="24"/>
          <w:szCs w:val="24"/>
        </w:rPr>
        <w:t>a 12-month-old cabinet paper</w:t>
      </w:r>
      <w:r w:rsidR="0024757E" w:rsidRPr="00B6039A">
        <w:rPr>
          <w:iCs/>
          <w:sz w:val="24"/>
          <w:szCs w:val="24"/>
        </w:rPr>
        <w:t>.</w:t>
      </w:r>
      <w:r w:rsidR="00116F36" w:rsidRPr="00B6039A">
        <w:rPr>
          <w:rStyle w:val="FootnoteReference"/>
          <w:iCs/>
          <w:sz w:val="24"/>
          <w:szCs w:val="24"/>
        </w:rPr>
        <w:footnoteReference w:id="2"/>
      </w:r>
      <w:r w:rsidR="0024757E" w:rsidRPr="00B6039A">
        <w:rPr>
          <w:iCs/>
          <w:sz w:val="24"/>
          <w:szCs w:val="24"/>
        </w:rPr>
        <w:t xml:space="preserve"> However, </w:t>
      </w:r>
      <w:r w:rsidR="004D3D6E" w:rsidRPr="00B6039A">
        <w:rPr>
          <w:iCs/>
          <w:sz w:val="24"/>
          <w:szCs w:val="24"/>
        </w:rPr>
        <w:t xml:space="preserve">it may give </w:t>
      </w:r>
      <w:r w:rsidR="0024757E" w:rsidRPr="00B6039A">
        <w:rPr>
          <w:iCs/>
          <w:sz w:val="24"/>
          <w:szCs w:val="24"/>
        </w:rPr>
        <w:t xml:space="preserve">some hope </w:t>
      </w:r>
      <w:r w:rsidR="004D3D6E" w:rsidRPr="00B6039A">
        <w:rPr>
          <w:iCs/>
          <w:sz w:val="24"/>
          <w:szCs w:val="24"/>
        </w:rPr>
        <w:t>that</w:t>
      </w:r>
      <w:r w:rsidR="00116F36" w:rsidRPr="00B6039A">
        <w:rPr>
          <w:iCs/>
          <w:sz w:val="24"/>
          <w:szCs w:val="24"/>
        </w:rPr>
        <w:t xml:space="preserve"> the </w:t>
      </w:r>
      <w:r w:rsidR="00FB035D" w:rsidRPr="00B6039A">
        <w:rPr>
          <w:iCs/>
          <w:sz w:val="24"/>
          <w:szCs w:val="24"/>
        </w:rPr>
        <w:t xml:space="preserve">intended achievement </w:t>
      </w:r>
      <w:r w:rsidR="00116F36" w:rsidRPr="00B6039A">
        <w:rPr>
          <w:iCs/>
          <w:sz w:val="24"/>
          <w:szCs w:val="24"/>
        </w:rPr>
        <w:t>timeline for many substantive recommendations was given as “</w:t>
      </w:r>
      <w:r w:rsidR="00FB035D" w:rsidRPr="00B6039A">
        <w:rPr>
          <w:iCs/>
          <w:sz w:val="24"/>
          <w:szCs w:val="24"/>
        </w:rPr>
        <w:t xml:space="preserve">next two to four </w:t>
      </w:r>
      <w:r w:rsidR="00116F36" w:rsidRPr="00B6039A">
        <w:rPr>
          <w:iCs/>
          <w:sz w:val="24"/>
          <w:szCs w:val="24"/>
        </w:rPr>
        <w:t xml:space="preserve">years” in November 2019 – namely, within the </w:t>
      </w:r>
      <w:r w:rsidR="00FB035D" w:rsidRPr="00B6039A">
        <w:rPr>
          <w:iCs/>
          <w:sz w:val="24"/>
          <w:szCs w:val="24"/>
        </w:rPr>
        <w:t xml:space="preserve">current </w:t>
      </w:r>
      <w:r w:rsidR="00116F36" w:rsidRPr="00B6039A">
        <w:rPr>
          <w:iCs/>
          <w:sz w:val="24"/>
          <w:szCs w:val="24"/>
        </w:rPr>
        <w:t xml:space="preserve">2020-2022 electoral term. </w:t>
      </w:r>
    </w:p>
    <w:p w14:paraId="6C71D244" w14:textId="64CA10D9" w:rsidR="000B4771" w:rsidRPr="00B6039A" w:rsidRDefault="0021690A" w:rsidP="00C734C5">
      <w:pPr>
        <w:spacing w:after="120" w:line="259" w:lineRule="auto"/>
        <w:ind w:left="0" w:firstLine="0"/>
        <w:rPr>
          <w:sz w:val="24"/>
          <w:szCs w:val="24"/>
        </w:rPr>
      </w:pPr>
      <w:bookmarkStart w:id="9" w:name="_Hlk57375092"/>
      <w:r w:rsidRPr="00B6039A">
        <w:rPr>
          <w:sz w:val="24"/>
          <w:szCs w:val="24"/>
        </w:rPr>
        <w:t>Children cannot</w:t>
      </w:r>
      <w:r w:rsidR="001F7F73" w:rsidRPr="00B6039A">
        <w:rPr>
          <w:sz w:val="24"/>
          <w:szCs w:val="24"/>
        </w:rPr>
        <w:t xml:space="preserve"> wait for more resources, as their minds, emotions, bodies are constantly developing and are often permanently adversely affected by </w:t>
      </w:r>
      <w:r w:rsidR="007915FB" w:rsidRPr="00B6039A">
        <w:rPr>
          <w:sz w:val="24"/>
          <w:szCs w:val="24"/>
        </w:rPr>
        <w:t>chronic stress</w:t>
      </w:r>
      <w:r w:rsidR="00D75A0A" w:rsidRPr="00B6039A">
        <w:rPr>
          <w:sz w:val="24"/>
          <w:szCs w:val="24"/>
        </w:rPr>
        <w:t xml:space="preserve"> and lack of essentials</w:t>
      </w:r>
      <w:r w:rsidR="001F7F73" w:rsidRPr="00B6039A">
        <w:rPr>
          <w:sz w:val="24"/>
          <w:szCs w:val="24"/>
        </w:rPr>
        <w:t>.</w:t>
      </w:r>
      <w:r w:rsidR="001E34A8" w:rsidRPr="00B6039A">
        <w:rPr>
          <w:sz w:val="24"/>
          <w:szCs w:val="24"/>
        </w:rPr>
        <w:t xml:space="preserve"> </w:t>
      </w:r>
      <w:r w:rsidR="00AE527C" w:rsidRPr="00B6039A">
        <w:rPr>
          <w:sz w:val="24"/>
          <w:szCs w:val="24"/>
        </w:rPr>
        <w:t xml:space="preserve">Our inadequate and ineffective welfare system continues to entrench poverty for children in households relying on income support. The </w:t>
      </w:r>
      <w:r w:rsidR="007915FB" w:rsidRPr="00B6039A">
        <w:rPr>
          <w:sz w:val="24"/>
          <w:szCs w:val="24"/>
        </w:rPr>
        <w:t>adverse impacts on</w:t>
      </w:r>
      <w:r w:rsidR="00AE527C" w:rsidRPr="00B6039A">
        <w:rPr>
          <w:sz w:val="24"/>
          <w:szCs w:val="24"/>
        </w:rPr>
        <w:t xml:space="preserve"> these children and families </w:t>
      </w:r>
      <w:r w:rsidR="007915FB" w:rsidRPr="00B6039A">
        <w:rPr>
          <w:sz w:val="24"/>
          <w:szCs w:val="24"/>
        </w:rPr>
        <w:t xml:space="preserve">are </w:t>
      </w:r>
      <w:r w:rsidR="00AE527C" w:rsidRPr="00B6039A">
        <w:rPr>
          <w:sz w:val="24"/>
          <w:szCs w:val="24"/>
        </w:rPr>
        <w:t xml:space="preserve">not only immediate </w:t>
      </w:r>
      <w:r w:rsidR="00D75A0A" w:rsidRPr="00B6039A">
        <w:rPr>
          <w:sz w:val="24"/>
          <w:szCs w:val="24"/>
        </w:rPr>
        <w:t xml:space="preserve">in terms of </w:t>
      </w:r>
      <w:r w:rsidR="001F7F73" w:rsidRPr="00B6039A">
        <w:rPr>
          <w:sz w:val="24"/>
          <w:szCs w:val="24"/>
        </w:rPr>
        <w:t xml:space="preserve">health and </w:t>
      </w:r>
      <w:r w:rsidR="00AE527C" w:rsidRPr="00B6039A">
        <w:rPr>
          <w:sz w:val="24"/>
          <w:szCs w:val="24"/>
        </w:rPr>
        <w:t xml:space="preserve">wellbeing, </w:t>
      </w:r>
      <w:r w:rsidR="00D75A0A" w:rsidRPr="00B6039A">
        <w:rPr>
          <w:sz w:val="24"/>
          <w:szCs w:val="24"/>
        </w:rPr>
        <w:t xml:space="preserve">they also </w:t>
      </w:r>
      <w:r w:rsidR="00AE527C" w:rsidRPr="00B6039A">
        <w:rPr>
          <w:sz w:val="24"/>
          <w:szCs w:val="24"/>
        </w:rPr>
        <w:t>ha</w:t>
      </w:r>
      <w:r w:rsidR="007915FB" w:rsidRPr="00B6039A">
        <w:rPr>
          <w:sz w:val="24"/>
          <w:szCs w:val="24"/>
        </w:rPr>
        <w:t>ve</w:t>
      </w:r>
      <w:r w:rsidR="00AE527C" w:rsidRPr="00B6039A">
        <w:rPr>
          <w:sz w:val="24"/>
          <w:szCs w:val="24"/>
        </w:rPr>
        <w:t xml:space="preserve"> lasting effects on their lives and society</w:t>
      </w:r>
      <w:r w:rsidR="001F7F73" w:rsidRPr="00B6039A">
        <w:rPr>
          <w:sz w:val="24"/>
          <w:szCs w:val="24"/>
        </w:rPr>
        <w:t>, constraining their futures</w:t>
      </w:r>
      <w:r w:rsidR="00AE527C" w:rsidRPr="00B6039A">
        <w:rPr>
          <w:sz w:val="24"/>
          <w:szCs w:val="24"/>
        </w:rPr>
        <w:t>; downstream costs in areas of health, education and justice alone are huge.</w:t>
      </w:r>
      <w:r w:rsidR="00AE527C" w:rsidRPr="00B6039A">
        <w:rPr>
          <w:rStyle w:val="FootnoteReference"/>
          <w:sz w:val="24"/>
          <w:szCs w:val="24"/>
        </w:rPr>
        <w:footnoteReference w:id="3"/>
      </w:r>
      <w:r w:rsidR="00AE527C" w:rsidRPr="00B6039A">
        <w:rPr>
          <w:sz w:val="24"/>
          <w:szCs w:val="24"/>
        </w:rPr>
        <w:t xml:space="preserve"> The intention of a welfare overhaul was to ensure that everyone </w:t>
      </w:r>
      <w:r w:rsidR="00C734C5" w:rsidRPr="00B6039A">
        <w:rPr>
          <w:sz w:val="24"/>
          <w:szCs w:val="24"/>
        </w:rPr>
        <w:t>“has a standard of living and income that enables them to live in dignity and participate in their communities”, and to lift “children and their families out of poverty”</w:t>
      </w:r>
      <w:r w:rsidR="00AE527C" w:rsidRPr="00B6039A">
        <w:rPr>
          <w:rStyle w:val="FootnoteReference"/>
          <w:sz w:val="24"/>
          <w:szCs w:val="24"/>
        </w:rPr>
        <w:footnoteReference w:id="4"/>
      </w:r>
      <w:r w:rsidR="00C734C5" w:rsidRPr="00B6039A">
        <w:rPr>
          <w:sz w:val="24"/>
          <w:szCs w:val="24"/>
        </w:rPr>
        <w:t>;</w:t>
      </w:r>
      <w:r w:rsidR="00AE527C" w:rsidRPr="00B6039A">
        <w:rPr>
          <w:sz w:val="24"/>
          <w:szCs w:val="24"/>
        </w:rPr>
        <w:t xml:space="preserve"> a baseline that all New Zealand children deserve.</w:t>
      </w:r>
      <w:r w:rsidR="00AC2312" w:rsidRPr="00B6039A">
        <w:rPr>
          <w:sz w:val="24"/>
          <w:szCs w:val="24"/>
        </w:rPr>
        <w:t xml:space="preserve"> Given the Coalition Government’s child poverty reduction focus,</w:t>
      </w:r>
      <w:r w:rsidR="00AC2312" w:rsidRPr="00B6039A">
        <w:rPr>
          <w:rStyle w:val="FootnoteReference"/>
          <w:sz w:val="24"/>
          <w:szCs w:val="24"/>
        </w:rPr>
        <w:footnoteReference w:id="5"/>
      </w:r>
      <w:r w:rsidR="00AC2312" w:rsidRPr="00B6039A">
        <w:rPr>
          <w:sz w:val="24"/>
          <w:szCs w:val="24"/>
        </w:rPr>
        <w:t xml:space="preserve"> and </w:t>
      </w:r>
      <w:bookmarkStart w:id="10" w:name="_Hlk57375151"/>
      <w:r w:rsidR="00AC2312" w:rsidRPr="00B6039A">
        <w:rPr>
          <w:sz w:val="24"/>
          <w:szCs w:val="24"/>
        </w:rPr>
        <w:t>the fact that WEAG identified that people receiving welfare payments are living “desperate lives” due to “seriously inadequate incomes”,</w:t>
      </w:r>
      <w:r w:rsidR="00AC2312" w:rsidRPr="00B6039A">
        <w:rPr>
          <w:rStyle w:val="FootnoteReference"/>
          <w:sz w:val="24"/>
          <w:szCs w:val="24"/>
        </w:rPr>
        <w:footnoteReference w:id="6"/>
      </w:r>
      <w:r w:rsidR="00AC2312" w:rsidRPr="00B6039A">
        <w:rPr>
          <w:sz w:val="24"/>
          <w:szCs w:val="24"/>
        </w:rPr>
        <w:t xml:space="preserve"> the progress on implementation appears unjustifiably slow.</w:t>
      </w:r>
    </w:p>
    <w:bookmarkEnd w:id="10"/>
    <w:p w14:paraId="320E37D2" w14:textId="6AA07AE3" w:rsidR="008E1F3C" w:rsidRPr="00B6039A" w:rsidRDefault="00AE527C" w:rsidP="00C734C5">
      <w:pPr>
        <w:spacing w:after="120" w:line="259" w:lineRule="auto"/>
        <w:ind w:left="0" w:firstLine="0"/>
        <w:rPr>
          <w:sz w:val="24"/>
          <w:szCs w:val="24"/>
        </w:rPr>
      </w:pPr>
      <w:r w:rsidRPr="00B6039A">
        <w:rPr>
          <w:iCs/>
          <w:sz w:val="24"/>
          <w:szCs w:val="24"/>
        </w:rPr>
        <w:t xml:space="preserve">CPAG plans to repeat this analysis of WEAG implementation in future; we hope next time we will be reporting that progress and plans have accelerated in </w:t>
      </w:r>
      <w:r w:rsidR="000B4771" w:rsidRPr="00B6039A">
        <w:rPr>
          <w:iCs/>
          <w:sz w:val="24"/>
          <w:szCs w:val="24"/>
        </w:rPr>
        <w:t xml:space="preserve">this </w:t>
      </w:r>
      <w:r w:rsidR="00C734C5" w:rsidRPr="00B6039A">
        <w:rPr>
          <w:iCs/>
          <w:sz w:val="24"/>
          <w:szCs w:val="24"/>
        </w:rPr>
        <w:t xml:space="preserve">current </w:t>
      </w:r>
      <w:r w:rsidR="000B4771" w:rsidRPr="00B6039A">
        <w:rPr>
          <w:iCs/>
          <w:sz w:val="24"/>
          <w:szCs w:val="24"/>
        </w:rPr>
        <w:t>electoral term.</w:t>
      </w:r>
    </w:p>
    <w:bookmarkEnd w:id="9"/>
    <w:p w14:paraId="5E0ED06C" w14:textId="2E26925D" w:rsidR="00A1182B" w:rsidRPr="00B6039A" w:rsidRDefault="00404E37" w:rsidP="00C734C5">
      <w:pPr>
        <w:pStyle w:val="Heading1"/>
        <w:spacing w:after="120" w:line="259" w:lineRule="auto"/>
        <w:ind w:left="0" w:firstLine="0"/>
      </w:pPr>
      <w:r w:rsidRPr="00B6039A">
        <w:t>Introduction</w:t>
      </w:r>
      <w:bookmarkEnd w:id="5"/>
    </w:p>
    <w:p w14:paraId="61E91A50" w14:textId="28999F59" w:rsidR="00276718" w:rsidRPr="00B6039A" w:rsidRDefault="00030723" w:rsidP="00C734C5">
      <w:pPr>
        <w:spacing w:after="120" w:line="259" w:lineRule="auto"/>
        <w:ind w:left="0" w:firstLine="0"/>
        <w:rPr>
          <w:sz w:val="24"/>
          <w:szCs w:val="24"/>
        </w:rPr>
      </w:pPr>
      <w:r w:rsidRPr="00B6039A">
        <w:rPr>
          <w:sz w:val="24"/>
          <w:szCs w:val="24"/>
        </w:rPr>
        <w:t>The</w:t>
      </w:r>
      <w:r w:rsidR="006A6A95" w:rsidRPr="00B6039A">
        <w:rPr>
          <w:sz w:val="24"/>
          <w:szCs w:val="24"/>
        </w:rPr>
        <w:t xml:space="preserve"> 2019 Child and Youth </w:t>
      </w:r>
      <w:r w:rsidR="00B358C0" w:rsidRPr="00B6039A">
        <w:rPr>
          <w:sz w:val="24"/>
          <w:szCs w:val="24"/>
        </w:rPr>
        <w:t>Wellbeing Strategy</w:t>
      </w:r>
      <w:r w:rsidRPr="00B6039A">
        <w:rPr>
          <w:sz w:val="24"/>
          <w:szCs w:val="24"/>
        </w:rPr>
        <w:t xml:space="preserve"> sets out the </w:t>
      </w:r>
      <w:r w:rsidR="00C734C5" w:rsidRPr="00B6039A">
        <w:rPr>
          <w:sz w:val="24"/>
          <w:szCs w:val="24"/>
        </w:rPr>
        <w:t xml:space="preserve">government’s </w:t>
      </w:r>
      <w:r w:rsidRPr="00B6039A">
        <w:rPr>
          <w:sz w:val="24"/>
          <w:szCs w:val="24"/>
        </w:rPr>
        <w:t>vision</w:t>
      </w:r>
      <w:r w:rsidR="006A6A95" w:rsidRPr="00B6039A">
        <w:rPr>
          <w:sz w:val="24"/>
          <w:szCs w:val="24"/>
        </w:rPr>
        <w:t xml:space="preserve"> that </w:t>
      </w:r>
      <w:r w:rsidR="00590E70" w:rsidRPr="00B6039A">
        <w:rPr>
          <w:sz w:val="24"/>
          <w:szCs w:val="24"/>
        </w:rPr>
        <w:t xml:space="preserve">Aotearoa </w:t>
      </w:r>
      <w:r w:rsidR="006A6A95" w:rsidRPr="00B6039A">
        <w:rPr>
          <w:sz w:val="24"/>
          <w:szCs w:val="24"/>
        </w:rPr>
        <w:t>New Zealand ought to be “best place in the world for children and young people”.</w:t>
      </w:r>
      <w:r w:rsidR="006A6A95" w:rsidRPr="00B6039A">
        <w:rPr>
          <w:rStyle w:val="FootnoteReference"/>
          <w:sz w:val="24"/>
          <w:szCs w:val="24"/>
        </w:rPr>
        <w:footnoteReference w:id="7"/>
      </w:r>
      <w:r w:rsidR="006A6A95" w:rsidRPr="00B6039A">
        <w:rPr>
          <w:sz w:val="24"/>
          <w:szCs w:val="24"/>
        </w:rPr>
        <w:t xml:space="preserve"> </w:t>
      </w:r>
      <w:r w:rsidRPr="00B6039A">
        <w:rPr>
          <w:sz w:val="24"/>
          <w:szCs w:val="24"/>
        </w:rPr>
        <w:t xml:space="preserve">If </w:t>
      </w:r>
      <w:r w:rsidR="00C15ED7" w:rsidRPr="00B6039A">
        <w:rPr>
          <w:sz w:val="24"/>
          <w:szCs w:val="24"/>
        </w:rPr>
        <w:t xml:space="preserve">we are </w:t>
      </w:r>
      <w:r w:rsidR="00276718" w:rsidRPr="00B6039A">
        <w:rPr>
          <w:sz w:val="24"/>
          <w:szCs w:val="24"/>
        </w:rPr>
        <w:t>t</w:t>
      </w:r>
      <w:r w:rsidR="006A6A95" w:rsidRPr="00B6039A">
        <w:rPr>
          <w:sz w:val="24"/>
          <w:szCs w:val="24"/>
        </w:rPr>
        <w:t xml:space="preserve">o achieve this vision, </w:t>
      </w:r>
      <w:r w:rsidR="00276718" w:rsidRPr="00B6039A">
        <w:rPr>
          <w:sz w:val="24"/>
          <w:szCs w:val="24"/>
        </w:rPr>
        <w:t xml:space="preserve">families </w:t>
      </w:r>
      <w:r w:rsidR="00B86CEB" w:rsidRPr="00B6039A">
        <w:rPr>
          <w:sz w:val="24"/>
          <w:szCs w:val="24"/>
        </w:rPr>
        <w:t>require</w:t>
      </w:r>
      <w:r w:rsidR="00493DC4" w:rsidRPr="00B6039A">
        <w:rPr>
          <w:sz w:val="24"/>
          <w:szCs w:val="24"/>
        </w:rPr>
        <w:t xml:space="preserve"> </w:t>
      </w:r>
      <w:r w:rsidR="006A6A95" w:rsidRPr="00B6039A">
        <w:rPr>
          <w:sz w:val="24"/>
          <w:szCs w:val="24"/>
        </w:rPr>
        <w:t xml:space="preserve">adequate resources </w:t>
      </w:r>
      <w:r w:rsidR="00B33458" w:rsidRPr="00B6039A">
        <w:rPr>
          <w:sz w:val="24"/>
          <w:szCs w:val="24"/>
        </w:rPr>
        <w:t>so they can</w:t>
      </w:r>
      <w:r w:rsidR="006A6A95" w:rsidRPr="00B6039A">
        <w:rPr>
          <w:sz w:val="24"/>
          <w:szCs w:val="24"/>
        </w:rPr>
        <w:t xml:space="preserve"> participate </w:t>
      </w:r>
      <w:r w:rsidR="00670D5C" w:rsidRPr="00B6039A">
        <w:rPr>
          <w:sz w:val="24"/>
          <w:szCs w:val="24"/>
        </w:rPr>
        <w:t xml:space="preserve">meaningfully </w:t>
      </w:r>
      <w:r w:rsidR="006A6A95" w:rsidRPr="00B6039A">
        <w:rPr>
          <w:sz w:val="24"/>
          <w:szCs w:val="24"/>
        </w:rPr>
        <w:t xml:space="preserve">in their communities, and </w:t>
      </w:r>
      <w:r w:rsidR="00B87619" w:rsidRPr="00B6039A">
        <w:rPr>
          <w:sz w:val="24"/>
          <w:szCs w:val="24"/>
        </w:rPr>
        <w:t xml:space="preserve">so </w:t>
      </w:r>
      <w:r w:rsidR="006A6A95" w:rsidRPr="00B6039A">
        <w:rPr>
          <w:sz w:val="24"/>
          <w:szCs w:val="24"/>
        </w:rPr>
        <w:t>children</w:t>
      </w:r>
      <w:r w:rsidR="00B33458" w:rsidRPr="00B6039A">
        <w:rPr>
          <w:sz w:val="24"/>
          <w:szCs w:val="24"/>
        </w:rPr>
        <w:t xml:space="preserve"> can thrive and reach their full potential</w:t>
      </w:r>
      <w:r w:rsidR="006A6A95" w:rsidRPr="00B6039A">
        <w:rPr>
          <w:sz w:val="24"/>
          <w:szCs w:val="24"/>
        </w:rPr>
        <w:t xml:space="preserve">. </w:t>
      </w:r>
    </w:p>
    <w:p w14:paraId="5F8DA627" w14:textId="0D7C2940" w:rsidR="00947B4D" w:rsidRPr="00B6039A" w:rsidRDefault="00D62593" w:rsidP="00C734C5">
      <w:pPr>
        <w:spacing w:after="120" w:line="259" w:lineRule="auto"/>
        <w:ind w:left="0" w:firstLine="0"/>
        <w:rPr>
          <w:sz w:val="24"/>
          <w:szCs w:val="24"/>
        </w:rPr>
      </w:pPr>
      <w:r w:rsidRPr="00B6039A">
        <w:rPr>
          <w:sz w:val="24"/>
          <w:szCs w:val="24"/>
        </w:rPr>
        <w:t xml:space="preserve">The </w:t>
      </w:r>
      <w:r w:rsidR="008A40BC" w:rsidRPr="00B6039A">
        <w:rPr>
          <w:sz w:val="24"/>
          <w:szCs w:val="24"/>
        </w:rPr>
        <w:t>Coalition G</w:t>
      </w:r>
      <w:r w:rsidRPr="00B6039A">
        <w:rPr>
          <w:sz w:val="24"/>
          <w:szCs w:val="24"/>
        </w:rPr>
        <w:t>overnment acknowledged that</w:t>
      </w:r>
      <w:r w:rsidR="00291F50" w:rsidRPr="00B6039A">
        <w:rPr>
          <w:sz w:val="24"/>
          <w:szCs w:val="24"/>
        </w:rPr>
        <w:t xml:space="preserve"> </w:t>
      </w:r>
      <w:r w:rsidR="00ED35F3" w:rsidRPr="00B6039A">
        <w:rPr>
          <w:sz w:val="24"/>
          <w:szCs w:val="24"/>
        </w:rPr>
        <w:t>a well</w:t>
      </w:r>
      <w:r w:rsidR="00DD6110" w:rsidRPr="00B6039A">
        <w:rPr>
          <w:sz w:val="24"/>
          <w:szCs w:val="24"/>
        </w:rPr>
        <w:t>-</w:t>
      </w:r>
      <w:r w:rsidR="00ED35F3" w:rsidRPr="00B6039A">
        <w:rPr>
          <w:sz w:val="24"/>
          <w:szCs w:val="24"/>
        </w:rPr>
        <w:t xml:space="preserve">functioning </w:t>
      </w:r>
      <w:r w:rsidR="00291F50" w:rsidRPr="00B6039A">
        <w:rPr>
          <w:sz w:val="24"/>
          <w:szCs w:val="24"/>
        </w:rPr>
        <w:t xml:space="preserve">welfare </w:t>
      </w:r>
      <w:r w:rsidR="00ED35F3" w:rsidRPr="00B6039A">
        <w:rPr>
          <w:sz w:val="24"/>
          <w:szCs w:val="24"/>
        </w:rPr>
        <w:t>system is essential for this vision</w:t>
      </w:r>
      <w:r w:rsidR="002D63F5" w:rsidRPr="00B6039A">
        <w:rPr>
          <w:sz w:val="24"/>
          <w:szCs w:val="24"/>
        </w:rPr>
        <w:t xml:space="preserve"> </w:t>
      </w:r>
      <w:r w:rsidR="000D4337" w:rsidRPr="00B6039A">
        <w:rPr>
          <w:sz w:val="24"/>
          <w:szCs w:val="24"/>
        </w:rPr>
        <w:t xml:space="preserve">by setting up </w:t>
      </w:r>
      <w:r w:rsidR="002D63F5" w:rsidRPr="00B6039A">
        <w:rPr>
          <w:sz w:val="24"/>
          <w:szCs w:val="24"/>
        </w:rPr>
        <w:t>the WEAG</w:t>
      </w:r>
      <w:r w:rsidR="00586D34" w:rsidRPr="00B6039A">
        <w:rPr>
          <w:sz w:val="24"/>
          <w:szCs w:val="24"/>
        </w:rPr>
        <w:t xml:space="preserve"> in 2018</w:t>
      </w:r>
      <w:r w:rsidR="008259B8" w:rsidRPr="00B6039A">
        <w:rPr>
          <w:sz w:val="24"/>
          <w:szCs w:val="24"/>
        </w:rPr>
        <w:t xml:space="preserve"> to </w:t>
      </w:r>
      <w:r w:rsidR="00D65D39" w:rsidRPr="00B6039A">
        <w:rPr>
          <w:sz w:val="24"/>
          <w:szCs w:val="24"/>
        </w:rPr>
        <w:t>unde</w:t>
      </w:r>
      <w:r w:rsidR="009F5D27" w:rsidRPr="00B6039A">
        <w:rPr>
          <w:sz w:val="24"/>
          <w:szCs w:val="24"/>
        </w:rPr>
        <w:t>r</w:t>
      </w:r>
      <w:r w:rsidR="00D65D39" w:rsidRPr="00B6039A">
        <w:rPr>
          <w:sz w:val="24"/>
          <w:szCs w:val="24"/>
        </w:rPr>
        <w:t xml:space="preserve">take a </w:t>
      </w:r>
      <w:r w:rsidR="004410FE" w:rsidRPr="00B6039A">
        <w:rPr>
          <w:sz w:val="24"/>
          <w:szCs w:val="24"/>
        </w:rPr>
        <w:t>‘broad-ranging</w:t>
      </w:r>
      <w:r w:rsidR="009F5D27" w:rsidRPr="00B6039A">
        <w:rPr>
          <w:sz w:val="24"/>
          <w:szCs w:val="24"/>
        </w:rPr>
        <w:t>’</w:t>
      </w:r>
      <w:r w:rsidR="004410FE" w:rsidRPr="00B6039A">
        <w:rPr>
          <w:sz w:val="24"/>
          <w:szCs w:val="24"/>
        </w:rPr>
        <w:t xml:space="preserve"> </w:t>
      </w:r>
      <w:r w:rsidR="00D65D39" w:rsidRPr="00B6039A">
        <w:rPr>
          <w:sz w:val="24"/>
          <w:szCs w:val="24"/>
        </w:rPr>
        <w:t>review</w:t>
      </w:r>
      <w:r w:rsidR="004410FE" w:rsidRPr="00B6039A">
        <w:rPr>
          <w:sz w:val="24"/>
          <w:szCs w:val="24"/>
        </w:rPr>
        <w:t xml:space="preserve"> of th</w:t>
      </w:r>
      <w:r w:rsidR="00A903B3" w:rsidRPr="00B6039A">
        <w:rPr>
          <w:sz w:val="24"/>
          <w:szCs w:val="24"/>
        </w:rPr>
        <w:t xml:space="preserve">e </w:t>
      </w:r>
      <w:r w:rsidR="00A903B3" w:rsidRPr="00B6039A">
        <w:rPr>
          <w:sz w:val="24"/>
          <w:szCs w:val="24"/>
        </w:rPr>
        <w:lastRenderedPageBreak/>
        <w:t>w</w:t>
      </w:r>
      <w:r w:rsidR="004410FE" w:rsidRPr="00B6039A">
        <w:rPr>
          <w:sz w:val="24"/>
          <w:szCs w:val="24"/>
        </w:rPr>
        <w:t xml:space="preserve">elfare system </w:t>
      </w:r>
      <w:r w:rsidR="00A903B3" w:rsidRPr="00B6039A">
        <w:rPr>
          <w:sz w:val="24"/>
          <w:szCs w:val="24"/>
        </w:rPr>
        <w:t>and advise the government on its future</w:t>
      </w:r>
      <w:r w:rsidR="000D4337" w:rsidRPr="00B6039A">
        <w:rPr>
          <w:sz w:val="24"/>
          <w:szCs w:val="24"/>
        </w:rPr>
        <w:t>.</w:t>
      </w:r>
      <w:r w:rsidR="002D63F5" w:rsidRPr="00B6039A">
        <w:rPr>
          <w:sz w:val="24"/>
          <w:szCs w:val="24"/>
        </w:rPr>
        <w:t xml:space="preserve"> </w:t>
      </w:r>
      <w:r w:rsidR="00586D34" w:rsidRPr="00B6039A">
        <w:rPr>
          <w:sz w:val="24"/>
          <w:szCs w:val="24"/>
        </w:rPr>
        <w:t>While t</w:t>
      </w:r>
      <w:r w:rsidR="00947B4D" w:rsidRPr="00B6039A">
        <w:rPr>
          <w:sz w:val="24"/>
          <w:szCs w:val="24"/>
        </w:rPr>
        <w:t xml:space="preserve">he </w:t>
      </w:r>
      <w:r w:rsidR="005648E2" w:rsidRPr="00B6039A">
        <w:rPr>
          <w:sz w:val="24"/>
          <w:szCs w:val="24"/>
        </w:rPr>
        <w:t xml:space="preserve">brief </w:t>
      </w:r>
      <w:r w:rsidR="0014407F" w:rsidRPr="00B6039A">
        <w:rPr>
          <w:sz w:val="24"/>
          <w:szCs w:val="24"/>
        </w:rPr>
        <w:t xml:space="preserve">to WEAG </w:t>
      </w:r>
      <w:r w:rsidR="005648E2" w:rsidRPr="00B6039A">
        <w:rPr>
          <w:sz w:val="24"/>
          <w:szCs w:val="24"/>
        </w:rPr>
        <w:t>was wider</w:t>
      </w:r>
      <w:r w:rsidR="00530510" w:rsidRPr="00B6039A">
        <w:rPr>
          <w:sz w:val="24"/>
          <w:szCs w:val="24"/>
        </w:rPr>
        <w:t xml:space="preserve"> than child poverty</w:t>
      </w:r>
      <w:r w:rsidR="00586D34" w:rsidRPr="00B6039A">
        <w:rPr>
          <w:sz w:val="24"/>
          <w:szCs w:val="24"/>
        </w:rPr>
        <w:t xml:space="preserve"> alone</w:t>
      </w:r>
      <w:r w:rsidR="00530510" w:rsidRPr="00B6039A">
        <w:rPr>
          <w:sz w:val="24"/>
          <w:szCs w:val="24"/>
        </w:rPr>
        <w:t>,</w:t>
      </w:r>
      <w:r w:rsidR="005648E2" w:rsidRPr="00B6039A">
        <w:rPr>
          <w:sz w:val="24"/>
          <w:szCs w:val="24"/>
        </w:rPr>
        <w:t xml:space="preserve"> </w:t>
      </w:r>
      <w:r w:rsidR="00586D34" w:rsidRPr="00B6039A">
        <w:rPr>
          <w:sz w:val="24"/>
          <w:szCs w:val="24"/>
        </w:rPr>
        <w:t xml:space="preserve">it </w:t>
      </w:r>
      <w:r w:rsidR="00947B4D" w:rsidRPr="00B6039A">
        <w:rPr>
          <w:sz w:val="24"/>
          <w:szCs w:val="24"/>
        </w:rPr>
        <w:t>explicitly stated that “</w:t>
      </w:r>
      <w:r w:rsidR="00D47773" w:rsidRPr="00B6039A">
        <w:rPr>
          <w:sz w:val="24"/>
          <w:szCs w:val="24"/>
        </w:rPr>
        <w:t xml:space="preserve">this </w:t>
      </w:r>
      <w:r w:rsidR="00947B4D" w:rsidRPr="00B6039A">
        <w:rPr>
          <w:sz w:val="24"/>
          <w:szCs w:val="24"/>
        </w:rPr>
        <w:t>Government acknowledges that an improved social welfare system is also an</w:t>
      </w:r>
      <w:r w:rsidR="00291F50" w:rsidRPr="00B6039A">
        <w:rPr>
          <w:sz w:val="24"/>
          <w:szCs w:val="24"/>
        </w:rPr>
        <w:t xml:space="preserve"> important lever to achieve one </w:t>
      </w:r>
      <w:r w:rsidR="00947B4D" w:rsidRPr="00B6039A">
        <w:rPr>
          <w:sz w:val="24"/>
          <w:szCs w:val="24"/>
        </w:rPr>
        <w:t>of its main priorities of improving the wellbeing of children, especially those who are economically disadvantaged, and to reduce the rates of children experiencing poverty”.</w:t>
      </w:r>
      <w:r w:rsidR="00947B4D" w:rsidRPr="00B6039A">
        <w:rPr>
          <w:rStyle w:val="FootnoteReference"/>
          <w:sz w:val="24"/>
          <w:szCs w:val="24"/>
        </w:rPr>
        <w:footnoteReference w:id="8"/>
      </w:r>
    </w:p>
    <w:p w14:paraId="72D462EA" w14:textId="04C7A764" w:rsidR="003D1DC5" w:rsidRPr="00B6039A" w:rsidRDefault="0077736C" w:rsidP="00C734C5">
      <w:pPr>
        <w:spacing w:after="120" w:line="259" w:lineRule="auto"/>
        <w:ind w:left="0" w:firstLine="0"/>
        <w:rPr>
          <w:sz w:val="24"/>
          <w:szCs w:val="24"/>
        </w:rPr>
      </w:pPr>
      <w:r w:rsidRPr="00B6039A">
        <w:rPr>
          <w:sz w:val="24"/>
          <w:szCs w:val="24"/>
        </w:rPr>
        <w:t>This report provides an overview of progress to date on the implementation of WEAG’s w</w:t>
      </w:r>
      <w:r w:rsidR="00900AE8" w:rsidRPr="00B6039A">
        <w:rPr>
          <w:sz w:val="24"/>
          <w:szCs w:val="24"/>
        </w:rPr>
        <w:t xml:space="preserve">elfare overhaul recommendations. </w:t>
      </w:r>
      <w:r w:rsidR="006739DF" w:rsidRPr="00B6039A">
        <w:rPr>
          <w:sz w:val="24"/>
          <w:szCs w:val="24"/>
        </w:rPr>
        <w:t xml:space="preserve">We table each </w:t>
      </w:r>
      <w:r w:rsidR="00D47773" w:rsidRPr="00B6039A">
        <w:rPr>
          <w:sz w:val="24"/>
          <w:szCs w:val="24"/>
        </w:rPr>
        <w:t>“k</w:t>
      </w:r>
      <w:r w:rsidR="006739DF" w:rsidRPr="00B6039A">
        <w:rPr>
          <w:sz w:val="24"/>
          <w:szCs w:val="24"/>
        </w:rPr>
        <w:t>ey</w:t>
      </w:r>
      <w:r w:rsidR="00D47773" w:rsidRPr="00B6039A">
        <w:rPr>
          <w:sz w:val="24"/>
          <w:szCs w:val="24"/>
        </w:rPr>
        <w:t>”</w:t>
      </w:r>
      <w:r w:rsidR="006739DF" w:rsidRPr="00B6039A">
        <w:rPr>
          <w:sz w:val="24"/>
          <w:szCs w:val="24"/>
        </w:rPr>
        <w:t xml:space="preserve"> and </w:t>
      </w:r>
      <w:r w:rsidR="00D47773" w:rsidRPr="00B6039A">
        <w:rPr>
          <w:sz w:val="24"/>
          <w:szCs w:val="24"/>
        </w:rPr>
        <w:t>“d</w:t>
      </w:r>
      <w:r w:rsidR="006739DF" w:rsidRPr="00B6039A">
        <w:rPr>
          <w:sz w:val="24"/>
          <w:szCs w:val="24"/>
        </w:rPr>
        <w:t>etailed</w:t>
      </w:r>
      <w:r w:rsidR="00D47773" w:rsidRPr="00B6039A">
        <w:rPr>
          <w:sz w:val="24"/>
          <w:szCs w:val="24"/>
        </w:rPr>
        <w:t>”</w:t>
      </w:r>
      <w:r w:rsidR="006739DF" w:rsidRPr="00B6039A">
        <w:rPr>
          <w:sz w:val="24"/>
          <w:szCs w:val="24"/>
        </w:rPr>
        <w:t xml:space="preserve"> </w:t>
      </w:r>
      <w:r w:rsidR="00D47773" w:rsidRPr="00B6039A">
        <w:rPr>
          <w:sz w:val="24"/>
          <w:szCs w:val="24"/>
        </w:rPr>
        <w:t>r</w:t>
      </w:r>
      <w:r w:rsidR="006739DF" w:rsidRPr="00B6039A">
        <w:rPr>
          <w:sz w:val="24"/>
          <w:szCs w:val="24"/>
        </w:rPr>
        <w:t>ecommendation, and provide a progress report for each.</w:t>
      </w:r>
      <w:r w:rsidR="0091453C" w:rsidRPr="00B6039A">
        <w:rPr>
          <w:sz w:val="24"/>
          <w:szCs w:val="24"/>
        </w:rPr>
        <w:t xml:space="preserve"> </w:t>
      </w:r>
      <w:r w:rsidR="008E6364" w:rsidRPr="00B6039A">
        <w:rPr>
          <w:sz w:val="24"/>
          <w:szCs w:val="24"/>
        </w:rPr>
        <w:t xml:space="preserve">Using a child-focussed lens we </w:t>
      </w:r>
      <w:r w:rsidR="006739DF" w:rsidRPr="00B6039A">
        <w:rPr>
          <w:sz w:val="24"/>
          <w:szCs w:val="24"/>
        </w:rPr>
        <w:t>conclude</w:t>
      </w:r>
      <w:r w:rsidR="008E6364" w:rsidRPr="00B6039A">
        <w:rPr>
          <w:sz w:val="24"/>
          <w:szCs w:val="24"/>
        </w:rPr>
        <w:t xml:space="preserve"> that the expected and necessary transformative welfare overhaul has yet to be delivered. </w:t>
      </w:r>
      <w:r w:rsidR="00900AE8" w:rsidRPr="00B6039A">
        <w:rPr>
          <w:sz w:val="24"/>
          <w:szCs w:val="24"/>
        </w:rPr>
        <w:t>In particular, we highlight</w:t>
      </w:r>
      <w:r w:rsidRPr="00B6039A">
        <w:rPr>
          <w:sz w:val="24"/>
          <w:szCs w:val="24"/>
        </w:rPr>
        <w:t xml:space="preserve"> the disparities between political </w:t>
      </w:r>
      <w:r w:rsidR="008D4402" w:rsidRPr="00B6039A">
        <w:rPr>
          <w:sz w:val="24"/>
          <w:szCs w:val="24"/>
        </w:rPr>
        <w:t>promise</w:t>
      </w:r>
      <w:r w:rsidRPr="00B6039A">
        <w:rPr>
          <w:sz w:val="24"/>
          <w:szCs w:val="24"/>
        </w:rPr>
        <w:t xml:space="preserve"> and actual evidence of </w:t>
      </w:r>
      <w:r w:rsidR="008D4402" w:rsidRPr="00B6039A">
        <w:rPr>
          <w:sz w:val="24"/>
          <w:szCs w:val="24"/>
        </w:rPr>
        <w:t>implementation</w:t>
      </w:r>
      <w:r w:rsidRPr="00B6039A">
        <w:rPr>
          <w:sz w:val="24"/>
          <w:szCs w:val="24"/>
        </w:rPr>
        <w:t xml:space="preserve">. </w:t>
      </w:r>
      <w:r w:rsidR="00900AE8" w:rsidRPr="00B6039A">
        <w:rPr>
          <w:sz w:val="24"/>
          <w:szCs w:val="24"/>
        </w:rPr>
        <w:t xml:space="preserve">Following a discussion of the background to </w:t>
      </w:r>
      <w:proofErr w:type="spellStart"/>
      <w:r w:rsidR="00900AE8" w:rsidRPr="00B6039A">
        <w:rPr>
          <w:i/>
          <w:sz w:val="24"/>
          <w:szCs w:val="24"/>
        </w:rPr>
        <w:t>Whakamana</w:t>
      </w:r>
      <w:proofErr w:type="spellEnd"/>
      <w:r w:rsidR="00900AE8" w:rsidRPr="00B6039A">
        <w:rPr>
          <w:i/>
          <w:sz w:val="24"/>
          <w:szCs w:val="24"/>
        </w:rPr>
        <w:t xml:space="preserve"> </w:t>
      </w:r>
      <w:proofErr w:type="spellStart"/>
      <w:r w:rsidR="00900AE8" w:rsidRPr="00B6039A">
        <w:rPr>
          <w:i/>
          <w:sz w:val="24"/>
          <w:szCs w:val="24"/>
        </w:rPr>
        <w:t>Tāngata</w:t>
      </w:r>
      <w:proofErr w:type="spellEnd"/>
      <w:r w:rsidR="00900AE8" w:rsidRPr="00B6039A">
        <w:rPr>
          <w:sz w:val="24"/>
          <w:szCs w:val="24"/>
        </w:rPr>
        <w:t xml:space="preserve"> and the </w:t>
      </w:r>
      <w:r w:rsidR="003655C4" w:rsidRPr="00B6039A">
        <w:rPr>
          <w:sz w:val="24"/>
          <w:szCs w:val="24"/>
        </w:rPr>
        <w:t>g</w:t>
      </w:r>
      <w:r w:rsidR="00900AE8" w:rsidRPr="00B6039A">
        <w:rPr>
          <w:sz w:val="24"/>
          <w:szCs w:val="24"/>
        </w:rPr>
        <w:t xml:space="preserve">overnment’s response, we discuss </w:t>
      </w:r>
      <w:r w:rsidR="003655C4" w:rsidRPr="00B6039A">
        <w:rPr>
          <w:sz w:val="24"/>
          <w:szCs w:val="24"/>
        </w:rPr>
        <w:t xml:space="preserve">CPAG’s recommended </w:t>
      </w:r>
      <w:r w:rsidR="00900AE8" w:rsidRPr="00B6039A">
        <w:rPr>
          <w:sz w:val="24"/>
          <w:szCs w:val="24"/>
        </w:rPr>
        <w:t xml:space="preserve">priorities for the next </w:t>
      </w:r>
      <w:r w:rsidR="00590E70" w:rsidRPr="00B6039A">
        <w:rPr>
          <w:sz w:val="24"/>
          <w:szCs w:val="24"/>
        </w:rPr>
        <w:t>three years in accelerating</w:t>
      </w:r>
      <w:r w:rsidR="00900AE8" w:rsidRPr="00B6039A">
        <w:rPr>
          <w:sz w:val="24"/>
          <w:szCs w:val="24"/>
        </w:rPr>
        <w:t xml:space="preserve"> welfare overhaul</w:t>
      </w:r>
      <w:r w:rsidR="000421B3" w:rsidRPr="00B6039A">
        <w:rPr>
          <w:sz w:val="24"/>
          <w:szCs w:val="24"/>
        </w:rPr>
        <w:t xml:space="preserve"> and implementing the WEAG’s recommendations</w:t>
      </w:r>
      <w:r w:rsidR="00900AE8" w:rsidRPr="00B6039A">
        <w:rPr>
          <w:sz w:val="24"/>
          <w:szCs w:val="24"/>
        </w:rPr>
        <w:t xml:space="preserve">. </w:t>
      </w:r>
    </w:p>
    <w:p w14:paraId="438D44FD" w14:textId="5B66E116" w:rsidR="00493DC4" w:rsidRPr="00B6039A" w:rsidRDefault="00187D78" w:rsidP="00C734C5">
      <w:pPr>
        <w:pStyle w:val="Heading1"/>
        <w:spacing w:after="120" w:line="259" w:lineRule="auto"/>
        <w:ind w:left="0" w:firstLine="0"/>
        <w:rPr>
          <w:i/>
        </w:rPr>
      </w:pPr>
      <w:bookmarkStart w:id="11" w:name="_Toc57025844"/>
      <w:r w:rsidRPr="00B6039A">
        <w:t>Background</w:t>
      </w:r>
      <w:r w:rsidR="00185F40" w:rsidRPr="00B6039A">
        <w:t xml:space="preserve"> to </w:t>
      </w:r>
      <w:proofErr w:type="spellStart"/>
      <w:r w:rsidR="00185F40" w:rsidRPr="00B6039A">
        <w:rPr>
          <w:i/>
        </w:rPr>
        <w:t>Whakamana</w:t>
      </w:r>
      <w:proofErr w:type="spellEnd"/>
      <w:r w:rsidR="00185F40" w:rsidRPr="00B6039A">
        <w:rPr>
          <w:i/>
        </w:rPr>
        <w:t xml:space="preserve"> </w:t>
      </w:r>
      <w:proofErr w:type="spellStart"/>
      <w:r w:rsidR="00185F40" w:rsidRPr="00B6039A">
        <w:rPr>
          <w:i/>
        </w:rPr>
        <w:t>Tāngata</w:t>
      </w:r>
      <w:bookmarkEnd w:id="11"/>
      <w:proofErr w:type="spellEnd"/>
    </w:p>
    <w:p w14:paraId="3495F329" w14:textId="2AD727E8" w:rsidR="006154DD" w:rsidRPr="00B6039A" w:rsidRDefault="00493DC4" w:rsidP="00C15ED7">
      <w:pPr>
        <w:spacing w:after="80" w:line="259" w:lineRule="auto"/>
        <w:ind w:left="0" w:firstLine="0"/>
        <w:rPr>
          <w:sz w:val="24"/>
          <w:szCs w:val="24"/>
        </w:rPr>
      </w:pPr>
      <w:r w:rsidRPr="00B6039A">
        <w:rPr>
          <w:sz w:val="24"/>
          <w:szCs w:val="24"/>
        </w:rPr>
        <w:t xml:space="preserve">In 2017, as part of a Confidence and Supply Agreement between the Labour Party and the Green Party, the </w:t>
      </w:r>
      <w:r w:rsidR="0013148C" w:rsidRPr="00B6039A">
        <w:rPr>
          <w:sz w:val="24"/>
          <w:szCs w:val="24"/>
        </w:rPr>
        <w:t xml:space="preserve">Coalition </w:t>
      </w:r>
      <w:r w:rsidRPr="00B6039A">
        <w:rPr>
          <w:sz w:val="24"/>
          <w:szCs w:val="24"/>
        </w:rPr>
        <w:t>Government commi</w:t>
      </w:r>
      <w:r w:rsidR="006154DD" w:rsidRPr="00B6039A">
        <w:rPr>
          <w:sz w:val="24"/>
          <w:szCs w:val="24"/>
        </w:rPr>
        <w:t>t</w:t>
      </w:r>
      <w:r w:rsidRPr="00B6039A">
        <w:rPr>
          <w:sz w:val="24"/>
          <w:szCs w:val="24"/>
        </w:rPr>
        <w:t>ted to overhauling the welfare system</w:t>
      </w:r>
      <w:r w:rsidR="00986050" w:rsidRPr="00B6039A">
        <w:rPr>
          <w:sz w:val="24"/>
          <w:szCs w:val="24"/>
        </w:rPr>
        <w:t>.</w:t>
      </w:r>
      <w:r w:rsidR="003D40B1" w:rsidRPr="00B6039A">
        <w:rPr>
          <w:sz w:val="24"/>
          <w:szCs w:val="24"/>
        </w:rPr>
        <w:t xml:space="preserve"> </w:t>
      </w:r>
      <w:r w:rsidR="00986050" w:rsidRPr="00B6039A">
        <w:rPr>
          <w:sz w:val="24"/>
          <w:szCs w:val="24"/>
        </w:rPr>
        <w:t>In this Agreement, i</w:t>
      </w:r>
      <w:r w:rsidR="003D40B1" w:rsidRPr="00B6039A">
        <w:rPr>
          <w:sz w:val="24"/>
          <w:szCs w:val="24"/>
        </w:rPr>
        <w:t>t was noted</w:t>
      </w:r>
      <w:r w:rsidR="00986050" w:rsidRPr="00B6039A">
        <w:rPr>
          <w:sz w:val="24"/>
          <w:szCs w:val="24"/>
        </w:rPr>
        <w:t xml:space="preserve"> that</w:t>
      </w:r>
      <w:r w:rsidR="006154DD" w:rsidRPr="00B6039A">
        <w:rPr>
          <w:sz w:val="24"/>
          <w:szCs w:val="24"/>
        </w:rPr>
        <w:t>:</w:t>
      </w:r>
    </w:p>
    <w:p w14:paraId="1D9E7709" w14:textId="0AC4EEAD" w:rsidR="00986050" w:rsidRPr="00B6039A" w:rsidRDefault="003D40B1" w:rsidP="00C15ED7">
      <w:pPr>
        <w:spacing w:after="80" w:line="259" w:lineRule="auto"/>
        <w:ind w:left="720" w:firstLine="0"/>
        <w:rPr>
          <w:i/>
          <w:sz w:val="24"/>
          <w:szCs w:val="24"/>
        </w:rPr>
      </w:pPr>
      <w:r w:rsidRPr="00B6039A">
        <w:rPr>
          <w:i/>
          <w:sz w:val="24"/>
          <w:szCs w:val="24"/>
        </w:rPr>
        <w:t>“The Green Party supports a transformative Government which implements the United Nations’ 17 Sustainable Development Goals. In this parliamentary term, the Green Party has a number of priorities to progress the implementation of the Sustainable Development Goals. The Labour-led Government shares and will support these priorities.</w:t>
      </w:r>
      <w:r w:rsidR="000726CE" w:rsidRPr="00B6039A">
        <w:rPr>
          <w:i/>
          <w:sz w:val="24"/>
          <w:szCs w:val="24"/>
        </w:rPr>
        <w:t>”</w:t>
      </w:r>
      <w:r w:rsidR="00D71DCF" w:rsidRPr="00B6039A">
        <w:rPr>
          <w:rStyle w:val="FootnoteReference"/>
          <w:sz w:val="24"/>
          <w:szCs w:val="24"/>
        </w:rPr>
        <w:footnoteReference w:id="9"/>
      </w:r>
      <w:r w:rsidR="000726CE" w:rsidRPr="00B6039A">
        <w:rPr>
          <w:sz w:val="24"/>
          <w:szCs w:val="24"/>
        </w:rPr>
        <w:t xml:space="preserve"> </w:t>
      </w:r>
    </w:p>
    <w:p w14:paraId="32FCA8E3" w14:textId="4615552A" w:rsidR="003D40B1" w:rsidRPr="00B6039A" w:rsidRDefault="005146FE" w:rsidP="00C15ED7">
      <w:pPr>
        <w:spacing w:after="80" w:line="259" w:lineRule="auto"/>
        <w:ind w:left="0" w:firstLine="0"/>
        <w:rPr>
          <w:sz w:val="24"/>
          <w:szCs w:val="24"/>
        </w:rPr>
      </w:pPr>
      <w:r w:rsidRPr="00B6039A">
        <w:rPr>
          <w:sz w:val="24"/>
          <w:szCs w:val="24"/>
        </w:rPr>
        <w:t>One of</w:t>
      </w:r>
      <w:r w:rsidR="003D40B1" w:rsidRPr="00B6039A">
        <w:rPr>
          <w:sz w:val="24"/>
          <w:szCs w:val="24"/>
        </w:rPr>
        <w:t xml:space="preserve"> these pri</w:t>
      </w:r>
      <w:r w:rsidR="00A5111C" w:rsidRPr="00B6039A">
        <w:rPr>
          <w:sz w:val="24"/>
          <w:szCs w:val="24"/>
        </w:rPr>
        <w:t>orities</w:t>
      </w:r>
      <w:r w:rsidRPr="00B6039A">
        <w:rPr>
          <w:sz w:val="24"/>
          <w:szCs w:val="24"/>
        </w:rPr>
        <w:t xml:space="preserve"> </w:t>
      </w:r>
      <w:r w:rsidR="006154DD" w:rsidRPr="00B6039A">
        <w:rPr>
          <w:sz w:val="24"/>
          <w:szCs w:val="24"/>
        </w:rPr>
        <w:t>‘</w:t>
      </w:r>
      <w:r w:rsidR="00D71DCF" w:rsidRPr="00B6039A">
        <w:rPr>
          <w:sz w:val="24"/>
          <w:szCs w:val="24"/>
        </w:rPr>
        <w:t>shared and supported</w:t>
      </w:r>
      <w:r w:rsidR="006154DD" w:rsidRPr="00B6039A">
        <w:rPr>
          <w:sz w:val="24"/>
          <w:szCs w:val="24"/>
        </w:rPr>
        <w:t>’</w:t>
      </w:r>
      <w:r w:rsidR="00D71DCF" w:rsidRPr="00B6039A">
        <w:rPr>
          <w:sz w:val="24"/>
          <w:szCs w:val="24"/>
        </w:rPr>
        <w:t xml:space="preserve"> by the L</w:t>
      </w:r>
      <w:r w:rsidR="003051F9" w:rsidRPr="00B6039A">
        <w:rPr>
          <w:sz w:val="24"/>
          <w:szCs w:val="24"/>
        </w:rPr>
        <w:t>abour-led Government</w:t>
      </w:r>
      <w:r w:rsidR="00D71DCF" w:rsidRPr="00B6039A">
        <w:rPr>
          <w:sz w:val="24"/>
          <w:szCs w:val="24"/>
        </w:rPr>
        <w:t xml:space="preserve"> </w:t>
      </w:r>
      <w:r w:rsidRPr="00B6039A">
        <w:rPr>
          <w:sz w:val="24"/>
          <w:szCs w:val="24"/>
        </w:rPr>
        <w:t>was</w:t>
      </w:r>
      <w:r w:rsidR="00D71DCF" w:rsidRPr="00B6039A">
        <w:rPr>
          <w:sz w:val="24"/>
          <w:szCs w:val="24"/>
        </w:rPr>
        <w:t xml:space="preserve">: </w:t>
      </w:r>
    </w:p>
    <w:p w14:paraId="30F26394" w14:textId="4A4D5008" w:rsidR="005146FE" w:rsidRPr="00B6039A" w:rsidRDefault="005146FE" w:rsidP="00C734C5">
      <w:pPr>
        <w:spacing w:after="120" w:line="259" w:lineRule="auto"/>
        <w:ind w:left="720" w:firstLine="0"/>
        <w:rPr>
          <w:sz w:val="24"/>
          <w:szCs w:val="24"/>
        </w:rPr>
      </w:pPr>
      <w:r w:rsidRPr="00B6039A">
        <w:rPr>
          <w:i/>
          <w:sz w:val="24"/>
          <w:szCs w:val="24"/>
        </w:rPr>
        <w:t>“</w:t>
      </w:r>
      <w:r w:rsidR="00F34726" w:rsidRPr="00B6039A">
        <w:rPr>
          <w:i/>
          <w:sz w:val="24"/>
          <w:szCs w:val="24"/>
        </w:rPr>
        <w:t xml:space="preserve">Overhaul the welfare system, ensure access to entitlements, remove excessive sanctions and review Working For Families so that everyone has a standard of living and income that enables them to live in dignity and participate in their communities, and lifts children and their families out of </w:t>
      </w:r>
      <w:r w:rsidR="007B6D38" w:rsidRPr="00B6039A">
        <w:rPr>
          <w:i/>
          <w:sz w:val="24"/>
          <w:szCs w:val="24"/>
        </w:rPr>
        <w:t>poverty</w:t>
      </w:r>
      <w:r w:rsidR="007F0840" w:rsidRPr="00B6039A">
        <w:rPr>
          <w:i/>
          <w:sz w:val="24"/>
          <w:szCs w:val="24"/>
        </w:rPr>
        <w:t>.</w:t>
      </w:r>
      <w:r w:rsidR="007B6D38" w:rsidRPr="00B6039A">
        <w:rPr>
          <w:i/>
          <w:sz w:val="24"/>
          <w:szCs w:val="24"/>
        </w:rPr>
        <w:t>”</w:t>
      </w:r>
      <w:r w:rsidR="00FE7B88" w:rsidRPr="00B6039A">
        <w:rPr>
          <w:rStyle w:val="FootnoteReference"/>
          <w:sz w:val="24"/>
          <w:szCs w:val="24"/>
        </w:rPr>
        <w:footnoteReference w:id="10"/>
      </w:r>
      <w:r w:rsidR="00493DC4" w:rsidRPr="00B6039A">
        <w:rPr>
          <w:sz w:val="24"/>
          <w:szCs w:val="24"/>
        </w:rPr>
        <w:t xml:space="preserve"> </w:t>
      </w:r>
    </w:p>
    <w:p w14:paraId="458BFB3F" w14:textId="6E3784A2" w:rsidR="00B00A36" w:rsidRPr="00B6039A" w:rsidRDefault="00B00A36" w:rsidP="00C734C5">
      <w:pPr>
        <w:spacing w:after="120" w:line="259" w:lineRule="auto"/>
        <w:ind w:left="0" w:firstLine="0"/>
        <w:rPr>
          <w:sz w:val="24"/>
          <w:szCs w:val="24"/>
        </w:rPr>
      </w:pPr>
      <w:r w:rsidRPr="00B6039A">
        <w:rPr>
          <w:sz w:val="24"/>
          <w:szCs w:val="24"/>
        </w:rPr>
        <w:t xml:space="preserve">In order to evaluate the current system and inform this welfare overhaul, the </w:t>
      </w:r>
      <w:r w:rsidR="0013148C" w:rsidRPr="00B6039A">
        <w:rPr>
          <w:sz w:val="24"/>
          <w:szCs w:val="24"/>
        </w:rPr>
        <w:t xml:space="preserve">Coalition </w:t>
      </w:r>
      <w:r w:rsidRPr="00B6039A">
        <w:rPr>
          <w:sz w:val="24"/>
          <w:szCs w:val="24"/>
        </w:rPr>
        <w:t>Government established the W</w:t>
      </w:r>
      <w:r w:rsidR="003051F9" w:rsidRPr="00B6039A">
        <w:rPr>
          <w:sz w:val="24"/>
          <w:szCs w:val="24"/>
        </w:rPr>
        <w:t xml:space="preserve">elfare </w:t>
      </w:r>
      <w:r w:rsidRPr="00B6039A">
        <w:rPr>
          <w:sz w:val="24"/>
          <w:szCs w:val="24"/>
        </w:rPr>
        <w:t>E</w:t>
      </w:r>
      <w:r w:rsidR="003051F9" w:rsidRPr="00B6039A">
        <w:rPr>
          <w:sz w:val="24"/>
          <w:szCs w:val="24"/>
        </w:rPr>
        <w:t xml:space="preserve">xpert </w:t>
      </w:r>
      <w:r w:rsidRPr="00B6039A">
        <w:rPr>
          <w:sz w:val="24"/>
          <w:szCs w:val="24"/>
        </w:rPr>
        <w:t>A</w:t>
      </w:r>
      <w:r w:rsidR="003051F9" w:rsidRPr="00B6039A">
        <w:rPr>
          <w:sz w:val="24"/>
          <w:szCs w:val="24"/>
        </w:rPr>
        <w:t xml:space="preserve">dvisory </w:t>
      </w:r>
      <w:r w:rsidRPr="00B6039A">
        <w:rPr>
          <w:sz w:val="24"/>
          <w:szCs w:val="24"/>
        </w:rPr>
        <w:t>G</w:t>
      </w:r>
      <w:r w:rsidR="003051F9" w:rsidRPr="00B6039A">
        <w:rPr>
          <w:sz w:val="24"/>
          <w:szCs w:val="24"/>
        </w:rPr>
        <w:t>roup (WEAG)</w:t>
      </w:r>
      <w:r w:rsidRPr="00B6039A">
        <w:rPr>
          <w:sz w:val="24"/>
          <w:szCs w:val="24"/>
        </w:rPr>
        <w:t xml:space="preserve"> in May 2018.</w:t>
      </w:r>
      <w:r w:rsidRPr="00B6039A">
        <w:rPr>
          <w:rStyle w:val="FootnoteReference"/>
          <w:sz w:val="24"/>
          <w:szCs w:val="24"/>
        </w:rPr>
        <w:footnoteReference w:id="11"/>
      </w:r>
      <w:r w:rsidRPr="00B6039A">
        <w:rPr>
          <w:sz w:val="24"/>
          <w:szCs w:val="24"/>
        </w:rPr>
        <w:t xml:space="preserve"> The Terms of Reference for the WEAG</w:t>
      </w:r>
      <w:r w:rsidR="003051F9" w:rsidRPr="00B6039A">
        <w:rPr>
          <w:sz w:val="24"/>
          <w:szCs w:val="24"/>
        </w:rPr>
        <w:t>, a document approved by Cabinet following Ministerial consultation,</w:t>
      </w:r>
      <w:r w:rsidRPr="00B6039A">
        <w:rPr>
          <w:sz w:val="24"/>
          <w:szCs w:val="24"/>
        </w:rPr>
        <w:t xml:space="preserve"> </w:t>
      </w:r>
      <w:r w:rsidR="003655C4" w:rsidRPr="00B6039A">
        <w:rPr>
          <w:sz w:val="24"/>
          <w:szCs w:val="24"/>
        </w:rPr>
        <w:t xml:space="preserve">outlined an </w:t>
      </w:r>
      <w:r w:rsidRPr="00B6039A">
        <w:rPr>
          <w:sz w:val="24"/>
          <w:szCs w:val="24"/>
        </w:rPr>
        <w:t>ambitious</w:t>
      </w:r>
      <w:r w:rsidR="003655C4" w:rsidRPr="00B6039A">
        <w:rPr>
          <w:sz w:val="24"/>
          <w:szCs w:val="24"/>
        </w:rPr>
        <w:t xml:space="preserve"> vision</w:t>
      </w:r>
      <w:r w:rsidRPr="00B6039A">
        <w:rPr>
          <w:sz w:val="24"/>
          <w:szCs w:val="24"/>
        </w:rPr>
        <w:t xml:space="preserve">: </w:t>
      </w:r>
    </w:p>
    <w:p w14:paraId="79830598" w14:textId="77777777" w:rsidR="00B00A36" w:rsidRPr="00B6039A" w:rsidRDefault="00B00A36" w:rsidP="00C734C5">
      <w:pPr>
        <w:spacing w:after="120" w:line="259" w:lineRule="auto"/>
        <w:ind w:left="720" w:firstLine="0"/>
        <w:rPr>
          <w:i/>
          <w:sz w:val="24"/>
          <w:szCs w:val="24"/>
        </w:rPr>
      </w:pPr>
      <w:r w:rsidRPr="00B6039A">
        <w:rPr>
          <w:i/>
          <w:sz w:val="24"/>
          <w:szCs w:val="24"/>
        </w:rPr>
        <w:t>“The Government’s vision is for a welfare system that ensures people have an adequate income and standard of living, are treated with and can live in dignity and are able to participate meaningfully in their communities… ...to achieve one of its main priorities of improving the wellbeing of children ….and to reduce the rates of children experiencing poverty…”</w:t>
      </w:r>
      <w:r w:rsidRPr="00B6039A">
        <w:rPr>
          <w:rStyle w:val="FootnoteReference"/>
          <w:i/>
          <w:sz w:val="24"/>
          <w:szCs w:val="24"/>
        </w:rPr>
        <w:footnoteReference w:id="12"/>
      </w:r>
      <w:r w:rsidRPr="00B6039A">
        <w:rPr>
          <w:i/>
          <w:sz w:val="24"/>
          <w:szCs w:val="24"/>
        </w:rPr>
        <w:t xml:space="preserve"> </w:t>
      </w:r>
    </w:p>
    <w:p w14:paraId="66508A7A" w14:textId="0F65025A" w:rsidR="006154DD" w:rsidRPr="00B6039A" w:rsidRDefault="006154DD" w:rsidP="00EA29E7">
      <w:pPr>
        <w:spacing w:after="120" w:line="259" w:lineRule="auto"/>
        <w:ind w:left="0" w:firstLine="0"/>
        <w:rPr>
          <w:sz w:val="24"/>
          <w:szCs w:val="24"/>
        </w:rPr>
      </w:pPr>
      <w:r w:rsidRPr="00B6039A">
        <w:rPr>
          <w:sz w:val="24"/>
          <w:szCs w:val="24"/>
        </w:rPr>
        <w:lastRenderedPageBreak/>
        <w:t>This commitment to a welfare overhaul reflected a government-level recognition of the inadequacy of current social security settings</w:t>
      </w:r>
      <w:r w:rsidR="003B7C71" w:rsidRPr="00B6039A">
        <w:rPr>
          <w:sz w:val="24"/>
          <w:szCs w:val="24"/>
        </w:rPr>
        <w:t>. S</w:t>
      </w:r>
      <w:r w:rsidRPr="00B6039A">
        <w:rPr>
          <w:sz w:val="24"/>
          <w:szCs w:val="24"/>
        </w:rPr>
        <w:t xml:space="preserve">upport is </w:t>
      </w:r>
      <w:r w:rsidR="003979B4" w:rsidRPr="00B6039A">
        <w:rPr>
          <w:sz w:val="24"/>
          <w:szCs w:val="24"/>
        </w:rPr>
        <w:t>difficult to access</w:t>
      </w:r>
      <w:r w:rsidRPr="00B6039A">
        <w:rPr>
          <w:sz w:val="24"/>
          <w:szCs w:val="24"/>
        </w:rPr>
        <w:t>, requiring people to meet onerous obligations, and the level of assistance provided is often inadequate for meeting people’s basic needs.</w:t>
      </w:r>
      <w:r w:rsidRPr="00B6039A">
        <w:rPr>
          <w:rStyle w:val="FootnoteReference"/>
          <w:sz w:val="24"/>
          <w:szCs w:val="24"/>
        </w:rPr>
        <w:footnoteReference w:id="13"/>
      </w:r>
      <w:r w:rsidRPr="00B6039A">
        <w:rPr>
          <w:sz w:val="24"/>
          <w:szCs w:val="24"/>
        </w:rPr>
        <w:t xml:space="preserve"> </w:t>
      </w:r>
    </w:p>
    <w:p w14:paraId="46F8E8DD" w14:textId="1FE45869" w:rsidR="00020009" w:rsidRPr="00B6039A" w:rsidRDefault="00020009" w:rsidP="00020009">
      <w:pPr>
        <w:spacing w:after="120" w:line="259" w:lineRule="auto"/>
        <w:ind w:left="0" w:firstLine="0"/>
        <w:rPr>
          <w:sz w:val="24"/>
          <w:szCs w:val="24"/>
        </w:rPr>
      </w:pPr>
      <w:r w:rsidRPr="00B6039A">
        <w:rPr>
          <w:sz w:val="24"/>
          <w:szCs w:val="24"/>
        </w:rPr>
        <w:t>The Coalition Government’s Families Package, which began on 1 July 2018 (three months after the formation of WEAG), gave some assistance to low-income families with children; yet the WEAG’s consultation, which largely took place after that date, did not find sufficient alleviation of “desperate need”. CPAG has modelled the Families Package for its impact on the poorest children and found it fell well short of what is required to release children and their families from poverty.</w:t>
      </w:r>
      <w:r w:rsidRPr="00B6039A">
        <w:rPr>
          <w:rStyle w:val="FootnoteReference"/>
          <w:sz w:val="24"/>
          <w:szCs w:val="24"/>
        </w:rPr>
        <w:footnoteReference w:id="14"/>
      </w:r>
      <w:r w:rsidRPr="00B6039A">
        <w:rPr>
          <w:sz w:val="24"/>
          <w:szCs w:val="24"/>
        </w:rPr>
        <w:t xml:space="preserve"> </w:t>
      </w:r>
    </w:p>
    <w:p w14:paraId="1E6A73C9" w14:textId="737E515A" w:rsidR="00B00A36" w:rsidRPr="00B6039A" w:rsidRDefault="00B00A36" w:rsidP="00C734C5">
      <w:pPr>
        <w:spacing w:after="120" w:line="259" w:lineRule="auto"/>
        <w:ind w:left="0" w:firstLine="0"/>
        <w:rPr>
          <w:sz w:val="24"/>
          <w:szCs w:val="24"/>
        </w:rPr>
      </w:pPr>
      <w:r w:rsidRPr="00B6039A">
        <w:rPr>
          <w:sz w:val="24"/>
          <w:szCs w:val="24"/>
        </w:rPr>
        <w:t xml:space="preserve">In February 2019, the WEAG delivered its consensus report </w:t>
      </w:r>
      <w:proofErr w:type="spellStart"/>
      <w:r w:rsidRPr="00B6039A">
        <w:rPr>
          <w:i/>
          <w:sz w:val="24"/>
          <w:szCs w:val="24"/>
        </w:rPr>
        <w:t>Whakamana</w:t>
      </w:r>
      <w:proofErr w:type="spellEnd"/>
      <w:r w:rsidRPr="00B6039A">
        <w:rPr>
          <w:i/>
          <w:sz w:val="24"/>
          <w:szCs w:val="24"/>
        </w:rPr>
        <w:t xml:space="preserve"> </w:t>
      </w:r>
      <w:proofErr w:type="spellStart"/>
      <w:r w:rsidRPr="00B6039A">
        <w:rPr>
          <w:i/>
          <w:sz w:val="24"/>
          <w:szCs w:val="24"/>
        </w:rPr>
        <w:t>Tāngata</w:t>
      </w:r>
      <w:proofErr w:type="spellEnd"/>
      <w:r w:rsidRPr="00B6039A">
        <w:rPr>
          <w:i/>
          <w:sz w:val="24"/>
          <w:szCs w:val="24"/>
        </w:rPr>
        <w:t xml:space="preserve"> – Restoring Dignity to Social Security in New Zealand</w:t>
      </w:r>
      <w:r w:rsidRPr="00B6039A">
        <w:rPr>
          <w:sz w:val="24"/>
          <w:szCs w:val="24"/>
        </w:rPr>
        <w:t>, based on evidence gathered by experts, in wide consultation with individuals, communities, and employees of Work and Income.</w:t>
      </w:r>
      <w:r w:rsidRPr="00B6039A">
        <w:rPr>
          <w:rStyle w:val="FootnoteReference"/>
          <w:sz w:val="24"/>
          <w:szCs w:val="24"/>
        </w:rPr>
        <w:footnoteReference w:id="15"/>
      </w:r>
      <w:r w:rsidRPr="00B6039A">
        <w:rPr>
          <w:sz w:val="24"/>
          <w:szCs w:val="24"/>
        </w:rPr>
        <w:t xml:space="preserve"> </w:t>
      </w:r>
      <w:r w:rsidR="00821164" w:rsidRPr="00B6039A">
        <w:rPr>
          <w:sz w:val="24"/>
          <w:szCs w:val="24"/>
        </w:rPr>
        <w:t xml:space="preserve">Their </w:t>
      </w:r>
      <w:r w:rsidRPr="00B6039A">
        <w:rPr>
          <w:sz w:val="24"/>
          <w:szCs w:val="24"/>
        </w:rPr>
        <w:t>report highlighted that the current social security system is no longer fit for purpose, with “many New Zealanders lead[</w:t>
      </w:r>
      <w:proofErr w:type="spellStart"/>
      <w:r w:rsidRPr="00B6039A">
        <w:rPr>
          <w:sz w:val="24"/>
          <w:szCs w:val="24"/>
        </w:rPr>
        <w:t>ing</w:t>
      </w:r>
      <w:proofErr w:type="spellEnd"/>
      <w:r w:rsidRPr="00B6039A">
        <w:rPr>
          <w:sz w:val="24"/>
          <w:szCs w:val="24"/>
        </w:rPr>
        <w:t>] desperate lives with seriously inadequate incomes”.</w:t>
      </w:r>
      <w:r w:rsidRPr="00B6039A">
        <w:rPr>
          <w:rStyle w:val="FootnoteReference"/>
          <w:sz w:val="24"/>
          <w:szCs w:val="24"/>
        </w:rPr>
        <w:footnoteReference w:id="16"/>
      </w:r>
      <w:r w:rsidRPr="00B6039A">
        <w:rPr>
          <w:sz w:val="24"/>
          <w:szCs w:val="24"/>
        </w:rPr>
        <w:t xml:space="preserve"> It called for urgent welfare overhaul, acknowledging that the system is unsatisfactory at best, and damaging at worst.</w:t>
      </w:r>
      <w:r w:rsidRPr="00B6039A">
        <w:rPr>
          <w:rStyle w:val="FootnoteReference"/>
          <w:sz w:val="24"/>
          <w:szCs w:val="24"/>
        </w:rPr>
        <w:footnoteReference w:id="17"/>
      </w:r>
      <w:r w:rsidRPr="00B6039A">
        <w:rPr>
          <w:sz w:val="24"/>
          <w:szCs w:val="24"/>
        </w:rPr>
        <w:t xml:space="preserve"> It delivered 42 </w:t>
      </w:r>
      <w:r w:rsidR="00C30F6D" w:rsidRPr="00B6039A">
        <w:rPr>
          <w:sz w:val="24"/>
          <w:szCs w:val="24"/>
        </w:rPr>
        <w:t>k</w:t>
      </w:r>
      <w:r w:rsidRPr="00B6039A">
        <w:rPr>
          <w:sz w:val="24"/>
          <w:szCs w:val="24"/>
        </w:rPr>
        <w:t xml:space="preserve">ey and 126 </w:t>
      </w:r>
      <w:r w:rsidR="00C30F6D" w:rsidRPr="00B6039A">
        <w:rPr>
          <w:sz w:val="24"/>
          <w:szCs w:val="24"/>
        </w:rPr>
        <w:t>d</w:t>
      </w:r>
      <w:r w:rsidRPr="00B6039A">
        <w:rPr>
          <w:sz w:val="24"/>
          <w:szCs w:val="24"/>
        </w:rPr>
        <w:t xml:space="preserve">etailed </w:t>
      </w:r>
      <w:r w:rsidR="00C30F6D" w:rsidRPr="00B6039A">
        <w:rPr>
          <w:sz w:val="24"/>
          <w:szCs w:val="24"/>
        </w:rPr>
        <w:t>r</w:t>
      </w:r>
      <w:r w:rsidRPr="00B6039A">
        <w:rPr>
          <w:sz w:val="24"/>
          <w:szCs w:val="24"/>
        </w:rPr>
        <w:t xml:space="preserve">ecommendations, laying out a framework for welfare overhaul for the Coalition Government. </w:t>
      </w:r>
    </w:p>
    <w:p w14:paraId="77ABD6A9" w14:textId="5A783E41" w:rsidR="00B00A36" w:rsidRPr="00B6039A" w:rsidRDefault="00ED5300" w:rsidP="00C734C5">
      <w:pPr>
        <w:spacing w:after="120" w:line="259" w:lineRule="auto"/>
        <w:ind w:left="0" w:firstLine="0"/>
        <w:rPr>
          <w:sz w:val="24"/>
          <w:szCs w:val="24"/>
        </w:rPr>
      </w:pPr>
      <w:r w:rsidRPr="00B6039A">
        <w:rPr>
          <w:sz w:val="24"/>
          <w:szCs w:val="24"/>
        </w:rPr>
        <w:t>I</w:t>
      </w:r>
      <w:r w:rsidR="00B00A36" w:rsidRPr="00B6039A">
        <w:rPr>
          <w:sz w:val="24"/>
          <w:szCs w:val="24"/>
        </w:rPr>
        <w:t>n light of the</w:t>
      </w:r>
      <w:r w:rsidR="000E1BB7" w:rsidRPr="00B6039A">
        <w:rPr>
          <w:sz w:val="24"/>
          <w:szCs w:val="24"/>
        </w:rPr>
        <w:t xml:space="preserve"> </w:t>
      </w:r>
      <w:r w:rsidR="003B7C71" w:rsidRPr="00B6039A">
        <w:rPr>
          <w:sz w:val="24"/>
          <w:szCs w:val="24"/>
        </w:rPr>
        <w:t>Coalition</w:t>
      </w:r>
      <w:r w:rsidR="00B00A36" w:rsidRPr="00B6039A">
        <w:rPr>
          <w:sz w:val="24"/>
          <w:szCs w:val="24"/>
        </w:rPr>
        <w:t xml:space="preserve"> Government’s emphasis on child poverty reduction, </w:t>
      </w:r>
      <w:r w:rsidR="00D46375" w:rsidRPr="00B6039A">
        <w:rPr>
          <w:sz w:val="24"/>
          <w:szCs w:val="24"/>
        </w:rPr>
        <w:t xml:space="preserve">the WEAG </w:t>
      </w:r>
      <w:r w:rsidR="00B00A36" w:rsidRPr="00B6039A">
        <w:rPr>
          <w:sz w:val="24"/>
          <w:szCs w:val="24"/>
        </w:rPr>
        <w:t xml:space="preserve">highlighted the implications of welfare design for children. A background paper to </w:t>
      </w:r>
      <w:proofErr w:type="spellStart"/>
      <w:r w:rsidR="00D46375" w:rsidRPr="00B6039A">
        <w:rPr>
          <w:i/>
          <w:iCs/>
          <w:sz w:val="24"/>
          <w:szCs w:val="24"/>
        </w:rPr>
        <w:t>Whakamana</w:t>
      </w:r>
      <w:proofErr w:type="spellEnd"/>
      <w:r w:rsidR="00D46375" w:rsidRPr="00B6039A">
        <w:rPr>
          <w:i/>
          <w:iCs/>
          <w:sz w:val="24"/>
          <w:szCs w:val="24"/>
        </w:rPr>
        <w:t xml:space="preserve"> </w:t>
      </w:r>
      <w:proofErr w:type="spellStart"/>
      <w:r w:rsidR="00D46375" w:rsidRPr="00B6039A">
        <w:rPr>
          <w:i/>
          <w:iCs/>
          <w:sz w:val="24"/>
          <w:szCs w:val="24"/>
        </w:rPr>
        <w:t>Tāngata</w:t>
      </w:r>
      <w:proofErr w:type="spellEnd"/>
      <w:r w:rsidR="00B00A36" w:rsidRPr="00B6039A">
        <w:rPr>
          <w:sz w:val="24"/>
          <w:szCs w:val="24"/>
        </w:rPr>
        <w:t xml:space="preserve">, </w:t>
      </w:r>
      <w:r w:rsidR="00D46375" w:rsidRPr="00B6039A">
        <w:rPr>
          <w:sz w:val="24"/>
          <w:szCs w:val="24"/>
        </w:rPr>
        <w:t xml:space="preserve">entitled </w:t>
      </w:r>
      <w:r w:rsidR="00B00A36" w:rsidRPr="00B6039A">
        <w:rPr>
          <w:i/>
          <w:sz w:val="24"/>
          <w:szCs w:val="24"/>
        </w:rPr>
        <w:t xml:space="preserve">The income support system, </w:t>
      </w:r>
      <w:r w:rsidR="000E1BB7" w:rsidRPr="00B6039A">
        <w:rPr>
          <w:sz w:val="24"/>
          <w:szCs w:val="24"/>
        </w:rPr>
        <w:t xml:space="preserve">noted that </w:t>
      </w:r>
      <w:r w:rsidR="00B00A36" w:rsidRPr="00B6039A">
        <w:rPr>
          <w:sz w:val="24"/>
          <w:szCs w:val="24"/>
        </w:rPr>
        <w:t>168,275 dependent children were living in families receiving main benefits</w:t>
      </w:r>
      <w:r w:rsidRPr="00B6039A">
        <w:rPr>
          <w:sz w:val="24"/>
          <w:szCs w:val="24"/>
        </w:rPr>
        <w:t xml:space="preserve"> in March 2018</w:t>
      </w:r>
      <w:r w:rsidR="00B00A36" w:rsidRPr="00B6039A">
        <w:rPr>
          <w:sz w:val="24"/>
          <w:szCs w:val="24"/>
        </w:rPr>
        <w:t>,</w:t>
      </w:r>
      <w:r w:rsidR="00B00A36" w:rsidRPr="00B6039A">
        <w:rPr>
          <w:rStyle w:val="FootnoteReference"/>
          <w:sz w:val="24"/>
          <w:szCs w:val="24"/>
        </w:rPr>
        <w:footnoteReference w:id="18"/>
      </w:r>
      <w:r w:rsidR="00B00A36" w:rsidRPr="00B6039A">
        <w:rPr>
          <w:sz w:val="24"/>
          <w:szCs w:val="24"/>
        </w:rPr>
        <w:t xml:space="preserve"> constituting approximately 14 percent of all children and young people aged 19 years and under. </w:t>
      </w:r>
      <w:r w:rsidR="00D46375" w:rsidRPr="00B6039A">
        <w:rPr>
          <w:sz w:val="24"/>
          <w:szCs w:val="24"/>
        </w:rPr>
        <w:t xml:space="preserve">In the WEAG’s </w:t>
      </w:r>
      <w:r w:rsidR="00B00A36" w:rsidRPr="00B6039A">
        <w:rPr>
          <w:sz w:val="24"/>
          <w:szCs w:val="24"/>
        </w:rPr>
        <w:t>second</w:t>
      </w:r>
      <w:r w:rsidRPr="00B6039A">
        <w:rPr>
          <w:sz w:val="24"/>
          <w:szCs w:val="24"/>
        </w:rPr>
        <w:t xml:space="preserve"> k</w:t>
      </w:r>
      <w:r w:rsidR="00B00A36" w:rsidRPr="00B6039A">
        <w:rPr>
          <w:sz w:val="24"/>
          <w:szCs w:val="24"/>
        </w:rPr>
        <w:t xml:space="preserve">ey </w:t>
      </w:r>
      <w:r w:rsidRPr="00B6039A">
        <w:rPr>
          <w:sz w:val="24"/>
          <w:szCs w:val="24"/>
        </w:rPr>
        <w:t>r</w:t>
      </w:r>
      <w:r w:rsidR="00B00A36" w:rsidRPr="00B6039A">
        <w:rPr>
          <w:sz w:val="24"/>
          <w:szCs w:val="24"/>
        </w:rPr>
        <w:t>ecommendation</w:t>
      </w:r>
      <w:r w:rsidR="00D46375" w:rsidRPr="00B6039A">
        <w:rPr>
          <w:sz w:val="24"/>
          <w:szCs w:val="24"/>
        </w:rPr>
        <w:t xml:space="preserve">, the principles to guide the design and operation of the welfare system include </w:t>
      </w:r>
      <w:r w:rsidR="00B00A36" w:rsidRPr="00B6039A">
        <w:rPr>
          <w:sz w:val="24"/>
          <w:szCs w:val="24"/>
        </w:rPr>
        <w:t>“keep children paramount”.</w:t>
      </w:r>
      <w:r w:rsidR="00B00A36" w:rsidRPr="00B6039A">
        <w:rPr>
          <w:rStyle w:val="FootnoteReference"/>
          <w:sz w:val="24"/>
          <w:szCs w:val="24"/>
        </w:rPr>
        <w:footnoteReference w:id="19"/>
      </w:r>
      <w:r w:rsidR="0062450B" w:rsidRPr="00B6039A">
        <w:rPr>
          <w:sz w:val="24"/>
          <w:szCs w:val="24"/>
        </w:rPr>
        <w:t xml:space="preserve"> </w:t>
      </w:r>
      <w:r w:rsidR="00D46375" w:rsidRPr="00B6039A">
        <w:rPr>
          <w:sz w:val="24"/>
          <w:szCs w:val="24"/>
        </w:rPr>
        <w:t xml:space="preserve">It is because </w:t>
      </w:r>
      <w:r w:rsidR="0062450B" w:rsidRPr="00B6039A">
        <w:rPr>
          <w:sz w:val="24"/>
          <w:szCs w:val="24"/>
        </w:rPr>
        <w:t xml:space="preserve">the welfare system </w:t>
      </w:r>
      <w:r w:rsidR="00D46375" w:rsidRPr="00B6039A">
        <w:rPr>
          <w:sz w:val="24"/>
          <w:szCs w:val="24"/>
        </w:rPr>
        <w:t xml:space="preserve">has such a significant impact on </w:t>
      </w:r>
      <w:r w:rsidR="0062450B" w:rsidRPr="00B6039A">
        <w:rPr>
          <w:sz w:val="24"/>
          <w:szCs w:val="24"/>
        </w:rPr>
        <w:t xml:space="preserve">the wellbeing of </w:t>
      </w:r>
      <w:r w:rsidR="00D46375" w:rsidRPr="00B6039A">
        <w:rPr>
          <w:sz w:val="24"/>
          <w:szCs w:val="24"/>
        </w:rPr>
        <w:t xml:space="preserve">so many </w:t>
      </w:r>
      <w:r w:rsidR="0062450B" w:rsidRPr="00B6039A">
        <w:rPr>
          <w:sz w:val="24"/>
          <w:szCs w:val="24"/>
        </w:rPr>
        <w:t xml:space="preserve">children that CPAG wishes to </w:t>
      </w:r>
      <w:r w:rsidR="00D46375" w:rsidRPr="00B6039A">
        <w:rPr>
          <w:sz w:val="24"/>
          <w:szCs w:val="24"/>
        </w:rPr>
        <w:t>chart the progress of the g</w:t>
      </w:r>
      <w:r w:rsidR="0062450B" w:rsidRPr="00B6039A">
        <w:rPr>
          <w:sz w:val="24"/>
          <w:szCs w:val="24"/>
        </w:rPr>
        <w:t>overnment in overhauling the welfare system.</w:t>
      </w:r>
    </w:p>
    <w:p w14:paraId="26D8D1F1" w14:textId="77777777" w:rsidR="00187D78" w:rsidRPr="00B6039A" w:rsidRDefault="00131018" w:rsidP="00D46375">
      <w:pPr>
        <w:pStyle w:val="Heading1"/>
        <w:spacing w:after="120" w:line="259" w:lineRule="auto"/>
        <w:ind w:left="0" w:firstLine="0"/>
        <w:rPr>
          <w:i/>
        </w:rPr>
      </w:pPr>
      <w:bookmarkStart w:id="12" w:name="_Toc57025845"/>
      <w:r w:rsidRPr="00B6039A">
        <w:t xml:space="preserve">The Coalition Government’s </w:t>
      </w:r>
      <w:r w:rsidR="00187D78" w:rsidRPr="00B6039A">
        <w:t xml:space="preserve">Response to </w:t>
      </w:r>
      <w:proofErr w:type="spellStart"/>
      <w:r w:rsidR="00187D78" w:rsidRPr="00B6039A">
        <w:rPr>
          <w:i/>
        </w:rPr>
        <w:t>Whakamana</w:t>
      </w:r>
      <w:proofErr w:type="spellEnd"/>
      <w:r w:rsidR="00187D78" w:rsidRPr="00B6039A">
        <w:rPr>
          <w:i/>
        </w:rPr>
        <w:t xml:space="preserve"> </w:t>
      </w:r>
      <w:proofErr w:type="spellStart"/>
      <w:r w:rsidR="00187D78" w:rsidRPr="00B6039A">
        <w:rPr>
          <w:i/>
        </w:rPr>
        <w:t>Tāngata</w:t>
      </w:r>
      <w:bookmarkEnd w:id="12"/>
      <w:proofErr w:type="spellEnd"/>
    </w:p>
    <w:p w14:paraId="266878EB" w14:textId="7245222A" w:rsidR="00020009" w:rsidRPr="00B6039A" w:rsidRDefault="004F4196" w:rsidP="00020009">
      <w:pPr>
        <w:spacing w:after="120" w:line="259" w:lineRule="auto"/>
        <w:ind w:left="0" w:firstLine="0"/>
        <w:rPr>
          <w:sz w:val="24"/>
          <w:szCs w:val="24"/>
        </w:rPr>
      </w:pPr>
      <w:r w:rsidRPr="00B6039A">
        <w:rPr>
          <w:sz w:val="24"/>
          <w:szCs w:val="24"/>
        </w:rPr>
        <w:t xml:space="preserve">The Minister for Social Development, Carmel </w:t>
      </w:r>
      <w:proofErr w:type="spellStart"/>
      <w:r w:rsidRPr="00B6039A">
        <w:rPr>
          <w:sz w:val="24"/>
          <w:szCs w:val="24"/>
        </w:rPr>
        <w:t>Sepuloni</w:t>
      </w:r>
      <w:proofErr w:type="spellEnd"/>
      <w:r w:rsidRPr="00B6039A">
        <w:rPr>
          <w:sz w:val="24"/>
          <w:szCs w:val="24"/>
        </w:rPr>
        <w:t xml:space="preserve">, publicly released </w:t>
      </w:r>
      <w:proofErr w:type="spellStart"/>
      <w:r w:rsidRPr="00B6039A">
        <w:rPr>
          <w:i/>
          <w:iCs/>
          <w:sz w:val="24"/>
          <w:szCs w:val="24"/>
        </w:rPr>
        <w:t>Whakamana</w:t>
      </w:r>
      <w:proofErr w:type="spellEnd"/>
      <w:r w:rsidRPr="00B6039A">
        <w:rPr>
          <w:i/>
          <w:iCs/>
          <w:sz w:val="24"/>
          <w:szCs w:val="24"/>
        </w:rPr>
        <w:t xml:space="preserve"> </w:t>
      </w:r>
      <w:proofErr w:type="spellStart"/>
      <w:r w:rsidRPr="00B6039A">
        <w:rPr>
          <w:i/>
          <w:iCs/>
          <w:sz w:val="24"/>
          <w:szCs w:val="24"/>
        </w:rPr>
        <w:t>Tāngata</w:t>
      </w:r>
      <w:proofErr w:type="spellEnd"/>
      <w:r w:rsidRPr="00B6039A">
        <w:rPr>
          <w:sz w:val="24"/>
          <w:szCs w:val="24"/>
        </w:rPr>
        <w:t xml:space="preserve"> </w:t>
      </w:r>
      <w:r w:rsidR="00BA4FF5" w:rsidRPr="00B6039A">
        <w:rPr>
          <w:sz w:val="24"/>
          <w:szCs w:val="24"/>
        </w:rPr>
        <w:t xml:space="preserve">on 3 </w:t>
      </w:r>
      <w:r w:rsidR="005F7B54" w:rsidRPr="00B6039A">
        <w:rPr>
          <w:sz w:val="24"/>
          <w:szCs w:val="24"/>
        </w:rPr>
        <w:t>May</w:t>
      </w:r>
      <w:r w:rsidR="00281ADF" w:rsidRPr="00B6039A">
        <w:rPr>
          <w:sz w:val="24"/>
          <w:szCs w:val="24"/>
        </w:rPr>
        <w:t xml:space="preserve"> 2019</w:t>
      </w:r>
      <w:r w:rsidR="00DF3535" w:rsidRPr="00B6039A">
        <w:rPr>
          <w:sz w:val="24"/>
          <w:szCs w:val="24"/>
        </w:rPr>
        <w:t xml:space="preserve">, assisted by Minister for Children Tracey Martin (NZ First) and Greens Co-Leader </w:t>
      </w:r>
      <w:proofErr w:type="spellStart"/>
      <w:r w:rsidR="00DF3535" w:rsidRPr="00B6039A">
        <w:rPr>
          <w:sz w:val="24"/>
          <w:szCs w:val="24"/>
        </w:rPr>
        <w:t>Marama</w:t>
      </w:r>
      <w:proofErr w:type="spellEnd"/>
      <w:r w:rsidR="00DF3535" w:rsidRPr="00B6039A">
        <w:rPr>
          <w:sz w:val="24"/>
          <w:szCs w:val="24"/>
        </w:rPr>
        <w:t xml:space="preserve"> Davidson, at Hub West in Auckland. </w:t>
      </w:r>
      <w:r w:rsidR="0088232B" w:rsidRPr="00B6039A">
        <w:rPr>
          <w:sz w:val="24"/>
          <w:szCs w:val="24"/>
        </w:rPr>
        <w:t>At the event</w:t>
      </w:r>
      <w:r w:rsidR="00DF3535" w:rsidRPr="00B6039A">
        <w:rPr>
          <w:sz w:val="24"/>
          <w:szCs w:val="24"/>
        </w:rPr>
        <w:t xml:space="preserve"> </w:t>
      </w:r>
      <w:proofErr w:type="spellStart"/>
      <w:r w:rsidR="00DF3535" w:rsidRPr="00B6039A">
        <w:rPr>
          <w:sz w:val="24"/>
          <w:szCs w:val="24"/>
        </w:rPr>
        <w:t>Sepuloni</w:t>
      </w:r>
      <w:proofErr w:type="spellEnd"/>
      <w:r w:rsidR="00DF3535" w:rsidRPr="00B6039A">
        <w:rPr>
          <w:sz w:val="24"/>
          <w:szCs w:val="24"/>
        </w:rPr>
        <w:t xml:space="preserve"> </w:t>
      </w:r>
      <w:r w:rsidRPr="00B6039A">
        <w:rPr>
          <w:sz w:val="24"/>
          <w:szCs w:val="24"/>
        </w:rPr>
        <w:t xml:space="preserve">made </w:t>
      </w:r>
      <w:r w:rsidR="00D40C3F" w:rsidRPr="00B6039A">
        <w:rPr>
          <w:sz w:val="24"/>
          <w:szCs w:val="24"/>
        </w:rPr>
        <w:t>only minor pre</w:t>
      </w:r>
      <w:r w:rsidR="00281ADF" w:rsidRPr="00B6039A">
        <w:rPr>
          <w:sz w:val="24"/>
          <w:szCs w:val="24"/>
        </w:rPr>
        <w:t>-</w:t>
      </w:r>
      <w:r w:rsidR="00BE5149" w:rsidRPr="00B6039A">
        <w:rPr>
          <w:sz w:val="24"/>
          <w:szCs w:val="24"/>
        </w:rPr>
        <w:t>201</w:t>
      </w:r>
      <w:r w:rsidR="00116663" w:rsidRPr="00B6039A">
        <w:rPr>
          <w:sz w:val="24"/>
          <w:szCs w:val="24"/>
        </w:rPr>
        <w:t>9</w:t>
      </w:r>
      <w:r w:rsidR="00BE5149" w:rsidRPr="00B6039A">
        <w:rPr>
          <w:sz w:val="24"/>
          <w:szCs w:val="24"/>
        </w:rPr>
        <w:t xml:space="preserve"> </w:t>
      </w:r>
      <w:r w:rsidR="00281ADF" w:rsidRPr="00B6039A">
        <w:rPr>
          <w:sz w:val="24"/>
          <w:szCs w:val="24"/>
        </w:rPr>
        <w:t>B</w:t>
      </w:r>
      <w:r w:rsidR="00D40C3F" w:rsidRPr="00B6039A">
        <w:rPr>
          <w:sz w:val="24"/>
          <w:szCs w:val="24"/>
        </w:rPr>
        <w:t>udget</w:t>
      </w:r>
      <w:r w:rsidRPr="00B6039A">
        <w:rPr>
          <w:sz w:val="24"/>
          <w:szCs w:val="24"/>
        </w:rPr>
        <w:t xml:space="preserve"> WEAG-related announcements,</w:t>
      </w:r>
      <w:r w:rsidR="00140CE9" w:rsidRPr="00B6039A">
        <w:rPr>
          <w:rStyle w:val="FootnoteReference"/>
          <w:sz w:val="24"/>
          <w:szCs w:val="24"/>
        </w:rPr>
        <w:footnoteReference w:id="20"/>
      </w:r>
      <w:r w:rsidRPr="00B6039A">
        <w:rPr>
          <w:sz w:val="24"/>
          <w:szCs w:val="24"/>
        </w:rPr>
        <w:t xml:space="preserve"> one of which </w:t>
      </w:r>
      <w:r w:rsidR="00020009" w:rsidRPr="00B6039A">
        <w:rPr>
          <w:sz w:val="24"/>
          <w:szCs w:val="24"/>
        </w:rPr>
        <w:t xml:space="preserve">was a reiteration of an earlier pre-2017-election Labour promise </w:t>
      </w:r>
      <w:r w:rsidR="00DF3535" w:rsidRPr="00B6039A">
        <w:rPr>
          <w:sz w:val="24"/>
          <w:szCs w:val="24"/>
        </w:rPr>
        <w:t>(the removal of sanctions for not naming the co-parent)</w:t>
      </w:r>
      <w:r w:rsidRPr="00B6039A">
        <w:rPr>
          <w:sz w:val="24"/>
          <w:szCs w:val="24"/>
        </w:rPr>
        <w:t xml:space="preserve">. Altogether, the </w:t>
      </w:r>
      <w:r w:rsidR="00FA64C2" w:rsidRPr="00B6039A">
        <w:rPr>
          <w:sz w:val="24"/>
          <w:szCs w:val="24"/>
        </w:rPr>
        <w:t xml:space="preserve">government’s </w:t>
      </w:r>
      <w:r w:rsidRPr="00B6039A">
        <w:rPr>
          <w:sz w:val="24"/>
          <w:szCs w:val="24"/>
        </w:rPr>
        <w:t xml:space="preserve">three </w:t>
      </w:r>
      <w:r w:rsidR="00FA64C2" w:rsidRPr="00B6039A">
        <w:rPr>
          <w:sz w:val="24"/>
          <w:szCs w:val="24"/>
        </w:rPr>
        <w:t xml:space="preserve">WEAG launch </w:t>
      </w:r>
      <w:r w:rsidRPr="00B6039A">
        <w:rPr>
          <w:sz w:val="24"/>
          <w:szCs w:val="24"/>
        </w:rPr>
        <w:t xml:space="preserve">announcements amounted </w:t>
      </w:r>
      <w:r w:rsidR="00D46375" w:rsidRPr="00B6039A">
        <w:rPr>
          <w:sz w:val="24"/>
          <w:szCs w:val="24"/>
        </w:rPr>
        <w:t xml:space="preserve">to </w:t>
      </w:r>
      <w:r w:rsidRPr="00B6039A">
        <w:rPr>
          <w:sz w:val="24"/>
          <w:szCs w:val="24"/>
        </w:rPr>
        <w:t xml:space="preserve">a spend that was noted later to be </w:t>
      </w:r>
      <w:r w:rsidR="00D46375" w:rsidRPr="00B6039A">
        <w:rPr>
          <w:sz w:val="24"/>
          <w:szCs w:val="24"/>
        </w:rPr>
        <w:t xml:space="preserve">roughly one percent </w:t>
      </w:r>
      <w:r w:rsidRPr="00B6039A">
        <w:rPr>
          <w:sz w:val="24"/>
          <w:szCs w:val="24"/>
        </w:rPr>
        <w:t xml:space="preserve">of the WEAG’s </w:t>
      </w:r>
      <w:r w:rsidRPr="00B6039A">
        <w:rPr>
          <w:sz w:val="24"/>
          <w:szCs w:val="24"/>
        </w:rPr>
        <w:lastRenderedPageBreak/>
        <w:t>recommended total spend.</w:t>
      </w:r>
      <w:r w:rsidRPr="00B6039A">
        <w:rPr>
          <w:rStyle w:val="FootnoteReference"/>
          <w:sz w:val="24"/>
          <w:szCs w:val="24"/>
        </w:rPr>
        <w:footnoteReference w:id="21"/>
      </w:r>
      <w:r w:rsidR="006A4B28" w:rsidRPr="00B6039A">
        <w:rPr>
          <w:sz w:val="24"/>
          <w:szCs w:val="24"/>
        </w:rPr>
        <w:t xml:space="preserve"> </w:t>
      </w:r>
      <w:r w:rsidR="00020009" w:rsidRPr="00B6039A">
        <w:rPr>
          <w:sz w:val="24"/>
          <w:szCs w:val="24"/>
        </w:rPr>
        <w:t xml:space="preserve">Since then, </w:t>
      </w:r>
      <w:r w:rsidR="00821164" w:rsidRPr="00B6039A">
        <w:rPr>
          <w:sz w:val="24"/>
          <w:szCs w:val="24"/>
        </w:rPr>
        <w:t xml:space="preserve">the government’s </w:t>
      </w:r>
      <w:r w:rsidR="00020009" w:rsidRPr="00B6039A">
        <w:rPr>
          <w:sz w:val="24"/>
          <w:szCs w:val="24"/>
        </w:rPr>
        <w:t xml:space="preserve">Covid-19 </w:t>
      </w:r>
      <w:r w:rsidR="00821164" w:rsidRPr="00B6039A">
        <w:rPr>
          <w:sz w:val="24"/>
          <w:szCs w:val="24"/>
        </w:rPr>
        <w:t xml:space="preserve">response </w:t>
      </w:r>
      <w:r w:rsidR="00020009" w:rsidRPr="00B6039A">
        <w:rPr>
          <w:sz w:val="24"/>
          <w:szCs w:val="24"/>
        </w:rPr>
        <w:t xml:space="preserve">in 2020 </w:t>
      </w:r>
      <w:r w:rsidR="00821164" w:rsidRPr="00B6039A">
        <w:rPr>
          <w:sz w:val="24"/>
          <w:szCs w:val="24"/>
        </w:rPr>
        <w:t xml:space="preserve">included </w:t>
      </w:r>
      <w:r w:rsidR="00020009" w:rsidRPr="00B6039A">
        <w:rPr>
          <w:sz w:val="24"/>
          <w:szCs w:val="24"/>
        </w:rPr>
        <w:t xml:space="preserve">some further stopgap measures, which are </w:t>
      </w:r>
      <w:r w:rsidR="00821164" w:rsidRPr="00B6039A">
        <w:rPr>
          <w:sz w:val="24"/>
          <w:szCs w:val="24"/>
        </w:rPr>
        <w:t xml:space="preserve">noted </w:t>
      </w:r>
      <w:r w:rsidR="00020009" w:rsidRPr="00B6039A">
        <w:rPr>
          <w:sz w:val="24"/>
          <w:szCs w:val="24"/>
        </w:rPr>
        <w:t>in our audit below</w:t>
      </w:r>
      <w:r w:rsidR="00821164" w:rsidRPr="00B6039A">
        <w:rPr>
          <w:sz w:val="24"/>
          <w:szCs w:val="24"/>
        </w:rPr>
        <w:t xml:space="preserve">. However </w:t>
      </w:r>
      <w:r w:rsidR="00020009" w:rsidRPr="00B6039A">
        <w:rPr>
          <w:sz w:val="24"/>
          <w:szCs w:val="24"/>
        </w:rPr>
        <w:t>as we highlight, many of these are minor and/or temporary measures.</w:t>
      </w:r>
    </w:p>
    <w:p w14:paraId="4786680A" w14:textId="06641F2F" w:rsidR="00CE2477" w:rsidRPr="00B6039A" w:rsidRDefault="00447D06" w:rsidP="00FF6FA8">
      <w:pPr>
        <w:spacing w:line="259" w:lineRule="auto"/>
        <w:ind w:left="0" w:firstLine="0"/>
        <w:rPr>
          <w:sz w:val="24"/>
          <w:szCs w:val="24"/>
        </w:rPr>
      </w:pPr>
      <w:r w:rsidRPr="00B6039A">
        <w:rPr>
          <w:sz w:val="24"/>
          <w:szCs w:val="24"/>
        </w:rPr>
        <w:t>A summary</w:t>
      </w:r>
      <w:r w:rsidR="00281ADF" w:rsidRPr="00B6039A">
        <w:rPr>
          <w:sz w:val="24"/>
          <w:szCs w:val="24"/>
        </w:rPr>
        <w:t xml:space="preserve"> of progress </w:t>
      </w:r>
      <w:r w:rsidR="00423D76" w:rsidRPr="00B6039A">
        <w:rPr>
          <w:sz w:val="24"/>
          <w:szCs w:val="24"/>
        </w:rPr>
        <w:t>on</w:t>
      </w:r>
      <w:r w:rsidR="00281ADF" w:rsidRPr="00B6039A">
        <w:rPr>
          <w:sz w:val="24"/>
          <w:szCs w:val="24"/>
        </w:rPr>
        <w:t xml:space="preserve"> implementation of </w:t>
      </w:r>
      <w:r w:rsidR="00821164" w:rsidRPr="00B6039A">
        <w:rPr>
          <w:sz w:val="24"/>
          <w:szCs w:val="24"/>
        </w:rPr>
        <w:t>k</w:t>
      </w:r>
      <w:r w:rsidR="00281ADF" w:rsidRPr="00B6039A">
        <w:rPr>
          <w:sz w:val="24"/>
          <w:szCs w:val="24"/>
        </w:rPr>
        <w:t xml:space="preserve">ey and </w:t>
      </w:r>
      <w:r w:rsidR="00821164" w:rsidRPr="00B6039A">
        <w:rPr>
          <w:sz w:val="24"/>
          <w:szCs w:val="24"/>
        </w:rPr>
        <w:t>d</w:t>
      </w:r>
      <w:r w:rsidR="00281ADF" w:rsidRPr="00B6039A">
        <w:rPr>
          <w:sz w:val="24"/>
          <w:szCs w:val="24"/>
        </w:rPr>
        <w:t xml:space="preserve">etailed </w:t>
      </w:r>
      <w:r w:rsidR="00821164" w:rsidRPr="00B6039A">
        <w:rPr>
          <w:sz w:val="24"/>
          <w:szCs w:val="24"/>
        </w:rPr>
        <w:t>r</w:t>
      </w:r>
      <w:r w:rsidR="00281ADF" w:rsidRPr="00B6039A">
        <w:rPr>
          <w:sz w:val="24"/>
          <w:szCs w:val="24"/>
        </w:rPr>
        <w:t>ecommendations as of October 2020</w:t>
      </w:r>
      <w:r w:rsidRPr="00B6039A">
        <w:rPr>
          <w:sz w:val="24"/>
          <w:szCs w:val="24"/>
        </w:rPr>
        <w:t xml:space="preserve"> is provided</w:t>
      </w:r>
      <w:r w:rsidR="000370EE" w:rsidRPr="00B6039A">
        <w:rPr>
          <w:sz w:val="24"/>
          <w:szCs w:val="24"/>
        </w:rPr>
        <w:t xml:space="preserve"> in Table 1</w:t>
      </w:r>
      <w:r w:rsidR="00281ADF" w:rsidRPr="00B6039A">
        <w:rPr>
          <w:sz w:val="24"/>
          <w:szCs w:val="24"/>
        </w:rPr>
        <w:t xml:space="preserve">, with a more </w:t>
      </w:r>
      <w:r w:rsidR="000370EE" w:rsidRPr="00B6039A">
        <w:rPr>
          <w:sz w:val="24"/>
          <w:szCs w:val="24"/>
        </w:rPr>
        <w:t>detailed assessment in Tables</w:t>
      </w:r>
      <w:r w:rsidR="0029286F" w:rsidRPr="00B6039A">
        <w:rPr>
          <w:sz w:val="24"/>
          <w:szCs w:val="24"/>
        </w:rPr>
        <w:t xml:space="preserve"> 2 &amp;</w:t>
      </w:r>
      <w:r w:rsidR="000370EE" w:rsidRPr="00B6039A">
        <w:rPr>
          <w:sz w:val="24"/>
          <w:szCs w:val="24"/>
        </w:rPr>
        <w:t xml:space="preserve"> </w:t>
      </w:r>
      <w:r w:rsidR="0029286F" w:rsidRPr="00B6039A">
        <w:rPr>
          <w:sz w:val="24"/>
          <w:szCs w:val="24"/>
        </w:rPr>
        <w:t>3</w:t>
      </w:r>
      <w:r w:rsidR="00281ADF" w:rsidRPr="00B6039A">
        <w:rPr>
          <w:sz w:val="24"/>
          <w:szCs w:val="24"/>
        </w:rPr>
        <w:t xml:space="preserve"> </w:t>
      </w:r>
      <w:r w:rsidR="00B83B96" w:rsidRPr="00B6039A">
        <w:rPr>
          <w:sz w:val="24"/>
          <w:szCs w:val="24"/>
        </w:rPr>
        <w:t xml:space="preserve">(Key Recommendations) </w:t>
      </w:r>
      <w:r w:rsidR="00281ADF" w:rsidRPr="00B6039A">
        <w:rPr>
          <w:sz w:val="24"/>
          <w:szCs w:val="24"/>
        </w:rPr>
        <w:t>and</w:t>
      </w:r>
      <w:r w:rsidR="00B61FE1" w:rsidRPr="00B6039A">
        <w:rPr>
          <w:sz w:val="24"/>
          <w:szCs w:val="24"/>
        </w:rPr>
        <w:t xml:space="preserve"> </w:t>
      </w:r>
      <w:r w:rsidR="0029286F" w:rsidRPr="00B6039A">
        <w:rPr>
          <w:sz w:val="24"/>
          <w:szCs w:val="24"/>
        </w:rPr>
        <w:t>4</w:t>
      </w:r>
      <w:r w:rsidR="00B83B96" w:rsidRPr="00B6039A">
        <w:rPr>
          <w:sz w:val="24"/>
          <w:szCs w:val="24"/>
        </w:rPr>
        <w:t xml:space="preserve"> (Detailed Recommendations)</w:t>
      </w:r>
      <w:r w:rsidR="00281ADF" w:rsidRPr="00B6039A">
        <w:rPr>
          <w:sz w:val="24"/>
          <w:szCs w:val="24"/>
        </w:rPr>
        <w:t>.</w:t>
      </w:r>
      <w:r w:rsidR="007B512A" w:rsidRPr="00B6039A">
        <w:rPr>
          <w:sz w:val="24"/>
          <w:szCs w:val="24"/>
        </w:rPr>
        <w:t xml:space="preserve"> </w:t>
      </w:r>
      <w:r w:rsidR="00AD0C1F" w:rsidRPr="00B6039A">
        <w:rPr>
          <w:sz w:val="24"/>
          <w:szCs w:val="24"/>
        </w:rPr>
        <w:t>We acknowledge that our audit can only account for</w:t>
      </w:r>
      <w:r w:rsidR="009A105A" w:rsidRPr="00B6039A">
        <w:rPr>
          <w:sz w:val="24"/>
          <w:szCs w:val="24"/>
        </w:rPr>
        <w:t xml:space="preserve"> evidence of implementation which is in the public domain, and that in some instances, work </w:t>
      </w:r>
      <w:r w:rsidR="00B2730C" w:rsidRPr="00B6039A">
        <w:rPr>
          <w:sz w:val="24"/>
          <w:szCs w:val="24"/>
        </w:rPr>
        <w:t xml:space="preserve">to implement the WEAG’s recommendations </w:t>
      </w:r>
      <w:r w:rsidR="009A105A" w:rsidRPr="00B6039A">
        <w:rPr>
          <w:sz w:val="24"/>
          <w:szCs w:val="24"/>
        </w:rPr>
        <w:t xml:space="preserve">will be underway that is not yet </w:t>
      </w:r>
      <w:r w:rsidR="00B2730C" w:rsidRPr="00B6039A">
        <w:rPr>
          <w:sz w:val="24"/>
          <w:szCs w:val="24"/>
        </w:rPr>
        <w:t>documented publicly</w:t>
      </w:r>
      <w:r w:rsidR="00423D76" w:rsidRPr="00B6039A">
        <w:rPr>
          <w:sz w:val="24"/>
          <w:szCs w:val="24"/>
        </w:rPr>
        <w:t xml:space="preserve"> </w:t>
      </w:r>
      <w:r w:rsidR="0077688F" w:rsidRPr="00B6039A">
        <w:rPr>
          <w:sz w:val="24"/>
          <w:szCs w:val="24"/>
        </w:rPr>
        <w:t xml:space="preserve">(for instance, </w:t>
      </w:r>
      <w:r w:rsidR="00821164" w:rsidRPr="00B6039A">
        <w:rPr>
          <w:sz w:val="24"/>
          <w:szCs w:val="24"/>
        </w:rPr>
        <w:t xml:space="preserve">Minister </w:t>
      </w:r>
      <w:proofErr w:type="spellStart"/>
      <w:r w:rsidR="00483B95" w:rsidRPr="00B6039A">
        <w:rPr>
          <w:sz w:val="24"/>
          <w:szCs w:val="24"/>
        </w:rPr>
        <w:t>Sepuloni’s</w:t>
      </w:r>
      <w:proofErr w:type="spellEnd"/>
      <w:r w:rsidR="00483B95" w:rsidRPr="00B6039A">
        <w:rPr>
          <w:sz w:val="24"/>
          <w:szCs w:val="24"/>
        </w:rPr>
        <w:t xml:space="preserve"> office </w:t>
      </w:r>
      <w:r w:rsidR="00423D76" w:rsidRPr="00B6039A">
        <w:rPr>
          <w:sz w:val="24"/>
          <w:szCs w:val="24"/>
        </w:rPr>
        <w:t xml:space="preserve">on 9 October 2020 </w:t>
      </w:r>
      <w:r w:rsidR="00483B95" w:rsidRPr="00B6039A">
        <w:rPr>
          <w:sz w:val="24"/>
          <w:szCs w:val="24"/>
        </w:rPr>
        <w:t xml:space="preserve">advised </w:t>
      </w:r>
      <w:r w:rsidR="00423D76" w:rsidRPr="00B6039A">
        <w:rPr>
          <w:sz w:val="24"/>
          <w:szCs w:val="24"/>
        </w:rPr>
        <w:t>that “</w:t>
      </w:r>
      <w:r w:rsidR="00423D76" w:rsidRPr="00B6039A">
        <w:rPr>
          <w:rFonts w:ascii="Calibri" w:hAnsi="Calibri" w:cs="Calibri"/>
          <w:i/>
          <w:sz w:val="24"/>
          <w:szCs w:val="24"/>
          <w:shd w:val="clear" w:color="auto" w:fill="FFFFFF"/>
        </w:rPr>
        <w:t>currently work is already underway to address around 22 recommendations from the Welfare Expert Advisory Group”</w:t>
      </w:r>
      <w:r w:rsidR="00423D76" w:rsidRPr="00B6039A">
        <w:rPr>
          <w:rStyle w:val="FootnoteReference"/>
          <w:rFonts w:ascii="Calibri" w:hAnsi="Calibri" w:cs="Calibri"/>
          <w:i/>
          <w:sz w:val="24"/>
          <w:szCs w:val="24"/>
          <w:shd w:val="clear" w:color="auto" w:fill="FFFFFF"/>
        </w:rPr>
        <w:footnoteReference w:id="22"/>
      </w:r>
      <w:r w:rsidR="0077688F" w:rsidRPr="00B6039A">
        <w:rPr>
          <w:rFonts w:ascii="Calibri" w:hAnsi="Calibri" w:cs="Calibri"/>
          <w:sz w:val="24"/>
          <w:szCs w:val="24"/>
          <w:shd w:val="clear" w:color="auto" w:fill="FFFFFF"/>
        </w:rPr>
        <w:t>)</w:t>
      </w:r>
      <w:r w:rsidR="00B2730C" w:rsidRPr="00B6039A">
        <w:rPr>
          <w:sz w:val="24"/>
          <w:szCs w:val="24"/>
        </w:rPr>
        <w:t xml:space="preserve">. </w:t>
      </w:r>
      <w:r w:rsidR="00483B95" w:rsidRPr="00B6039A">
        <w:rPr>
          <w:sz w:val="24"/>
          <w:szCs w:val="24"/>
        </w:rPr>
        <w:t>B</w:t>
      </w:r>
      <w:r w:rsidR="00423D76" w:rsidRPr="00B6039A">
        <w:rPr>
          <w:sz w:val="24"/>
          <w:szCs w:val="24"/>
        </w:rPr>
        <w:t xml:space="preserve">ecause of the </w:t>
      </w:r>
      <w:r w:rsidR="00821164" w:rsidRPr="00B6039A">
        <w:rPr>
          <w:sz w:val="24"/>
          <w:szCs w:val="24"/>
        </w:rPr>
        <w:t xml:space="preserve">significant impact of welfare on </w:t>
      </w:r>
      <w:r w:rsidR="00423D76" w:rsidRPr="00B6039A">
        <w:rPr>
          <w:sz w:val="24"/>
          <w:szCs w:val="24"/>
        </w:rPr>
        <w:t>people’s lives,</w:t>
      </w:r>
      <w:r w:rsidR="00B2730C" w:rsidRPr="00B6039A">
        <w:rPr>
          <w:sz w:val="24"/>
          <w:szCs w:val="24"/>
        </w:rPr>
        <w:t xml:space="preserve"> we call on the </w:t>
      </w:r>
      <w:r w:rsidR="000257B9" w:rsidRPr="00B6039A">
        <w:rPr>
          <w:sz w:val="24"/>
          <w:szCs w:val="24"/>
        </w:rPr>
        <w:t xml:space="preserve">current </w:t>
      </w:r>
      <w:r w:rsidR="00821164" w:rsidRPr="00B6039A">
        <w:rPr>
          <w:sz w:val="24"/>
          <w:szCs w:val="24"/>
        </w:rPr>
        <w:t>g</w:t>
      </w:r>
      <w:r w:rsidR="00B2730C" w:rsidRPr="00B6039A">
        <w:rPr>
          <w:sz w:val="24"/>
          <w:szCs w:val="24"/>
        </w:rPr>
        <w:t xml:space="preserve">overnment to </w:t>
      </w:r>
      <w:r w:rsidR="00423D76" w:rsidRPr="00B6039A">
        <w:rPr>
          <w:sz w:val="24"/>
          <w:szCs w:val="24"/>
        </w:rPr>
        <w:t>describe</w:t>
      </w:r>
      <w:r w:rsidR="00B2730C" w:rsidRPr="00B6039A">
        <w:rPr>
          <w:sz w:val="24"/>
          <w:szCs w:val="24"/>
        </w:rPr>
        <w:t xml:space="preserve"> the</w:t>
      </w:r>
      <w:r w:rsidR="00423D76" w:rsidRPr="00B6039A">
        <w:rPr>
          <w:sz w:val="24"/>
          <w:szCs w:val="24"/>
        </w:rPr>
        <w:t xml:space="preserve"> work which is underway </w:t>
      </w:r>
      <w:r w:rsidR="00821164" w:rsidRPr="00B6039A">
        <w:rPr>
          <w:sz w:val="24"/>
          <w:szCs w:val="24"/>
        </w:rPr>
        <w:t xml:space="preserve">in more detail, </w:t>
      </w:r>
      <w:r w:rsidR="00423D76" w:rsidRPr="00B6039A">
        <w:rPr>
          <w:sz w:val="24"/>
          <w:szCs w:val="24"/>
        </w:rPr>
        <w:t xml:space="preserve">and </w:t>
      </w:r>
      <w:r w:rsidR="00821164" w:rsidRPr="00B6039A">
        <w:rPr>
          <w:sz w:val="24"/>
          <w:szCs w:val="24"/>
        </w:rPr>
        <w:t>to state its planned imple</w:t>
      </w:r>
      <w:r w:rsidR="000257B9" w:rsidRPr="00B6039A">
        <w:rPr>
          <w:sz w:val="24"/>
          <w:szCs w:val="24"/>
        </w:rPr>
        <w:t>men</w:t>
      </w:r>
      <w:r w:rsidR="00821164" w:rsidRPr="00B6039A">
        <w:rPr>
          <w:sz w:val="24"/>
          <w:szCs w:val="24"/>
        </w:rPr>
        <w:t>tation schedule</w:t>
      </w:r>
      <w:r w:rsidR="00B2730C" w:rsidRPr="00B6039A">
        <w:rPr>
          <w:sz w:val="24"/>
          <w:szCs w:val="24"/>
        </w:rPr>
        <w:t xml:space="preserve">. </w:t>
      </w:r>
    </w:p>
    <w:p w14:paraId="210EFA6E" w14:textId="77777777" w:rsidR="002665DA" w:rsidRPr="00B6039A" w:rsidRDefault="002665DA" w:rsidP="00FF6FA8">
      <w:pPr>
        <w:spacing w:line="259" w:lineRule="auto"/>
        <w:ind w:left="0" w:firstLine="0"/>
        <w:rPr>
          <w:sz w:val="24"/>
          <w:szCs w:val="24"/>
        </w:rPr>
      </w:pPr>
    </w:p>
    <w:p w14:paraId="56AA131E" w14:textId="3861983F" w:rsidR="00503CCD" w:rsidRPr="00B6039A" w:rsidRDefault="00503CCD" w:rsidP="00FF6FA8">
      <w:pPr>
        <w:pStyle w:val="Caption"/>
        <w:keepNext/>
        <w:spacing w:line="259" w:lineRule="auto"/>
        <w:rPr>
          <w:sz w:val="20"/>
          <w:szCs w:val="20"/>
        </w:rPr>
      </w:pPr>
      <w:r w:rsidRPr="00B6039A">
        <w:rPr>
          <w:sz w:val="20"/>
          <w:szCs w:val="20"/>
        </w:rPr>
        <w:t xml:space="preserve">Table </w:t>
      </w:r>
      <w:r w:rsidR="00326641" w:rsidRPr="00B6039A">
        <w:rPr>
          <w:noProof/>
          <w:sz w:val="20"/>
          <w:szCs w:val="20"/>
        </w:rPr>
        <w:fldChar w:fldCharType="begin"/>
      </w:r>
      <w:r w:rsidR="00326641" w:rsidRPr="00B6039A">
        <w:rPr>
          <w:noProof/>
          <w:sz w:val="20"/>
          <w:szCs w:val="20"/>
        </w:rPr>
        <w:instrText xml:space="preserve"> SEQ Table \* ARABIC </w:instrText>
      </w:r>
      <w:r w:rsidR="00326641" w:rsidRPr="00B6039A">
        <w:rPr>
          <w:noProof/>
          <w:sz w:val="20"/>
          <w:szCs w:val="20"/>
        </w:rPr>
        <w:fldChar w:fldCharType="separate"/>
      </w:r>
      <w:r w:rsidR="00E145F6" w:rsidRPr="00B6039A">
        <w:rPr>
          <w:noProof/>
          <w:sz w:val="20"/>
          <w:szCs w:val="20"/>
        </w:rPr>
        <w:t>1</w:t>
      </w:r>
      <w:r w:rsidR="00326641" w:rsidRPr="00B6039A">
        <w:rPr>
          <w:noProof/>
          <w:sz w:val="20"/>
          <w:szCs w:val="20"/>
        </w:rPr>
        <w:fldChar w:fldCharType="end"/>
      </w:r>
      <w:r w:rsidRPr="00B6039A">
        <w:rPr>
          <w:sz w:val="20"/>
          <w:szCs w:val="20"/>
        </w:rPr>
        <w:t xml:space="preserve">: </w:t>
      </w:r>
      <w:r w:rsidR="00281ADF" w:rsidRPr="00B6039A">
        <w:rPr>
          <w:sz w:val="20"/>
          <w:szCs w:val="20"/>
        </w:rPr>
        <w:t xml:space="preserve">Summary of implementation progress </w:t>
      </w:r>
      <w:r w:rsidRPr="00B6039A">
        <w:rPr>
          <w:sz w:val="20"/>
          <w:szCs w:val="20"/>
        </w:rPr>
        <w:t xml:space="preserve">of </w:t>
      </w:r>
      <w:proofErr w:type="spellStart"/>
      <w:r w:rsidRPr="00B6039A">
        <w:rPr>
          <w:i w:val="0"/>
          <w:iCs w:val="0"/>
          <w:sz w:val="20"/>
          <w:szCs w:val="20"/>
        </w:rPr>
        <w:t>Whakamana</w:t>
      </w:r>
      <w:proofErr w:type="spellEnd"/>
      <w:r w:rsidRPr="00B6039A">
        <w:rPr>
          <w:i w:val="0"/>
          <w:iCs w:val="0"/>
          <w:sz w:val="20"/>
          <w:szCs w:val="20"/>
        </w:rPr>
        <w:t xml:space="preserve"> </w:t>
      </w:r>
      <w:proofErr w:type="spellStart"/>
      <w:r w:rsidRPr="00B6039A">
        <w:rPr>
          <w:i w:val="0"/>
          <w:iCs w:val="0"/>
          <w:sz w:val="20"/>
          <w:szCs w:val="20"/>
        </w:rPr>
        <w:t>Tāngata</w:t>
      </w:r>
      <w:proofErr w:type="spellEnd"/>
      <w:r w:rsidRPr="00B6039A">
        <w:rPr>
          <w:sz w:val="20"/>
          <w:szCs w:val="20"/>
        </w:rPr>
        <w:t xml:space="preserve"> </w:t>
      </w:r>
      <w:r w:rsidR="00F47B97" w:rsidRPr="00B6039A">
        <w:rPr>
          <w:sz w:val="20"/>
          <w:szCs w:val="20"/>
        </w:rPr>
        <w:t xml:space="preserve">recommendations </w:t>
      </w:r>
      <w:r w:rsidRPr="00B6039A">
        <w:rPr>
          <w:sz w:val="20"/>
          <w:szCs w:val="20"/>
        </w:rPr>
        <w:t>as of October 2020</w:t>
      </w:r>
    </w:p>
    <w:tbl>
      <w:tblPr>
        <w:tblStyle w:val="TableGrid"/>
        <w:tblW w:w="0" w:type="auto"/>
        <w:tblLook w:val="04A0" w:firstRow="1" w:lastRow="0" w:firstColumn="1" w:lastColumn="0" w:noHBand="0" w:noVBand="1"/>
      </w:tblPr>
      <w:tblGrid>
        <w:gridCol w:w="3685"/>
        <w:gridCol w:w="2880"/>
        <w:gridCol w:w="2451"/>
      </w:tblGrid>
      <w:tr w:rsidR="00503CCD" w:rsidRPr="00B6039A" w14:paraId="49FA1638" w14:textId="77777777" w:rsidTr="00F47B97">
        <w:tc>
          <w:tcPr>
            <w:tcW w:w="3685" w:type="dxa"/>
            <w:shd w:val="clear" w:color="auto" w:fill="D9D9D9" w:themeFill="background1" w:themeFillShade="D9"/>
          </w:tcPr>
          <w:p w14:paraId="55AC58D6" w14:textId="77777777" w:rsidR="00503CCD" w:rsidRPr="00B6039A" w:rsidRDefault="00226CBD" w:rsidP="00FF6FA8">
            <w:pPr>
              <w:spacing w:line="259" w:lineRule="auto"/>
              <w:ind w:left="0" w:firstLine="0"/>
              <w:rPr>
                <w:b/>
                <w:sz w:val="24"/>
                <w:szCs w:val="24"/>
              </w:rPr>
            </w:pPr>
            <w:r w:rsidRPr="00B6039A">
              <w:rPr>
                <w:b/>
                <w:sz w:val="24"/>
                <w:szCs w:val="24"/>
              </w:rPr>
              <w:t>STATUS</w:t>
            </w:r>
          </w:p>
        </w:tc>
        <w:tc>
          <w:tcPr>
            <w:tcW w:w="2880" w:type="dxa"/>
            <w:shd w:val="clear" w:color="auto" w:fill="D9D9D9" w:themeFill="background1" w:themeFillShade="D9"/>
          </w:tcPr>
          <w:p w14:paraId="4FD8FC02" w14:textId="77777777" w:rsidR="00503CCD" w:rsidRPr="00B6039A" w:rsidRDefault="00226CBD" w:rsidP="00FF6FA8">
            <w:pPr>
              <w:spacing w:line="259" w:lineRule="auto"/>
              <w:ind w:left="0" w:firstLine="0"/>
              <w:rPr>
                <w:b/>
                <w:sz w:val="24"/>
                <w:szCs w:val="24"/>
              </w:rPr>
            </w:pPr>
            <w:r w:rsidRPr="00B6039A">
              <w:rPr>
                <w:b/>
                <w:sz w:val="24"/>
                <w:szCs w:val="24"/>
              </w:rPr>
              <w:t>KEY RECOMMENDATIONS</w:t>
            </w:r>
          </w:p>
        </w:tc>
        <w:tc>
          <w:tcPr>
            <w:tcW w:w="2451" w:type="dxa"/>
            <w:shd w:val="clear" w:color="auto" w:fill="D9D9D9" w:themeFill="background1" w:themeFillShade="D9"/>
          </w:tcPr>
          <w:p w14:paraId="5248B2A4" w14:textId="77777777" w:rsidR="00503CCD" w:rsidRPr="00B6039A" w:rsidRDefault="00226CBD" w:rsidP="00FF6FA8">
            <w:pPr>
              <w:spacing w:line="259" w:lineRule="auto"/>
              <w:ind w:left="0" w:firstLine="0"/>
              <w:rPr>
                <w:b/>
                <w:sz w:val="24"/>
                <w:szCs w:val="24"/>
              </w:rPr>
            </w:pPr>
            <w:r w:rsidRPr="00B6039A">
              <w:rPr>
                <w:b/>
                <w:sz w:val="24"/>
                <w:szCs w:val="24"/>
              </w:rPr>
              <w:t>DETAILED RECOMMENDATIONS</w:t>
            </w:r>
          </w:p>
        </w:tc>
      </w:tr>
      <w:tr w:rsidR="00503CCD" w:rsidRPr="00B6039A" w14:paraId="65C00426" w14:textId="77777777" w:rsidTr="00F47B97">
        <w:trPr>
          <w:trHeight w:val="323"/>
        </w:trPr>
        <w:tc>
          <w:tcPr>
            <w:tcW w:w="3685" w:type="dxa"/>
            <w:shd w:val="clear" w:color="auto" w:fill="D9D9D9" w:themeFill="background1" w:themeFillShade="D9"/>
          </w:tcPr>
          <w:p w14:paraId="1A33379D" w14:textId="77777777" w:rsidR="00503CCD" w:rsidRPr="00B6039A" w:rsidRDefault="00503CCD" w:rsidP="00FF6FA8">
            <w:pPr>
              <w:spacing w:line="259" w:lineRule="auto"/>
              <w:ind w:left="0" w:firstLine="0"/>
              <w:rPr>
                <w:b/>
                <w:sz w:val="24"/>
                <w:szCs w:val="24"/>
              </w:rPr>
            </w:pPr>
            <w:r w:rsidRPr="00B6039A">
              <w:rPr>
                <w:b/>
                <w:sz w:val="24"/>
                <w:szCs w:val="24"/>
              </w:rPr>
              <w:t>Fully implemented</w:t>
            </w:r>
          </w:p>
        </w:tc>
        <w:tc>
          <w:tcPr>
            <w:tcW w:w="2880" w:type="dxa"/>
          </w:tcPr>
          <w:p w14:paraId="39E950A3" w14:textId="7005235B" w:rsidR="00503CCD" w:rsidRPr="00B6039A" w:rsidRDefault="008C6E49" w:rsidP="00FF6FA8">
            <w:pPr>
              <w:spacing w:line="259" w:lineRule="auto"/>
              <w:ind w:left="0" w:firstLine="0"/>
              <w:rPr>
                <w:sz w:val="24"/>
                <w:szCs w:val="24"/>
              </w:rPr>
            </w:pPr>
            <w:r w:rsidRPr="00B6039A">
              <w:rPr>
                <w:sz w:val="24"/>
                <w:szCs w:val="24"/>
              </w:rPr>
              <w:t>0</w:t>
            </w:r>
          </w:p>
        </w:tc>
        <w:tc>
          <w:tcPr>
            <w:tcW w:w="2451" w:type="dxa"/>
          </w:tcPr>
          <w:p w14:paraId="46C74572" w14:textId="6BD882DB" w:rsidR="00503CCD" w:rsidRPr="00B6039A" w:rsidRDefault="00CD6F10" w:rsidP="00FF6FA8">
            <w:pPr>
              <w:spacing w:line="259" w:lineRule="auto"/>
              <w:ind w:left="0" w:firstLine="0"/>
              <w:rPr>
                <w:sz w:val="24"/>
                <w:szCs w:val="24"/>
              </w:rPr>
            </w:pPr>
            <w:r w:rsidRPr="00B6039A">
              <w:rPr>
                <w:sz w:val="24"/>
                <w:szCs w:val="24"/>
              </w:rPr>
              <w:t>4</w:t>
            </w:r>
          </w:p>
        </w:tc>
      </w:tr>
      <w:tr w:rsidR="00503CCD" w:rsidRPr="00B6039A" w14:paraId="0B7A69F5" w14:textId="77777777" w:rsidTr="00F47B97">
        <w:tc>
          <w:tcPr>
            <w:tcW w:w="3685" w:type="dxa"/>
            <w:shd w:val="clear" w:color="auto" w:fill="D9D9D9" w:themeFill="background1" w:themeFillShade="D9"/>
          </w:tcPr>
          <w:p w14:paraId="126C0890" w14:textId="77777777" w:rsidR="00503CCD" w:rsidRPr="00B6039A" w:rsidRDefault="00503CCD" w:rsidP="00FF6FA8">
            <w:pPr>
              <w:spacing w:line="259" w:lineRule="auto"/>
              <w:ind w:left="0" w:firstLine="0"/>
              <w:rPr>
                <w:b/>
                <w:sz w:val="24"/>
                <w:szCs w:val="24"/>
              </w:rPr>
            </w:pPr>
            <w:r w:rsidRPr="00B6039A">
              <w:rPr>
                <w:b/>
                <w:sz w:val="24"/>
                <w:szCs w:val="24"/>
              </w:rPr>
              <w:t>Partially implemented</w:t>
            </w:r>
          </w:p>
        </w:tc>
        <w:tc>
          <w:tcPr>
            <w:tcW w:w="2880" w:type="dxa"/>
          </w:tcPr>
          <w:p w14:paraId="55913F39" w14:textId="435FB377" w:rsidR="00503CCD" w:rsidRPr="00B6039A" w:rsidRDefault="008C6E49" w:rsidP="00FF6FA8">
            <w:pPr>
              <w:spacing w:line="259" w:lineRule="auto"/>
              <w:ind w:left="0" w:firstLine="0"/>
              <w:rPr>
                <w:sz w:val="24"/>
                <w:szCs w:val="24"/>
              </w:rPr>
            </w:pPr>
            <w:r w:rsidRPr="00B6039A">
              <w:rPr>
                <w:sz w:val="24"/>
                <w:szCs w:val="24"/>
              </w:rPr>
              <w:t>7</w:t>
            </w:r>
          </w:p>
        </w:tc>
        <w:tc>
          <w:tcPr>
            <w:tcW w:w="2451" w:type="dxa"/>
          </w:tcPr>
          <w:p w14:paraId="40334F6A" w14:textId="484086DE" w:rsidR="00503CCD" w:rsidRPr="00B6039A" w:rsidRDefault="00CD6F10" w:rsidP="00FF6FA8">
            <w:pPr>
              <w:spacing w:line="259" w:lineRule="auto"/>
              <w:ind w:left="0" w:firstLine="0"/>
              <w:rPr>
                <w:sz w:val="24"/>
                <w:szCs w:val="24"/>
              </w:rPr>
            </w:pPr>
            <w:r w:rsidRPr="00B6039A">
              <w:rPr>
                <w:sz w:val="24"/>
                <w:szCs w:val="24"/>
              </w:rPr>
              <w:t>9</w:t>
            </w:r>
          </w:p>
        </w:tc>
      </w:tr>
      <w:tr w:rsidR="00503CCD" w:rsidRPr="00B6039A" w14:paraId="547C52A9" w14:textId="77777777" w:rsidTr="00F47B97">
        <w:tc>
          <w:tcPr>
            <w:tcW w:w="3685" w:type="dxa"/>
            <w:shd w:val="clear" w:color="auto" w:fill="D9D9D9" w:themeFill="background1" w:themeFillShade="D9"/>
          </w:tcPr>
          <w:p w14:paraId="723F8450" w14:textId="77777777" w:rsidR="00503CCD" w:rsidRPr="00B6039A" w:rsidRDefault="00503CCD" w:rsidP="00FF6FA8">
            <w:pPr>
              <w:spacing w:line="259" w:lineRule="auto"/>
              <w:ind w:left="0" w:firstLine="0"/>
              <w:rPr>
                <w:b/>
                <w:sz w:val="24"/>
                <w:szCs w:val="24"/>
              </w:rPr>
            </w:pPr>
            <w:r w:rsidRPr="00B6039A">
              <w:rPr>
                <w:b/>
                <w:sz w:val="24"/>
                <w:szCs w:val="24"/>
              </w:rPr>
              <w:t>Minimally implemented</w:t>
            </w:r>
          </w:p>
        </w:tc>
        <w:tc>
          <w:tcPr>
            <w:tcW w:w="2880" w:type="dxa"/>
          </w:tcPr>
          <w:p w14:paraId="09C3E6A1" w14:textId="1C125261" w:rsidR="00503CCD" w:rsidRPr="00B6039A" w:rsidRDefault="008C6E49" w:rsidP="00FF6FA8">
            <w:pPr>
              <w:spacing w:line="259" w:lineRule="auto"/>
              <w:ind w:left="0" w:firstLine="0"/>
              <w:rPr>
                <w:sz w:val="24"/>
                <w:szCs w:val="24"/>
              </w:rPr>
            </w:pPr>
            <w:r w:rsidRPr="00B6039A">
              <w:rPr>
                <w:sz w:val="24"/>
                <w:szCs w:val="24"/>
              </w:rPr>
              <w:t>12</w:t>
            </w:r>
          </w:p>
        </w:tc>
        <w:tc>
          <w:tcPr>
            <w:tcW w:w="2451" w:type="dxa"/>
          </w:tcPr>
          <w:p w14:paraId="3B7361D1" w14:textId="2D139041" w:rsidR="00503CCD" w:rsidRPr="00B6039A" w:rsidRDefault="00CD6F10" w:rsidP="00FF6FA8">
            <w:pPr>
              <w:spacing w:line="259" w:lineRule="auto"/>
              <w:ind w:left="0" w:firstLine="0"/>
              <w:rPr>
                <w:sz w:val="24"/>
                <w:szCs w:val="24"/>
              </w:rPr>
            </w:pPr>
            <w:r w:rsidRPr="00B6039A">
              <w:rPr>
                <w:sz w:val="24"/>
                <w:szCs w:val="24"/>
              </w:rPr>
              <w:t>6</w:t>
            </w:r>
          </w:p>
        </w:tc>
      </w:tr>
      <w:tr w:rsidR="00503CCD" w:rsidRPr="00B6039A" w14:paraId="5F3484EF" w14:textId="77777777" w:rsidTr="00F47B97">
        <w:tc>
          <w:tcPr>
            <w:tcW w:w="3685" w:type="dxa"/>
            <w:shd w:val="clear" w:color="auto" w:fill="D9D9D9" w:themeFill="background1" w:themeFillShade="D9"/>
          </w:tcPr>
          <w:p w14:paraId="407BFF07" w14:textId="4597B4F4" w:rsidR="00503CCD" w:rsidRPr="00B6039A" w:rsidRDefault="00503CCD" w:rsidP="00FF6FA8">
            <w:pPr>
              <w:spacing w:line="259" w:lineRule="auto"/>
              <w:ind w:left="0" w:firstLine="0"/>
              <w:rPr>
                <w:b/>
                <w:sz w:val="24"/>
                <w:szCs w:val="24"/>
              </w:rPr>
            </w:pPr>
            <w:r w:rsidRPr="00B6039A">
              <w:rPr>
                <w:b/>
                <w:sz w:val="24"/>
                <w:szCs w:val="24"/>
              </w:rPr>
              <w:t xml:space="preserve">No evidence of </w:t>
            </w:r>
            <w:r w:rsidR="00423D76" w:rsidRPr="00B6039A">
              <w:rPr>
                <w:b/>
                <w:sz w:val="24"/>
                <w:szCs w:val="24"/>
              </w:rPr>
              <w:t>implementation</w:t>
            </w:r>
            <w:r w:rsidRPr="00B6039A">
              <w:rPr>
                <w:b/>
                <w:sz w:val="24"/>
                <w:szCs w:val="24"/>
              </w:rPr>
              <w:t xml:space="preserve"> </w:t>
            </w:r>
          </w:p>
        </w:tc>
        <w:tc>
          <w:tcPr>
            <w:tcW w:w="2880" w:type="dxa"/>
          </w:tcPr>
          <w:p w14:paraId="6FF37D04" w14:textId="4045B09B" w:rsidR="00503CCD" w:rsidRPr="00B6039A" w:rsidRDefault="008C6E49" w:rsidP="00FF6FA8">
            <w:pPr>
              <w:spacing w:line="259" w:lineRule="auto"/>
              <w:ind w:left="0" w:firstLine="0"/>
              <w:rPr>
                <w:sz w:val="24"/>
                <w:szCs w:val="24"/>
              </w:rPr>
            </w:pPr>
            <w:r w:rsidRPr="00B6039A">
              <w:rPr>
                <w:sz w:val="24"/>
                <w:szCs w:val="24"/>
              </w:rPr>
              <w:t>23</w:t>
            </w:r>
          </w:p>
        </w:tc>
        <w:tc>
          <w:tcPr>
            <w:tcW w:w="2451" w:type="dxa"/>
          </w:tcPr>
          <w:p w14:paraId="6B0FFB9C" w14:textId="0EC5C8B8" w:rsidR="00503CCD" w:rsidRPr="00B6039A" w:rsidRDefault="00CD6F10" w:rsidP="00FF6FA8">
            <w:pPr>
              <w:spacing w:line="259" w:lineRule="auto"/>
              <w:ind w:left="0" w:firstLine="0"/>
              <w:rPr>
                <w:sz w:val="24"/>
                <w:szCs w:val="24"/>
              </w:rPr>
            </w:pPr>
            <w:r w:rsidRPr="00B6039A">
              <w:rPr>
                <w:sz w:val="24"/>
                <w:szCs w:val="24"/>
              </w:rPr>
              <w:t>107</w:t>
            </w:r>
          </w:p>
        </w:tc>
      </w:tr>
      <w:tr w:rsidR="00503CCD" w:rsidRPr="00B6039A" w14:paraId="27B260E7" w14:textId="77777777" w:rsidTr="00F47B97">
        <w:tc>
          <w:tcPr>
            <w:tcW w:w="3685" w:type="dxa"/>
            <w:shd w:val="clear" w:color="auto" w:fill="D9D9D9" w:themeFill="background1" w:themeFillShade="D9"/>
          </w:tcPr>
          <w:p w14:paraId="7CDCA900" w14:textId="77777777" w:rsidR="00503CCD" w:rsidRPr="00B6039A" w:rsidRDefault="00503CCD" w:rsidP="00FF6FA8">
            <w:pPr>
              <w:spacing w:line="259" w:lineRule="auto"/>
              <w:ind w:left="0" w:firstLine="0"/>
              <w:rPr>
                <w:b/>
                <w:sz w:val="24"/>
                <w:szCs w:val="24"/>
              </w:rPr>
            </w:pPr>
            <w:r w:rsidRPr="00B6039A">
              <w:rPr>
                <w:b/>
                <w:sz w:val="24"/>
                <w:szCs w:val="24"/>
              </w:rPr>
              <w:t>TOTAL</w:t>
            </w:r>
          </w:p>
        </w:tc>
        <w:tc>
          <w:tcPr>
            <w:tcW w:w="2880" w:type="dxa"/>
          </w:tcPr>
          <w:p w14:paraId="384C5F95" w14:textId="77777777" w:rsidR="00503CCD" w:rsidRPr="00B6039A" w:rsidRDefault="00DB2F03" w:rsidP="00FF6FA8">
            <w:pPr>
              <w:spacing w:line="259" w:lineRule="auto"/>
              <w:ind w:left="0" w:firstLine="0"/>
              <w:rPr>
                <w:b/>
                <w:sz w:val="24"/>
                <w:szCs w:val="24"/>
              </w:rPr>
            </w:pPr>
            <w:r w:rsidRPr="00B6039A">
              <w:rPr>
                <w:b/>
                <w:sz w:val="24"/>
                <w:szCs w:val="24"/>
              </w:rPr>
              <w:t>42</w:t>
            </w:r>
          </w:p>
        </w:tc>
        <w:tc>
          <w:tcPr>
            <w:tcW w:w="2451" w:type="dxa"/>
          </w:tcPr>
          <w:p w14:paraId="64FBB743" w14:textId="77777777" w:rsidR="00503CCD" w:rsidRPr="00B6039A" w:rsidRDefault="00640461" w:rsidP="00FF6FA8">
            <w:pPr>
              <w:spacing w:line="259" w:lineRule="auto"/>
              <w:ind w:left="0" w:firstLine="0"/>
              <w:rPr>
                <w:b/>
                <w:sz w:val="24"/>
                <w:szCs w:val="24"/>
              </w:rPr>
            </w:pPr>
            <w:r w:rsidRPr="00B6039A">
              <w:rPr>
                <w:b/>
                <w:sz w:val="24"/>
                <w:szCs w:val="24"/>
              </w:rPr>
              <w:t>126</w:t>
            </w:r>
          </w:p>
        </w:tc>
      </w:tr>
    </w:tbl>
    <w:p w14:paraId="013C566A" w14:textId="77777777" w:rsidR="00B61FE1" w:rsidRPr="00B6039A" w:rsidRDefault="00B61FE1" w:rsidP="00FF6FA8">
      <w:pPr>
        <w:spacing w:line="259" w:lineRule="auto"/>
        <w:ind w:left="0" w:firstLine="0"/>
        <w:rPr>
          <w:sz w:val="24"/>
          <w:szCs w:val="24"/>
        </w:rPr>
      </w:pPr>
    </w:p>
    <w:p w14:paraId="27C112CE" w14:textId="6F1621E2" w:rsidR="00247E70" w:rsidRPr="00B6039A" w:rsidRDefault="00B83B96" w:rsidP="00896704">
      <w:pPr>
        <w:spacing w:after="120" w:line="259" w:lineRule="auto"/>
        <w:ind w:left="0" w:firstLine="0"/>
        <w:rPr>
          <w:sz w:val="24"/>
          <w:szCs w:val="24"/>
        </w:rPr>
      </w:pPr>
      <w:r w:rsidRPr="00B6039A">
        <w:rPr>
          <w:sz w:val="24"/>
          <w:szCs w:val="24"/>
        </w:rPr>
        <w:t>Public d</w:t>
      </w:r>
      <w:r w:rsidR="00B61FE1" w:rsidRPr="00B6039A">
        <w:rPr>
          <w:sz w:val="24"/>
          <w:szCs w:val="24"/>
        </w:rPr>
        <w:t>iscussions of</w:t>
      </w:r>
      <w:r w:rsidRPr="00B6039A">
        <w:rPr>
          <w:sz w:val="24"/>
          <w:szCs w:val="24"/>
        </w:rPr>
        <w:t xml:space="preserve"> the Coalition Government’s implementation progress on the recommendations of </w:t>
      </w:r>
      <w:proofErr w:type="spellStart"/>
      <w:r w:rsidR="00B61FE1" w:rsidRPr="00B6039A">
        <w:rPr>
          <w:i/>
          <w:sz w:val="24"/>
          <w:szCs w:val="24"/>
        </w:rPr>
        <w:t>Whakamana</w:t>
      </w:r>
      <w:proofErr w:type="spellEnd"/>
      <w:r w:rsidR="00B61FE1" w:rsidRPr="00B6039A">
        <w:rPr>
          <w:i/>
          <w:sz w:val="24"/>
          <w:szCs w:val="24"/>
        </w:rPr>
        <w:t xml:space="preserve"> </w:t>
      </w:r>
      <w:proofErr w:type="spellStart"/>
      <w:r w:rsidR="00B61FE1" w:rsidRPr="00B6039A">
        <w:rPr>
          <w:i/>
          <w:sz w:val="24"/>
          <w:szCs w:val="24"/>
        </w:rPr>
        <w:t>Tāngata</w:t>
      </w:r>
      <w:proofErr w:type="spellEnd"/>
      <w:r w:rsidR="00B61FE1" w:rsidRPr="00B6039A">
        <w:rPr>
          <w:sz w:val="24"/>
          <w:szCs w:val="24"/>
        </w:rPr>
        <w:t xml:space="preserve"> have </w:t>
      </w:r>
      <w:r w:rsidRPr="00B6039A">
        <w:rPr>
          <w:sz w:val="24"/>
          <w:szCs w:val="24"/>
        </w:rPr>
        <w:t xml:space="preserve">often </w:t>
      </w:r>
      <w:r w:rsidR="00B61FE1" w:rsidRPr="00B6039A">
        <w:rPr>
          <w:sz w:val="24"/>
          <w:szCs w:val="24"/>
        </w:rPr>
        <w:t xml:space="preserve">been </w:t>
      </w:r>
      <w:r w:rsidR="00483B95" w:rsidRPr="00B6039A">
        <w:rPr>
          <w:sz w:val="24"/>
          <w:szCs w:val="24"/>
        </w:rPr>
        <w:t xml:space="preserve">confused, vague and/or </w:t>
      </w:r>
      <w:r w:rsidR="00FB3169" w:rsidRPr="00B6039A">
        <w:rPr>
          <w:sz w:val="24"/>
          <w:szCs w:val="24"/>
        </w:rPr>
        <w:t>(</w:t>
      </w:r>
      <w:r w:rsidR="00AC2312" w:rsidRPr="00B6039A">
        <w:rPr>
          <w:sz w:val="24"/>
          <w:szCs w:val="24"/>
        </w:rPr>
        <w:t xml:space="preserve">often </w:t>
      </w:r>
      <w:r w:rsidR="00FB3169" w:rsidRPr="00B6039A">
        <w:rPr>
          <w:sz w:val="24"/>
          <w:szCs w:val="24"/>
        </w:rPr>
        <w:t xml:space="preserve">unwittingly) </w:t>
      </w:r>
      <w:r w:rsidR="00B61FE1" w:rsidRPr="00B6039A">
        <w:rPr>
          <w:sz w:val="24"/>
          <w:szCs w:val="24"/>
        </w:rPr>
        <w:t>misleading</w:t>
      </w:r>
      <w:r w:rsidR="00FB3169" w:rsidRPr="00B6039A">
        <w:rPr>
          <w:sz w:val="24"/>
          <w:szCs w:val="24"/>
        </w:rPr>
        <w:t>.</w:t>
      </w:r>
      <w:r w:rsidR="00B61FE1" w:rsidRPr="00B6039A">
        <w:rPr>
          <w:sz w:val="24"/>
          <w:szCs w:val="24"/>
        </w:rPr>
        <w:t xml:space="preserve"> </w:t>
      </w:r>
      <w:r w:rsidR="00FB3169" w:rsidRPr="00B6039A">
        <w:rPr>
          <w:sz w:val="24"/>
          <w:szCs w:val="24"/>
        </w:rPr>
        <w:t>This</w:t>
      </w:r>
      <w:r w:rsidR="00B61FE1" w:rsidRPr="00B6039A">
        <w:rPr>
          <w:sz w:val="24"/>
          <w:szCs w:val="24"/>
        </w:rPr>
        <w:t xml:space="preserve"> provided </w:t>
      </w:r>
      <w:r w:rsidR="000257B9" w:rsidRPr="00B6039A">
        <w:rPr>
          <w:sz w:val="24"/>
          <w:szCs w:val="24"/>
        </w:rPr>
        <w:t xml:space="preserve">some of </w:t>
      </w:r>
      <w:r w:rsidR="00AC38AF" w:rsidRPr="00B6039A">
        <w:rPr>
          <w:sz w:val="24"/>
          <w:szCs w:val="24"/>
        </w:rPr>
        <w:t xml:space="preserve">the </w:t>
      </w:r>
      <w:r w:rsidR="00B61FE1" w:rsidRPr="00B6039A">
        <w:rPr>
          <w:sz w:val="24"/>
          <w:szCs w:val="24"/>
        </w:rPr>
        <w:t>impetus for</w:t>
      </w:r>
      <w:r w:rsidR="00A81EC2" w:rsidRPr="00B6039A">
        <w:rPr>
          <w:sz w:val="24"/>
          <w:szCs w:val="24"/>
        </w:rPr>
        <w:t xml:space="preserve"> the production of this audit. The</w:t>
      </w:r>
      <w:r w:rsidR="00B61FE1" w:rsidRPr="00B6039A">
        <w:rPr>
          <w:sz w:val="24"/>
          <w:szCs w:val="24"/>
        </w:rPr>
        <w:t xml:space="preserve"> Coalition Government explicitly acknowledged that the report contained 42 </w:t>
      </w:r>
      <w:r w:rsidR="000257B9" w:rsidRPr="00B6039A">
        <w:rPr>
          <w:sz w:val="24"/>
          <w:szCs w:val="24"/>
        </w:rPr>
        <w:t>k</w:t>
      </w:r>
      <w:r w:rsidR="00B61FE1" w:rsidRPr="00B6039A">
        <w:rPr>
          <w:sz w:val="24"/>
          <w:szCs w:val="24"/>
        </w:rPr>
        <w:t xml:space="preserve">ey and </w:t>
      </w:r>
      <w:r w:rsidR="00B67FED" w:rsidRPr="00B6039A">
        <w:rPr>
          <w:sz w:val="24"/>
          <w:szCs w:val="24"/>
        </w:rPr>
        <w:t>126</w:t>
      </w:r>
      <w:r w:rsidR="00A81EC2" w:rsidRPr="00B6039A">
        <w:rPr>
          <w:sz w:val="24"/>
          <w:szCs w:val="24"/>
        </w:rPr>
        <w:t xml:space="preserve"> </w:t>
      </w:r>
      <w:r w:rsidR="000257B9" w:rsidRPr="00B6039A">
        <w:rPr>
          <w:sz w:val="24"/>
          <w:szCs w:val="24"/>
        </w:rPr>
        <w:t>d</w:t>
      </w:r>
      <w:r w:rsidR="00A81EC2" w:rsidRPr="00B6039A">
        <w:rPr>
          <w:sz w:val="24"/>
          <w:szCs w:val="24"/>
        </w:rPr>
        <w:t xml:space="preserve">etailed </w:t>
      </w:r>
      <w:r w:rsidR="000257B9" w:rsidRPr="00B6039A">
        <w:rPr>
          <w:sz w:val="24"/>
          <w:szCs w:val="24"/>
        </w:rPr>
        <w:t>r</w:t>
      </w:r>
      <w:r w:rsidR="00A81EC2" w:rsidRPr="00B6039A">
        <w:rPr>
          <w:sz w:val="24"/>
          <w:szCs w:val="24"/>
        </w:rPr>
        <w:t>ecommendations,</w:t>
      </w:r>
      <w:r w:rsidR="00B61FE1" w:rsidRPr="00B6039A">
        <w:rPr>
          <w:rStyle w:val="FootnoteReference"/>
          <w:sz w:val="24"/>
          <w:szCs w:val="24"/>
        </w:rPr>
        <w:footnoteReference w:id="23"/>
      </w:r>
      <w:r w:rsidR="00A81EC2" w:rsidRPr="00B6039A">
        <w:rPr>
          <w:sz w:val="24"/>
          <w:szCs w:val="24"/>
        </w:rPr>
        <w:t xml:space="preserve"> and yet </w:t>
      </w:r>
      <w:r w:rsidR="00B61FE1" w:rsidRPr="00B6039A">
        <w:rPr>
          <w:sz w:val="24"/>
          <w:szCs w:val="24"/>
        </w:rPr>
        <w:t xml:space="preserve">discussion of implementation by both politicians and </w:t>
      </w:r>
      <w:r w:rsidR="00AC2312" w:rsidRPr="00B6039A">
        <w:rPr>
          <w:sz w:val="24"/>
          <w:szCs w:val="24"/>
        </w:rPr>
        <w:t xml:space="preserve">media </w:t>
      </w:r>
      <w:r w:rsidR="00B61FE1" w:rsidRPr="00B6039A">
        <w:rPr>
          <w:sz w:val="24"/>
          <w:szCs w:val="24"/>
        </w:rPr>
        <w:t xml:space="preserve">has frequently overlooked </w:t>
      </w:r>
      <w:r w:rsidR="000257B9" w:rsidRPr="00B6039A">
        <w:rPr>
          <w:sz w:val="24"/>
          <w:szCs w:val="24"/>
        </w:rPr>
        <w:t>the d</w:t>
      </w:r>
      <w:r w:rsidR="00B61FE1" w:rsidRPr="00B6039A">
        <w:rPr>
          <w:sz w:val="24"/>
          <w:szCs w:val="24"/>
        </w:rPr>
        <w:t xml:space="preserve">etailed </w:t>
      </w:r>
      <w:r w:rsidR="000257B9" w:rsidRPr="00B6039A">
        <w:rPr>
          <w:sz w:val="24"/>
          <w:szCs w:val="24"/>
        </w:rPr>
        <w:t>r</w:t>
      </w:r>
      <w:r w:rsidR="00B61FE1" w:rsidRPr="00B6039A">
        <w:rPr>
          <w:sz w:val="24"/>
          <w:szCs w:val="24"/>
        </w:rPr>
        <w:t xml:space="preserve">ecommendations. </w:t>
      </w:r>
    </w:p>
    <w:p w14:paraId="3272EA3D" w14:textId="424D3A44" w:rsidR="00B61FE1" w:rsidRPr="00B6039A" w:rsidRDefault="00B61FE1" w:rsidP="00FF6FA8">
      <w:pPr>
        <w:spacing w:line="259" w:lineRule="auto"/>
        <w:ind w:left="0" w:firstLine="0"/>
        <w:rPr>
          <w:sz w:val="24"/>
          <w:szCs w:val="24"/>
        </w:rPr>
      </w:pPr>
      <w:r w:rsidRPr="00B6039A">
        <w:rPr>
          <w:sz w:val="24"/>
          <w:szCs w:val="24"/>
        </w:rPr>
        <w:t xml:space="preserve">For instance, news reporting in November 2019 suggested that the initial announcements following the report’s release reflected implementation of </w:t>
      </w:r>
      <w:r w:rsidR="003E5AE8" w:rsidRPr="00B6039A">
        <w:rPr>
          <w:sz w:val="24"/>
          <w:szCs w:val="24"/>
        </w:rPr>
        <w:t>‘</w:t>
      </w:r>
      <w:r w:rsidRPr="00B6039A">
        <w:rPr>
          <w:sz w:val="24"/>
          <w:szCs w:val="24"/>
        </w:rPr>
        <w:t>three of 42</w:t>
      </w:r>
      <w:r w:rsidR="003E5AE8" w:rsidRPr="00B6039A">
        <w:rPr>
          <w:sz w:val="24"/>
          <w:szCs w:val="24"/>
        </w:rPr>
        <w:t>’</w:t>
      </w:r>
      <w:r w:rsidRPr="00B6039A">
        <w:rPr>
          <w:sz w:val="24"/>
          <w:szCs w:val="24"/>
        </w:rPr>
        <w:t xml:space="preserve"> recommendations.</w:t>
      </w:r>
      <w:r w:rsidRPr="00B6039A">
        <w:rPr>
          <w:rStyle w:val="FootnoteReference"/>
          <w:sz w:val="24"/>
          <w:szCs w:val="24"/>
        </w:rPr>
        <w:footnoteReference w:id="24"/>
      </w:r>
      <w:r w:rsidRPr="00B6039A">
        <w:rPr>
          <w:sz w:val="24"/>
          <w:szCs w:val="24"/>
        </w:rPr>
        <w:t xml:space="preserve"> </w:t>
      </w:r>
      <w:r w:rsidR="00483B95" w:rsidRPr="00B6039A">
        <w:rPr>
          <w:sz w:val="24"/>
          <w:szCs w:val="24"/>
        </w:rPr>
        <w:t xml:space="preserve">In fact, these three steps (outlined below) reflected </w:t>
      </w:r>
      <w:r w:rsidR="00483B95" w:rsidRPr="00B6039A">
        <w:rPr>
          <w:i/>
          <w:sz w:val="24"/>
          <w:szCs w:val="24"/>
        </w:rPr>
        <w:t>minimal</w:t>
      </w:r>
      <w:r w:rsidR="00483B95" w:rsidRPr="00B6039A">
        <w:rPr>
          <w:sz w:val="24"/>
          <w:szCs w:val="24"/>
        </w:rPr>
        <w:t xml:space="preserve"> </w:t>
      </w:r>
      <w:r w:rsidR="00483B95" w:rsidRPr="00B6039A">
        <w:rPr>
          <w:i/>
          <w:sz w:val="24"/>
          <w:szCs w:val="24"/>
        </w:rPr>
        <w:t>implementation of thre</w:t>
      </w:r>
      <w:r w:rsidR="00483B95" w:rsidRPr="00B6039A">
        <w:rPr>
          <w:sz w:val="24"/>
          <w:szCs w:val="24"/>
        </w:rPr>
        <w:t xml:space="preserve">e of 42 </w:t>
      </w:r>
      <w:r w:rsidR="000257B9" w:rsidRPr="00B6039A">
        <w:rPr>
          <w:sz w:val="24"/>
          <w:szCs w:val="24"/>
        </w:rPr>
        <w:t>k</w:t>
      </w:r>
      <w:r w:rsidR="00483B95" w:rsidRPr="00B6039A">
        <w:rPr>
          <w:sz w:val="24"/>
          <w:szCs w:val="24"/>
        </w:rPr>
        <w:t xml:space="preserve">ey </w:t>
      </w:r>
      <w:r w:rsidR="000257B9" w:rsidRPr="00B6039A">
        <w:rPr>
          <w:sz w:val="24"/>
          <w:szCs w:val="24"/>
        </w:rPr>
        <w:t>r</w:t>
      </w:r>
      <w:r w:rsidR="00483B95" w:rsidRPr="00B6039A">
        <w:rPr>
          <w:sz w:val="24"/>
          <w:szCs w:val="24"/>
        </w:rPr>
        <w:t xml:space="preserve">ecommendations (see Table </w:t>
      </w:r>
      <w:r w:rsidR="0029286F" w:rsidRPr="00B6039A">
        <w:rPr>
          <w:sz w:val="24"/>
          <w:szCs w:val="24"/>
        </w:rPr>
        <w:t>3</w:t>
      </w:r>
      <w:r w:rsidR="00483B95" w:rsidRPr="00B6039A">
        <w:rPr>
          <w:sz w:val="24"/>
          <w:szCs w:val="24"/>
        </w:rPr>
        <w:t xml:space="preserve">), or </w:t>
      </w:r>
      <w:r w:rsidR="00483B95" w:rsidRPr="00B6039A">
        <w:rPr>
          <w:i/>
          <w:sz w:val="24"/>
          <w:szCs w:val="24"/>
        </w:rPr>
        <w:t>minimal</w:t>
      </w:r>
      <w:r w:rsidR="00483B95" w:rsidRPr="00B6039A">
        <w:rPr>
          <w:sz w:val="24"/>
          <w:szCs w:val="24"/>
        </w:rPr>
        <w:t xml:space="preserve"> </w:t>
      </w:r>
      <w:r w:rsidR="00483B95" w:rsidRPr="00B6039A">
        <w:rPr>
          <w:i/>
          <w:sz w:val="24"/>
          <w:szCs w:val="24"/>
        </w:rPr>
        <w:t>implementation of two</w:t>
      </w:r>
      <w:r w:rsidR="00483B95" w:rsidRPr="00B6039A">
        <w:rPr>
          <w:sz w:val="24"/>
          <w:szCs w:val="24"/>
        </w:rPr>
        <w:t xml:space="preserve"> </w:t>
      </w:r>
      <w:r w:rsidR="000257B9" w:rsidRPr="00B6039A">
        <w:rPr>
          <w:sz w:val="24"/>
          <w:szCs w:val="24"/>
        </w:rPr>
        <w:t>k</w:t>
      </w:r>
      <w:r w:rsidR="00483B95" w:rsidRPr="00B6039A">
        <w:rPr>
          <w:sz w:val="24"/>
          <w:szCs w:val="24"/>
        </w:rPr>
        <w:t xml:space="preserve">ey </w:t>
      </w:r>
      <w:r w:rsidR="000257B9" w:rsidRPr="00B6039A">
        <w:rPr>
          <w:sz w:val="24"/>
          <w:szCs w:val="24"/>
        </w:rPr>
        <w:t>r</w:t>
      </w:r>
      <w:r w:rsidR="00483B95" w:rsidRPr="00B6039A">
        <w:rPr>
          <w:sz w:val="24"/>
          <w:szCs w:val="24"/>
        </w:rPr>
        <w:t xml:space="preserve">ecommendations and </w:t>
      </w:r>
      <w:r w:rsidR="00483B95" w:rsidRPr="00B6039A">
        <w:rPr>
          <w:i/>
          <w:sz w:val="24"/>
          <w:szCs w:val="24"/>
        </w:rPr>
        <w:t>full</w:t>
      </w:r>
      <w:r w:rsidR="00483B95" w:rsidRPr="00B6039A">
        <w:rPr>
          <w:sz w:val="24"/>
          <w:szCs w:val="24"/>
        </w:rPr>
        <w:t xml:space="preserve"> </w:t>
      </w:r>
      <w:r w:rsidR="00483B95" w:rsidRPr="00B6039A">
        <w:rPr>
          <w:i/>
          <w:sz w:val="24"/>
          <w:szCs w:val="24"/>
        </w:rPr>
        <w:t>implementation of one</w:t>
      </w:r>
      <w:r w:rsidR="00483B95" w:rsidRPr="00B6039A">
        <w:rPr>
          <w:sz w:val="24"/>
          <w:szCs w:val="24"/>
        </w:rPr>
        <w:t xml:space="preserve"> </w:t>
      </w:r>
      <w:r w:rsidR="000257B9" w:rsidRPr="00B6039A">
        <w:rPr>
          <w:sz w:val="24"/>
          <w:szCs w:val="24"/>
        </w:rPr>
        <w:t>d</w:t>
      </w:r>
      <w:r w:rsidR="00483B95" w:rsidRPr="00B6039A">
        <w:rPr>
          <w:sz w:val="24"/>
          <w:szCs w:val="24"/>
        </w:rPr>
        <w:t xml:space="preserve">etailed </w:t>
      </w:r>
      <w:r w:rsidR="000257B9" w:rsidRPr="00B6039A">
        <w:rPr>
          <w:sz w:val="24"/>
          <w:szCs w:val="24"/>
        </w:rPr>
        <w:t>r</w:t>
      </w:r>
      <w:r w:rsidR="00483B95" w:rsidRPr="00B6039A">
        <w:rPr>
          <w:sz w:val="24"/>
          <w:szCs w:val="24"/>
        </w:rPr>
        <w:t xml:space="preserve">ecommendation, of which there are 126 (see </w:t>
      </w:r>
      <w:r w:rsidR="0029286F" w:rsidRPr="00B6039A">
        <w:rPr>
          <w:sz w:val="24"/>
          <w:szCs w:val="24"/>
        </w:rPr>
        <w:t>Table 4</w:t>
      </w:r>
      <w:r w:rsidR="00483B95" w:rsidRPr="00B6039A">
        <w:rPr>
          <w:sz w:val="24"/>
          <w:szCs w:val="24"/>
        </w:rPr>
        <w:t xml:space="preserve">). The </w:t>
      </w:r>
      <w:r w:rsidR="00FF3C0F" w:rsidRPr="00B6039A">
        <w:rPr>
          <w:sz w:val="24"/>
          <w:szCs w:val="24"/>
        </w:rPr>
        <w:t xml:space="preserve">three steps </w:t>
      </w:r>
      <w:r w:rsidR="00483B95" w:rsidRPr="00B6039A">
        <w:rPr>
          <w:sz w:val="24"/>
          <w:szCs w:val="24"/>
        </w:rPr>
        <w:t xml:space="preserve">initially announced were: </w:t>
      </w:r>
      <w:r w:rsidR="00FF3C0F" w:rsidRPr="00B6039A">
        <w:rPr>
          <w:sz w:val="24"/>
          <w:szCs w:val="24"/>
        </w:rPr>
        <w:t>funding extra frontline Ministry of Social Development (MSD) staff to focus more on employment</w:t>
      </w:r>
      <w:r w:rsidR="00483B95" w:rsidRPr="00B6039A">
        <w:rPr>
          <w:sz w:val="24"/>
          <w:szCs w:val="24"/>
        </w:rPr>
        <w:t>;</w:t>
      </w:r>
      <w:r w:rsidR="00FF3C0F" w:rsidRPr="00B6039A">
        <w:rPr>
          <w:sz w:val="24"/>
          <w:szCs w:val="24"/>
        </w:rPr>
        <w:t xml:space="preserve"> repealing Section 192 to remove the requirement to reduce the sole parent benefit of people who do not name the other parent of their child</w:t>
      </w:r>
      <w:r w:rsidR="00483B95" w:rsidRPr="00B6039A">
        <w:rPr>
          <w:sz w:val="24"/>
          <w:szCs w:val="24"/>
        </w:rPr>
        <w:t>;</w:t>
      </w:r>
      <w:r w:rsidR="00FF3C0F" w:rsidRPr="00B6039A">
        <w:rPr>
          <w:sz w:val="24"/>
          <w:szCs w:val="24"/>
        </w:rPr>
        <w:t xml:space="preserve"> and an increase to abatement thresholds.</w:t>
      </w:r>
      <w:r w:rsidR="00FF3C0F" w:rsidRPr="00B6039A">
        <w:rPr>
          <w:rStyle w:val="FootnoteReference"/>
          <w:sz w:val="24"/>
          <w:szCs w:val="24"/>
        </w:rPr>
        <w:footnoteReference w:id="25"/>
      </w:r>
      <w:r w:rsidR="009C2917" w:rsidRPr="00B6039A">
        <w:rPr>
          <w:sz w:val="24"/>
          <w:szCs w:val="24"/>
        </w:rPr>
        <w:t xml:space="preserve"> </w:t>
      </w:r>
      <w:r w:rsidR="003E5AE8" w:rsidRPr="00B6039A">
        <w:rPr>
          <w:sz w:val="24"/>
          <w:szCs w:val="24"/>
        </w:rPr>
        <w:lastRenderedPageBreak/>
        <w:t xml:space="preserve">Announcing </w:t>
      </w:r>
      <w:r w:rsidR="00716BDC" w:rsidRPr="00B6039A">
        <w:rPr>
          <w:sz w:val="24"/>
          <w:szCs w:val="24"/>
        </w:rPr>
        <w:t xml:space="preserve">263 extra frontline staff </w:t>
      </w:r>
      <w:r w:rsidR="009F1AF8" w:rsidRPr="00B6039A">
        <w:rPr>
          <w:sz w:val="24"/>
          <w:szCs w:val="24"/>
        </w:rPr>
        <w:t xml:space="preserve">for employment </w:t>
      </w:r>
      <w:r w:rsidR="00716BDC" w:rsidRPr="00B6039A">
        <w:rPr>
          <w:sz w:val="24"/>
          <w:szCs w:val="24"/>
        </w:rPr>
        <w:t xml:space="preserve">was a small step towards resourcing chronically underfunded frontline MSD services, while Section 192 was </w:t>
      </w:r>
      <w:r w:rsidR="00FF789C" w:rsidRPr="00B6039A">
        <w:rPr>
          <w:sz w:val="24"/>
          <w:szCs w:val="24"/>
        </w:rPr>
        <w:t xml:space="preserve">one of </w:t>
      </w:r>
      <w:r w:rsidR="00716BDC" w:rsidRPr="00B6039A">
        <w:rPr>
          <w:sz w:val="24"/>
          <w:szCs w:val="24"/>
        </w:rPr>
        <w:t>on</w:t>
      </w:r>
      <w:r w:rsidR="00FF789C" w:rsidRPr="00B6039A">
        <w:rPr>
          <w:sz w:val="24"/>
          <w:szCs w:val="24"/>
        </w:rPr>
        <w:t xml:space="preserve">ly </w:t>
      </w:r>
      <w:r w:rsidR="00716BDC" w:rsidRPr="00B6039A">
        <w:rPr>
          <w:sz w:val="24"/>
          <w:szCs w:val="24"/>
        </w:rPr>
        <w:t xml:space="preserve">eight sanctions and obligations </w:t>
      </w:r>
      <w:r w:rsidR="00FF789C" w:rsidRPr="00B6039A">
        <w:rPr>
          <w:sz w:val="24"/>
          <w:szCs w:val="24"/>
        </w:rPr>
        <w:t xml:space="preserve">recommended </w:t>
      </w:r>
      <w:r w:rsidR="00716BDC" w:rsidRPr="00B6039A">
        <w:rPr>
          <w:sz w:val="24"/>
          <w:szCs w:val="24"/>
        </w:rPr>
        <w:t>for removal</w:t>
      </w:r>
      <w:r w:rsidR="000257B9" w:rsidRPr="00B6039A">
        <w:rPr>
          <w:sz w:val="24"/>
          <w:szCs w:val="24"/>
        </w:rPr>
        <w:t xml:space="preserve"> (and its removal had already been promised by Labour, as noted above)</w:t>
      </w:r>
      <w:r w:rsidR="00716BDC" w:rsidRPr="00B6039A">
        <w:rPr>
          <w:sz w:val="24"/>
          <w:szCs w:val="24"/>
        </w:rPr>
        <w:t>, and the increase to abatement thresholds</w:t>
      </w:r>
      <w:r w:rsidR="00FD2C4C" w:rsidRPr="00B6039A">
        <w:rPr>
          <w:sz w:val="24"/>
          <w:szCs w:val="24"/>
        </w:rPr>
        <w:t xml:space="preserve"> that was implemented</w:t>
      </w:r>
      <w:r w:rsidR="00716BDC" w:rsidRPr="00B6039A">
        <w:rPr>
          <w:sz w:val="24"/>
          <w:szCs w:val="24"/>
        </w:rPr>
        <w:t xml:space="preserve"> fell far short of the WEAG’s recommendations.</w:t>
      </w:r>
      <w:r w:rsidRPr="00B6039A">
        <w:rPr>
          <w:sz w:val="24"/>
          <w:szCs w:val="24"/>
        </w:rPr>
        <w:t xml:space="preserve"> </w:t>
      </w:r>
    </w:p>
    <w:p w14:paraId="3F1E6D25" w14:textId="4C8797AB" w:rsidR="000D3423" w:rsidRPr="00B6039A" w:rsidRDefault="00BE256B" w:rsidP="00C15ED7">
      <w:pPr>
        <w:spacing w:after="120" w:line="259" w:lineRule="auto"/>
        <w:ind w:left="0" w:firstLine="0"/>
        <w:rPr>
          <w:b/>
          <w:i/>
          <w:sz w:val="24"/>
          <w:szCs w:val="24"/>
        </w:rPr>
      </w:pPr>
      <w:r w:rsidRPr="00B6039A">
        <w:rPr>
          <w:sz w:val="24"/>
          <w:szCs w:val="24"/>
        </w:rPr>
        <w:t>Further to</w:t>
      </w:r>
      <w:r w:rsidR="00705565" w:rsidRPr="00B6039A">
        <w:rPr>
          <w:sz w:val="24"/>
          <w:szCs w:val="24"/>
        </w:rPr>
        <w:t xml:space="preserve"> misleading media reporting,</w:t>
      </w:r>
      <w:r w:rsidR="00DB3C55" w:rsidRPr="00B6039A">
        <w:rPr>
          <w:sz w:val="24"/>
          <w:szCs w:val="24"/>
        </w:rPr>
        <w:t xml:space="preserve"> it appears that </w:t>
      </w:r>
      <w:r w:rsidR="00705565" w:rsidRPr="00B6039A">
        <w:rPr>
          <w:sz w:val="24"/>
          <w:szCs w:val="24"/>
        </w:rPr>
        <w:t>t</w:t>
      </w:r>
      <w:r w:rsidR="000D3423" w:rsidRPr="00B6039A">
        <w:rPr>
          <w:sz w:val="24"/>
          <w:szCs w:val="24"/>
        </w:rPr>
        <w:t xml:space="preserve">he </w:t>
      </w:r>
      <w:r w:rsidR="000D2C72" w:rsidRPr="00B6039A">
        <w:rPr>
          <w:sz w:val="24"/>
          <w:szCs w:val="24"/>
        </w:rPr>
        <w:t>Labour Party</w:t>
      </w:r>
      <w:r w:rsidR="000D3423" w:rsidRPr="00B6039A">
        <w:rPr>
          <w:sz w:val="24"/>
          <w:szCs w:val="24"/>
        </w:rPr>
        <w:t xml:space="preserve"> overstated its progress in undertaking the welfare overhaul prescri</w:t>
      </w:r>
      <w:r w:rsidR="000D2C72" w:rsidRPr="00B6039A">
        <w:rPr>
          <w:sz w:val="24"/>
          <w:szCs w:val="24"/>
        </w:rPr>
        <w:t>bed by the WEAG. D</w:t>
      </w:r>
      <w:r w:rsidR="000D3423" w:rsidRPr="00B6039A">
        <w:rPr>
          <w:sz w:val="24"/>
          <w:szCs w:val="24"/>
        </w:rPr>
        <w:t xml:space="preserve">uring </w:t>
      </w:r>
      <w:r w:rsidR="00604324" w:rsidRPr="00B6039A">
        <w:rPr>
          <w:sz w:val="24"/>
          <w:szCs w:val="24"/>
        </w:rPr>
        <w:t xml:space="preserve">the first </w:t>
      </w:r>
      <w:r w:rsidR="000D3423" w:rsidRPr="00B6039A">
        <w:rPr>
          <w:sz w:val="24"/>
          <w:szCs w:val="24"/>
        </w:rPr>
        <w:t xml:space="preserve">Vote </w:t>
      </w:r>
      <w:r w:rsidR="00514402" w:rsidRPr="00B6039A">
        <w:rPr>
          <w:sz w:val="24"/>
          <w:szCs w:val="24"/>
        </w:rPr>
        <w:t xml:space="preserve">2020 </w:t>
      </w:r>
      <w:r w:rsidR="00604324" w:rsidRPr="00B6039A">
        <w:rPr>
          <w:sz w:val="24"/>
          <w:szCs w:val="24"/>
        </w:rPr>
        <w:t>TVNZ</w:t>
      </w:r>
      <w:r w:rsidR="000D3423" w:rsidRPr="00B6039A">
        <w:rPr>
          <w:sz w:val="24"/>
          <w:szCs w:val="24"/>
        </w:rPr>
        <w:t xml:space="preserve"> Leaders Debate </w:t>
      </w:r>
      <w:r w:rsidR="00514402" w:rsidRPr="00B6039A">
        <w:rPr>
          <w:sz w:val="24"/>
          <w:szCs w:val="24"/>
        </w:rPr>
        <w:t xml:space="preserve">(22 September) </w:t>
      </w:r>
      <w:r w:rsidR="00896704" w:rsidRPr="00B6039A">
        <w:rPr>
          <w:sz w:val="24"/>
          <w:szCs w:val="24"/>
        </w:rPr>
        <w:t xml:space="preserve">in </w:t>
      </w:r>
      <w:r w:rsidR="000D3423" w:rsidRPr="00B6039A">
        <w:rPr>
          <w:sz w:val="24"/>
          <w:szCs w:val="24"/>
        </w:rPr>
        <w:t>the lead</w:t>
      </w:r>
      <w:r w:rsidR="000257B9" w:rsidRPr="00B6039A">
        <w:rPr>
          <w:sz w:val="24"/>
          <w:szCs w:val="24"/>
        </w:rPr>
        <w:t>-</w:t>
      </w:r>
      <w:r w:rsidR="000D3423" w:rsidRPr="00B6039A">
        <w:rPr>
          <w:sz w:val="24"/>
          <w:szCs w:val="24"/>
        </w:rPr>
        <w:t xml:space="preserve">up to the </w:t>
      </w:r>
      <w:r w:rsidR="000257B9" w:rsidRPr="00B6039A">
        <w:rPr>
          <w:sz w:val="24"/>
          <w:szCs w:val="24"/>
        </w:rPr>
        <w:t>e</w:t>
      </w:r>
      <w:r w:rsidR="000D3423" w:rsidRPr="00B6039A">
        <w:rPr>
          <w:sz w:val="24"/>
          <w:szCs w:val="24"/>
        </w:rPr>
        <w:t xml:space="preserve">lection, Prime Minister Jacinda Ardern </w:t>
      </w:r>
      <w:r w:rsidR="005427A2" w:rsidRPr="00B6039A">
        <w:rPr>
          <w:sz w:val="24"/>
          <w:szCs w:val="24"/>
        </w:rPr>
        <w:t>said</w:t>
      </w:r>
      <w:r w:rsidR="000D3423" w:rsidRPr="00B6039A">
        <w:rPr>
          <w:sz w:val="24"/>
          <w:szCs w:val="24"/>
        </w:rPr>
        <w:t xml:space="preserve"> “We’ve implemented 22 of the recommendations so far and we have seen that the changes that we’ve made have already made a big difference.”</w:t>
      </w:r>
      <w:r w:rsidR="00FA0852" w:rsidRPr="00B6039A">
        <w:rPr>
          <w:rStyle w:val="FootnoteReference"/>
          <w:sz w:val="24"/>
          <w:szCs w:val="24"/>
        </w:rPr>
        <w:footnoteReference w:id="26"/>
      </w:r>
      <w:r w:rsidR="000D3423" w:rsidRPr="00B6039A">
        <w:rPr>
          <w:sz w:val="24"/>
          <w:szCs w:val="24"/>
        </w:rPr>
        <w:t xml:space="preserve"> </w:t>
      </w:r>
      <w:r w:rsidR="000257B9" w:rsidRPr="00B6039A">
        <w:rPr>
          <w:sz w:val="24"/>
          <w:szCs w:val="24"/>
        </w:rPr>
        <w:t>However, i</w:t>
      </w:r>
      <w:r w:rsidR="000D3423" w:rsidRPr="00B6039A">
        <w:rPr>
          <w:sz w:val="24"/>
          <w:szCs w:val="24"/>
        </w:rPr>
        <w:t xml:space="preserve">n </w:t>
      </w:r>
      <w:r w:rsidR="00483B95" w:rsidRPr="00B6039A">
        <w:rPr>
          <w:sz w:val="24"/>
          <w:szCs w:val="24"/>
        </w:rPr>
        <w:t xml:space="preserve">a response to </w:t>
      </w:r>
      <w:r w:rsidR="000D3423" w:rsidRPr="00B6039A">
        <w:rPr>
          <w:sz w:val="24"/>
          <w:szCs w:val="24"/>
        </w:rPr>
        <w:t xml:space="preserve">a </w:t>
      </w:r>
      <w:r w:rsidR="00483B95" w:rsidRPr="00B6039A">
        <w:rPr>
          <w:sz w:val="24"/>
          <w:szCs w:val="24"/>
        </w:rPr>
        <w:t xml:space="preserve">CPAG </w:t>
      </w:r>
      <w:r w:rsidR="000D3423" w:rsidRPr="00B6039A">
        <w:rPr>
          <w:sz w:val="24"/>
          <w:szCs w:val="24"/>
        </w:rPr>
        <w:t>follow</w:t>
      </w:r>
      <w:r w:rsidR="00483B95" w:rsidRPr="00B6039A">
        <w:rPr>
          <w:sz w:val="24"/>
          <w:szCs w:val="24"/>
        </w:rPr>
        <w:t>-</w:t>
      </w:r>
      <w:r w:rsidR="000D3423" w:rsidRPr="00B6039A">
        <w:rPr>
          <w:sz w:val="24"/>
          <w:szCs w:val="24"/>
        </w:rPr>
        <w:t xml:space="preserve">up email to </w:t>
      </w:r>
      <w:r w:rsidR="00483B95" w:rsidRPr="00B6039A">
        <w:rPr>
          <w:sz w:val="24"/>
          <w:szCs w:val="24"/>
        </w:rPr>
        <w:t xml:space="preserve">the office of the Minister for Social Development, </w:t>
      </w:r>
      <w:r w:rsidR="000D3423" w:rsidRPr="00B6039A">
        <w:rPr>
          <w:sz w:val="24"/>
          <w:szCs w:val="24"/>
        </w:rPr>
        <w:t>CPAG was informed as follows:</w:t>
      </w:r>
    </w:p>
    <w:p w14:paraId="05741292" w14:textId="77777777" w:rsidR="000D3423" w:rsidRPr="00B6039A" w:rsidRDefault="000D3423" w:rsidP="00C15ED7">
      <w:pPr>
        <w:spacing w:after="120" w:line="259" w:lineRule="auto"/>
        <w:ind w:left="720" w:firstLine="0"/>
        <w:rPr>
          <w:i/>
          <w:sz w:val="24"/>
          <w:szCs w:val="24"/>
        </w:rPr>
      </w:pPr>
      <w:r w:rsidRPr="00B6039A">
        <w:rPr>
          <w:i/>
          <w:sz w:val="24"/>
          <w:szCs w:val="24"/>
        </w:rPr>
        <w:t>“</w:t>
      </w:r>
      <w:r w:rsidRPr="00B6039A">
        <w:rPr>
          <w:rFonts w:ascii="Calibri" w:hAnsi="Calibri" w:cs="Calibri"/>
          <w:i/>
          <w:sz w:val="24"/>
          <w:szCs w:val="24"/>
          <w:shd w:val="clear" w:color="auto" w:fill="FFFFFF"/>
        </w:rPr>
        <w:t>I can confirm that currently work is already underway to address around 22 recommendations from the Welfare Expert Advisory Group. These are: 3, 5, 6, 8, 9, 10, 11, 12, 14, 17, 18, 20, 21, 27, 29, 32, 35, 36, 37, 39, 40 and 42.”</w:t>
      </w:r>
      <w:r w:rsidRPr="00B6039A">
        <w:rPr>
          <w:rStyle w:val="FootnoteReference"/>
          <w:rFonts w:ascii="Calibri" w:hAnsi="Calibri" w:cs="Calibri"/>
          <w:i/>
          <w:sz w:val="24"/>
          <w:szCs w:val="24"/>
          <w:shd w:val="clear" w:color="auto" w:fill="FFFFFF"/>
        </w:rPr>
        <w:footnoteReference w:id="27"/>
      </w:r>
      <w:r w:rsidRPr="00B6039A">
        <w:rPr>
          <w:rFonts w:ascii="Calibri" w:hAnsi="Calibri" w:cs="Calibri"/>
          <w:i/>
          <w:sz w:val="24"/>
          <w:szCs w:val="24"/>
          <w:shd w:val="clear" w:color="auto" w:fill="FFFFFF"/>
        </w:rPr>
        <w:t xml:space="preserve"> </w:t>
      </w:r>
      <w:r w:rsidRPr="00B6039A">
        <w:rPr>
          <w:i/>
          <w:sz w:val="24"/>
          <w:szCs w:val="24"/>
        </w:rPr>
        <w:t xml:space="preserve"> </w:t>
      </w:r>
    </w:p>
    <w:p w14:paraId="51E1EFD9" w14:textId="4A0D0B24" w:rsidR="009758A7" w:rsidRPr="00B6039A" w:rsidRDefault="00863249" w:rsidP="00FF6FA8">
      <w:pPr>
        <w:spacing w:line="259" w:lineRule="auto"/>
        <w:ind w:left="0" w:firstLine="0"/>
        <w:rPr>
          <w:sz w:val="24"/>
          <w:szCs w:val="24"/>
        </w:rPr>
      </w:pPr>
      <w:r w:rsidRPr="00B6039A">
        <w:rPr>
          <w:sz w:val="24"/>
          <w:szCs w:val="24"/>
        </w:rPr>
        <w:t>Thus t</w:t>
      </w:r>
      <w:r w:rsidR="00FD2C4C" w:rsidRPr="00B6039A">
        <w:rPr>
          <w:sz w:val="24"/>
          <w:szCs w:val="24"/>
        </w:rPr>
        <w:t>he Prime Minister</w:t>
      </w:r>
      <w:r w:rsidR="00483B95" w:rsidRPr="00B6039A">
        <w:rPr>
          <w:sz w:val="24"/>
          <w:szCs w:val="24"/>
        </w:rPr>
        <w:t xml:space="preserve"> stated </w:t>
      </w:r>
      <w:r w:rsidR="00031B2B" w:rsidRPr="00B6039A">
        <w:rPr>
          <w:sz w:val="24"/>
          <w:szCs w:val="24"/>
        </w:rPr>
        <w:t xml:space="preserve">the </w:t>
      </w:r>
      <w:r w:rsidR="000257B9" w:rsidRPr="00B6039A">
        <w:rPr>
          <w:sz w:val="24"/>
          <w:szCs w:val="24"/>
        </w:rPr>
        <w:t>g</w:t>
      </w:r>
      <w:r w:rsidR="00031B2B" w:rsidRPr="00B6039A">
        <w:rPr>
          <w:sz w:val="24"/>
          <w:szCs w:val="24"/>
        </w:rPr>
        <w:t>overnment had implemented</w:t>
      </w:r>
      <w:r w:rsidR="00FD2C4C" w:rsidRPr="00B6039A">
        <w:rPr>
          <w:sz w:val="24"/>
          <w:szCs w:val="24"/>
        </w:rPr>
        <w:t xml:space="preserve"> 22 </w:t>
      </w:r>
      <w:r w:rsidR="000257B9" w:rsidRPr="00B6039A">
        <w:rPr>
          <w:sz w:val="24"/>
          <w:szCs w:val="24"/>
        </w:rPr>
        <w:t>r</w:t>
      </w:r>
      <w:r w:rsidR="00FD2C4C" w:rsidRPr="00B6039A">
        <w:rPr>
          <w:sz w:val="24"/>
          <w:szCs w:val="24"/>
        </w:rPr>
        <w:t xml:space="preserve">ecommendations, a statement which </w:t>
      </w:r>
      <w:r w:rsidR="009F1AF8" w:rsidRPr="00B6039A">
        <w:rPr>
          <w:sz w:val="24"/>
          <w:szCs w:val="24"/>
        </w:rPr>
        <w:t xml:space="preserve">the Minister’s Office </w:t>
      </w:r>
      <w:r w:rsidR="00FD2C4C" w:rsidRPr="00B6039A">
        <w:rPr>
          <w:sz w:val="24"/>
          <w:szCs w:val="24"/>
        </w:rPr>
        <w:t>qualified as meaning work is ‘already underway’ to address 22</w:t>
      </w:r>
      <w:r w:rsidR="000257B9" w:rsidRPr="00B6039A">
        <w:rPr>
          <w:sz w:val="24"/>
          <w:szCs w:val="24"/>
        </w:rPr>
        <w:t xml:space="preserve"> recommendations</w:t>
      </w:r>
      <w:r w:rsidR="00FD2C4C" w:rsidRPr="00B6039A">
        <w:rPr>
          <w:sz w:val="24"/>
          <w:szCs w:val="24"/>
        </w:rPr>
        <w:t xml:space="preserve">. According to our analysis, </w:t>
      </w:r>
      <w:r w:rsidR="00031B2B" w:rsidRPr="00B6039A">
        <w:rPr>
          <w:sz w:val="24"/>
          <w:szCs w:val="24"/>
        </w:rPr>
        <w:t xml:space="preserve">there is evidence of full implementation of </w:t>
      </w:r>
      <w:r w:rsidR="0006234D" w:rsidRPr="00B6039A">
        <w:rPr>
          <w:sz w:val="24"/>
          <w:szCs w:val="24"/>
        </w:rPr>
        <w:t>none of the</w:t>
      </w:r>
      <w:r w:rsidR="00FD2C4C" w:rsidRPr="00B6039A">
        <w:rPr>
          <w:sz w:val="24"/>
          <w:szCs w:val="24"/>
        </w:rPr>
        <w:t xml:space="preserve"> </w:t>
      </w:r>
      <w:r w:rsidR="000257B9" w:rsidRPr="00B6039A">
        <w:rPr>
          <w:sz w:val="24"/>
          <w:szCs w:val="24"/>
        </w:rPr>
        <w:t>k</w:t>
      </w:r>
      <w:r w:rsidR="00FD2C4C" w:rsidRPr="00B6039A">
        <w:rPr>
          <w:sz w:val="24"/>
          <w:szCs w:val="24"/>
        </w:rPr>
        <w:t xml:space="preserve">ey </w:t>
      </w:r>
      <w:r w:rsidR="000257B9" w:rsidRPr="00B6039A">
        <w:rPr>
          <w:sz w:val="24"/>
          <w:szCs w:val="24"/>
        </w:rPr>
        <w:t>r</w:t>
      </w:r>
      <w:r w:rsidR="00FD2C4C" w:rsidRPr="00B6039A">
        <w:rPr>
          <w:sz w:val="24"/>
          <w:szCs w:val="24"/>
        </w:rPr>
        <w:t>ecommendation</w:t>
      </w:r>
      <w:r w:rsidR="0006234D" w:rsidRPr="00B6039A">
        <w:rPr>
          <w:sz w:val="24"/>
          <w:szCs w:val="24"/>
        </w:rPr>
        <w:t>s</w:t>
      </w:r>
      <w:r w:rsidR="00FD2C4C" w:rsidRPr="00B6039A">
        <w:rPr>
          <w:sz w:val="24"/>
          <w:szCs w:val="24"/>
        </w:rPr>
        <w:t xml:space="preserve">, with </w:t>
      </w:r>
      <w:r w:rsidR="0006234D" w:rsidRPr="00B6039A">
        <w:rPr>
          <w:sz w:val="24"/>
          <w:szCs w:val="24"/>
        </w:rPr>
        <w:t>seven</w:t>
      </w:r>
      <w:r w:rsidR="00FD2C4C" w:rsidRPr="00B6039A">
        <w:rPr>
          <w:sz w:val="24"/>
          <w:szCs w:val="24"/>
        </w:rPr>
        <w:t xml:space="preserve"> partially implemented, and </w:t>
      </w:r>
      <w:r w:rsidR="0006234D" w:rsidRPr="00B6039A">
        <w:rPr>
          <w:sz w:val="24"/>
          <w:szCs w:val="24"/>
        </w:rPr>
        <w:t>12</w:t>
      </w:r>
      <w:r w:rsidR="00FD2C4C" w:rsidRPr="00B6039A">
        <w:rPr>
          <w:sz w:val="24"/>
          <w:szCs w:val="24"/>
        </w:rPr>
        <w:t xml:space="preserve"> minimally implemented</w:t>
      </w:r>
      <w:r w:rsidR="000D2C72" w:rsidRPr="00B6039A">
        <w:rPr>
          <w:sz w:val="24"/>
          <w:szCs w:val="24"/>
        </w:rPr>
        <w:t xml:space="preserve"> (see </w:t>
      </w:r>
      <w:r w:rsidR="0006234D" w:rsidRPr="00B6039A">
        <w:rPr>
          <w:sz w:val="24"/>
          <w:szCs w:val="24"/>
        </w:rPr>
        <w:t>Table</w:t>
      </w:r>
      <w:r w:rsidR="0029286F" w:rsidRPr="00B6039A">
        <w:rPr>
          <w:sz w:val="24"/>
          <w:szCs w:val="24"/>
        </w:rPr>
        <w:t>s 2 &amp;</w:t>
      </w:r>
      <w:r w:rsidR="0006234D" w:rsidRPr="00B6039A">
        <w:rPr>
          <w:sz w:val="24"/>
          <w:szCs w:val="24"/>
        </w:rPr>
        <w:t xml:space="preserve"> </w:t>
      </w:r>
      <w:r w:rsidR="0029286F" w:rsidRPr="00B6039A">
        <w:rPr>
          <w:sz w:val="24"/>
          <w:szCs w:val="24"/>
        </w:rPr>
        <w:t>3</w:t>
      </w:r>
      <w:r w:rsidR="000D2C72" w:rsidRPr="00B6039A">
        <w:rPr>
          <w:sz w:val="24"/>
          <w:szCs w:val="24"/>
        </w:rPr>
        <w:t>)</w:t>
      </w:r>
      <w:r w:rsidR="00FD2C4C" w:rsidRPr="00B6039A">
        <w:rPr>
          <w:sz w:val="24"/>
          <w:szCs w:val="24"/>
        </w:rPr>
        <w:t xml:space="preserve">. </w:t>
      </w:r>
      <w:r w:rsidR="00D06EE2" w:rsidRPr="00B6039A">
        <w:rPr>
          <w:sz w:val="24"/>
          <w:szCs w:val="24"/>
        </w:rPr>
        <w:t xml:space="preserve">Hyperbolic claims of progress in implementing the WEAG’s recommendations do a disservice to the </w:t>
      </w:r>
      <w:r w:rsidR="00FF789C" w:rsidRPr="00B6039A">
        <w:rPr>
          <w:sz w:val="24"/>
          <w:szCs w:val="24"/>
        </w:rPr>
        <w:t xml:space="preserve">tens of </w:t>
      </w:r>
      <w:r w:rsidR="00D06EE2" w:rsidRPr="00B6039A">
        <w:rPr>
          <w:sz w:val="24"/>
          <w:szCs w:val="24"/>
        </w:rPr>
        <w:t xml:space="preserve">thousands of New Zealanders who </w:t>
      </w:r>
      <w:r w:rsidR="009758A7" w:rsidRPr="00B6039A">
        <w:rPr>
          <w:sz w:val="24"/>
          <w:szCs w:val="24"/>
        </w:rPr>
        <w:t>must continue to make ends meet with inadequate support.</w:t>
      </w:r>
    </w:p>
    <w:p w14:paraId="6CD174EA" w14:textId="6CBCC0AC" w:rsidR="00DF3535" w:rsidRPr="00B6039A" w:rsidRDefault="000257B9" w:rsidP="00E12F80">
      <w:pPr>
        <w:spacing w:after="120" w:line="259" w:lineRule="auto"/>
        <w:ind w:left="0" w:firstLine="0"/>
        <w:rPr>
          <w:sz w:val="24"/>
          <w:szCs w:val="24"/>
        </w:rPr>
      </w:pPr>
      <w:r w:rsidRPr="00B6039A">
        <w:rPr>
          <w:sz w:val="24"/>
          <w:szCs w:val="24"/>
        </w:rPr>
        <w:t xml:space="preserve">In CPAG’s view, </w:t>
      </w:r>
      <w:proofErr w:type="spellStart"/>
      <w:r w:rsidR="00DF3535" w:rsidRPr="00B6039A">
        <w:rPr>
          <w:i/>
          <w:sz w:val="24"/>
          <w:szCs w:val="24"/>
        </w:rPr>
        <w:t>Whakamana</w:t>
      </w:r>
      <w:proofErr w:type="spellEnd"/>
      <w:r w:rsidR="00DF3535" w:rsidRPr="00B6039A">
        <w:rPr>
          <w:i/>
          <w:sz w:val="24"/>
          <w:szCs w:val="24"/>
        </w:rPr>
        <w:t xml:space="preserve"> </w:t>
      </w:r>
      <w:proofErr w:type="spellStart"/>
      <w:r w:rsidR="00DF3535" w:rsidRPr="00B6039A">
        <w:rPr>
          <w:i/>
          <w:sz w:val="24"/>
          <w:szCs w:val="24"/>
        </w:rPr>
        <w:t>Tāngata</w:t>
      </w:r>
      <w:proofErr w:type="spellEnd"/>
      <w:r w:rsidR="00DF3535" w:rsidRPr="00B6039A">
        <w:rPr>
          <w:i/>
          <w:sz w:val="24"/>
          <w:szCs w:val="24"/>
        </w:rPr>
        <w:t xml:space="preserve"> </w:t>
      </w:r>
      <w:r w:rsidR="00DF3535" w:rsidRPr="00B6039A">
        <w:rPr>
          <w:sz w:val="24"/>
          <w:szCs w:val="24"/>
        </w:rPr>
        <w:t xml:space="preserve">received a lukewarm response from the Coalition Government. </w:t>
      </w:r>
      <w:r w:rsidRPr="00B6039A">
        <w:rPr>
          <w:sz w:val="24"/>
          <w:szCs w:val="24"/>
        </w:rPr>
        <w:t>We saw no evidence that p</w:t>
      </w:r>
      <w:r w:rsidR="00DF3535" w:rsidRPr="00B6039A">
        <w:rPr>
          <w:sz w:val="24"/>
          <w:szCs w:val="24"/>
        </w:rPr>
        <w:t>ublic discussion of the report was sought or encouraged</w:t>
      </w:r>
      <w:r w:rsidRPr="00B6039A">
        <w:rPr>
          <w:sz w:val="24"/>
          <w:szCs w:val="24"/>
        </w:rPr>
        <w:t xml:space="preserve"> by the government</w:t>
      </w:r>
      <w:r w:rsidR="00DF3535" w:rsidRPr="00B6039A">
        <w:rPr>
          <w:sz w:val="24"/>
          <w:szCs w:val="24"/>
        </w:rPr>
        <w:t xml:space="preserve">. The piecemeal progress since </w:t>
      </w:r>
      <w:proofErr w:type="spellStart"/>
      <w:r w:rsidR="00DF3535" w:rsidRPr="00B6039A">
        <w:rPr>
          <w:i/>
          <w:sz w:val="24"/>
          <w:szCs w:val="24"/>
        </w:rPr>
        <w:t>Whakamana</w:t>
      </w:r>
      <w:proofErr w:type="spellEnd"/>
      <w:r w:rsidR="00DF3535" w:rsidRPr="00B6039A">
        <w:rPr>
          <w:i/>
          <w:sz w:val="24"/>
          <w:szCs w:val="24"/>
        </w:rPr>
        <w:t xml:space="preserve"> </w:t>
      </w:r>
      <w:proofErr w:type="spellStart"/>
      <w:r w:rsidR="00DF3535" w:rsidRPr="00B6039A">
        <w:rPr>
          <w:i/>
          <w:sz w:val="24"/>
          <w:szCs w:val="24"/>
        </w:rPr>
        <w:t>Tāngata</w:t>
      </w:r>
      <w:proofErr w:type="spellEnd"/>
      <w:r w:rsidR="00DF3535" w:rsidRPr="00B6039A">
        <w:rPr>
          <w:sz w:val="24"/>
          <w:szCs w:val="24"/>
        </w:rPr>
        <w:t xml:space="preserve"> has arguably not reflected the intent of a welfare overhaul at all, as the Green Party themselves highlighted in May 2020.</w:t>
      </w:r>
      <w:r w:rsidR="00DF3535" w:rsidRPr="00B6039A">
        <w:rPr>
          <w:rStyle w:val="FootnoteReference"/>
          <w:sz w:val="24"/>
          <w:szCs w:val="24"/>
        </w:rPr>
        <w:footnoteReference w:id="28"/>
      </w:r>
      <w:r w:rsidR="00DF3535" w:rsidRPr="00B6039A">
        <w:rPr>
          <w:sz w:val="24"/>
          <w:szCs w:val="24"/>
        </w:rPr>
        <w:t xml:space="preserve"> Given the Coalition Government’s child poverty reduction focus,</w:t>
      </w:r>
      <w:r w:rsidR="00DF3535" w:rsidRPr="00B6039A">
        <w:rPr>
          <w:rStyle w:val="FootnoteReference"/>
          <w:sz w:val="24"/>
          <w:szCs w:val="24"/>
        </w:rPr>
        <w:footnoteReference w:id="29"/>
      </w:r>
      <w:r w:rsidR="00DF3535" w:rsidRPr="00B6039A">
        <w:rPr>
          <w:sz w:val="24"/>
          <w:szCs w:val="24"/>
        </w:rPr>
        <w:t xml:space="preserve"> and the fact that WEAG identified that people receiving welfare payments are living “desperate lives” due to “seriously inadequate incomes”,</w:t>
      </w:r>
      <w:r w:rsidR="00DF3535" w:rsidRPr="00B6039A">
        <w:rPr>
          <w:rStyle w:val="FootnoteReference"/>
          <w:sz w:val="24"/>
          <w:szCs w:val="24"/>
        </w:rPr>
        <w:footnoteReference w:id="30"/>
      </w:r>
      <w:r w:rsidR="00DF3535" w:rsidRPr="00B6039A">
        <w:rPr>
          <w:sz w:val="24"/>
          <w:szCs w:val="24"/>
        </w:rPr>
        <w:t xml:space="preserve"> the progress on implementation of the recommendations appears unjustifiably slow. </w:t>
      </w:r>
    </w:p>
    <w:p w14:paraId="18550821" w14:textId="1C7591E5" w:rsidR="00461502" w:rsidRPr="00B6039A" w:rsidRDefault="009C6A62" w:rsidP="00E12F80">
      <w:pPr>
        <w:pStyle w:val="Heading1"/>
        <w:spacing w:after="120" w:line="259" w:lineRule="auto"/>
        <w:ind w:left="442" w:hanging="357"/>
        <w:rPr>
          <w:sz w:val="36"/>
          <w:szCs w:val="36"/>
        </w:rPr>
      </w:pPr>
      <w:bookmarkStart w:id="13" w:name="_Toc57025846"/>
      <w:r w:rsidRPr="00B6039A">
        <w:rPr>
          <w:sz w:val="36"/>
          <w:szCs w:val="36"/>
        </w:rPr>
        <w:t>Full progress report</w:t>
      </w:r>
      <w:bookmarkEnd w:id="13"/>
    </w:p>
    <w:p w14:paraId="20D7E5EC" w14:textId="5003CDB9" w:rsidR="002919D3" w:rsidRPr="00B6039A" w:rsidRDefault="00276F46" w:rsidP="00C15ED7">
      <w:pPr>
        <w:spacing w:line="259" w:lineRule="auto"/>
        <w:ind w:left="86" w:firstLine="0"/>
        <w:rPr>
          <w:sz w:val="24"/>
          <w:szCs w:val="24"/>
        </w:rPr>
      </w:pPr>
      <w:r w:rsidRPr="00B6039A">
        <w:rPr>
          <w:sz w:val="24"/>
          <w:szCs w:val="24"/>
        </w:rPr>
        <w:t>The following tables</w:t>
      </w:r>
      <w:r w:rsidR="00DA296E" w:rsidRPr="00B6039A">
        <w:rPr>
          <w:sz w:val="24"/>
          <w:szCs w:val="24"/>
        </w:rPr>
        <w:t xml:space="preserve"> provide full detail on each of the WEAG’s</w:t>
      </w:r>
      <w:r w:rsidRPr="00B6039A">
        <w:rPr>
          <w:sz w:val="24"/>
          <w:szCs w:val="24"/>
        </w:rPr>
        <w:t xml:space="preserve"> 42</w:t>
      </w:r>
      <w:r w:rsidR="00DA296E" w:rsidRPr="00B6039A">
        <w:rPr>
          <w:sz w:val="24"/>
          <w:szCs w:val="24"/>
        </w:rPr>
        <w:t xml:space="preserve"> </w:t>
      </w:r>
      <w:r w:rsidR="00E12F80" w:rsidRPr="00B6039A">
        <w:rPr>
          <w:sz w:val="24"/>
          <w:szCs w:val="24"/>
        </w:rPr>
        <w:t>k</w:t>
      </w:r>
      <w:r w:rsidR="00DA296E" w:rsidRPr="00B6039A">
        <w:rPr>
          <w:sz w:val="24"/>
          <w:szCs w:val="24"/>
        </w:rPr>
        <w:t>ey</w:t>
      </w:r>
      <w:r w:rsidRPr="00B6039A">
        <w:rPr>
          <w:sz w:val="24"/>
          <w:szCs w:val="24"/>
        </w:rPr>
        <w:t xml:space="preserve"> </w:t>
      </w:r>
      <w:r w:rsidR="00E12F80" w:rsidRPr="00B6039A">
        <w:rPr>
          <w:sz w:val="24"/>
          <w:szCs w:val="24"/>
        </w:rPr>
        <w:t>r</w:t>
      </w:r>
      <w:r w:rsidRPr="00B6039A">
        <w:rPr>
          <w:sz w:val="24"/>
          <w:szCs w:val="24"/>
        </w:rPr>
        <w:t>ecommendations (Table</w:t>
      </w:r>
      <w:r w:rsidR="0029286F" w:rsidRPr="00B6039A">
        <w:rPr>
          <w:sz w:val="24"/>
          <w:szCs w:val="24"/>
        </w:rPr>
        <w:t>s</w:t>
      </w:r>
      <w:r w:rsidRPr="00B6039A">
        <w:rPr>
          <w:sz w:val="24"/>
          <w:szCs w:val="24"/>
        </w:rPr>
        <w:t xml:space="preserve"> 2</w:t>
      </w:r>
      <w:r w:rsidR="0029286F" w:rsidRPr="00B6039A">
        <w:rPr>
          <w:sz w:val="24"/>
          <w:szCs w:val="24"/>
        </w:rPr>
        <w:t xml:space="preserve"> &amp; 3</w:t>
      </w:r>
      <w:r w:rsidRPr="00B6039A">
        <w:rPr>
          <w:sz w:val="24"/>
          <w:szCs w:val="24"/>
        </w:rPr>
        <w:t>)</w:t>
      </w:r>
      <w:r w:rsidR="00DA296E" w:rsidRPr="00B6039A">
        <w:rPr>
          <w:sz w:val="24"/>
          <w:szCs w:val="24"/>
        </w:rPr>
        <w:t xml:space="preserve"> and </w:t>
      </w:r>
      <w:r w:rsidRPr="00B6039A">
        <w:rPr>
          <w:sz w:val="24"/>
          <w:szCs w:val="24"/>
        </w:rPr>
        <w:t xml:space="preserve">126 </w:t>
      </w:r>
      <w:r w:rsidR="00E12F80" w:rsidRPr="00B6039A">
        <w:rPr>
          <w:sz w:val="24"/>
          <w:szCs w:val="24"/>
        </w:rPr>
        <w:t>d</w:t>
      </w:r>
      <w:r w:rsidR="00DA296E" w:rsidRPr="00B6039A">
        <w:rPr>
          <w:sz w:val="24"/>
          <w:szCs w:val="24"/>
        </w:rPr>
        <w:t xml:space="preserve">etailed </w:t>
      </w:r>
      <w:r w:rsidR="00E12F80" w:rsidRPr="00B6039A">
        <w:rPr>
          <w:sz w:val="24"/>
          <w:szCs w:val="24"/>
        </w:rPr>
        <w:t>r</w:t>
      </w:r>
      <w:r w:rsidR="00DA296E" w:rsidRPr="00B6039A">
        <w:rPr>
          <w:sz w:val="24"/>
          <w:szCs w:val="24"/>
        </w:rPr>
        <w:t>ecommendations</w:t>
      </w:r>
      <w:r w:rsidRPr="00B6039A">
        <w:rPr>
          <w:sz w:val="24"/>
          <w:szCs w:val="24"/>
        </w:rPr>
        <w:t xml:space="preserve"> (</w:t>
      </w:r>
      <w:r w:rsidR="0029286F" w:rsidRPr="00B6039A">
        <w:rPr>
          <w:sz w:val="24"/>
          <w:szCs w:val="24"/>
        </w:rPr>
        <w:t>Table 4</w:t>
      </w:r>
      <w:r w:rsidRPr="00B6039A">
        <w:rPr>
          <w:sz w:val="24"/>
          <w:szCs w:val="24"/>
        </w:rPr>
        <w:t>)</w:t>
      </w:r>
      <w:r w:rsidR="00DA296E" w:rsidRPr="00B6039A">
        <w:rPr>
          <w:sz w:val="24"/>
          <w:szCs w:val="24"/>
        </w:rPr>
        <w:t xml:space="preserve">, </w:t>
      </w:r>
      <w:r w:rsidRPr="00B6039A">
        <w:rPr>
          <w:sz w:val="24"/>
          <w:szCs w:val="24"/>
        </w:rPr>
        <w:t>as well as de</w:t>
      </w:r>
      <w:r w:rsidR="0038700C" w:rsidRPr="00B6039A">
        <w:rPr>
          <w:sz w:val="24"/>
          <w:szCs w:val="24"/>
        </w:rPr>
        <w:t>scribing</w:t>
      </w:r>
      <w:r w:rsidRPr="00B6039A">
        <w:rPr>
          <w:sz w:val="24"/>
          <w:szCs w:val="24"/>
        </w:rPr>
        <w:t xml:space="preserve"> </w:t>
      </w:r>
      <w:r w:rsidR="00DA296E" w:rsidRPr="00B6039A">
        <w:rPr>
          <w:sz w:val="24"/>
          <w:szCs w:val="24"/>
        </w:rPr>
        <w:t xml:space="preserve">the </w:t>
      </w:r>
      <w:r w:rsidR="00E12F80" w:rsidRPr="00B6039A">
        <w:rPr>
          <w:sz w:val="24"/>
          <w:szCs w:val="24"/>
        </w:rPr>
        <w:t>g</w:t>
      </w:r>
      <w:r w:rsidR="00DA296E" w:rsidRPr="00B6039A">
        <w:rPr>
          <w:sz w:val="24"/>
          <w:szCs w:val="24"/>
        </w:rPr>
        <w:t xml:space="preserve">overnment’s </w:t>
      </w:r>
      <w:r w:rsidR="0038700C" w:rsidRPr="00B6039A">
        <w:rPr>
          <w:sz w:val="24"/>
          <w:szCs w:val="24"/>
        </w:rPr>
        <w:t xml:space="preserve">reported </w:t>
      </w:r>
      <w:r w:rsidR="00DA296E" w:rsidRPr="00B6039A">
        <w:rPr>
          <w:sz w:val="24"/>
          <w:szCs w:val="24"/>
        </w:rPr>
        <w:t>response</w:t>
      </w:r>
      <w:r w:rsidR="0038700C" w:rsidRPr="00B6039A">
        <w:rPr>
          <w:sz w:val="24"/>
          <w:szCs w:val="24"/>
        </w:rPr>
        <w:t xml:space="preserve"> to these</w:t>
      </w:r>
      <w:r w:rsidRPr="00B6039A">
        <w:rPr>
          <w:sz w:val="24"/>
          <w:szCs w:val="24"/>
        </w:rPr>
        <w:t xml:space="preserve"> recommendation</w:t>
      </w:r>
      <w:r w:rsidR="00E12F80" w:rsidRPr="00B6039A">
        <w:rPr>
          <w:sz w:val="24"/>
          <w:szCs w:val="24"/>
        </w:rPr>
        <w:t>s</w:t>
      </w:r>
      <w:r w:rsidR="00DA296E" w:rsidRPr="00B6039A">
        <w:rPr>
          <w:sz w:val="24"/>
          <w:szCs w:val="24"/>
        </w:rPr>
        <w:t xml:space="preserve">, and evidence of progress in implementation. We have scored the </w:t>
      </w:r>
      <w:r w:rsidR="00E12F80" w:rsidRPr="00B6039A">
        <w:rPr>
          <w:sz w:val="24"/>
          <w:szCs w:val="24"/>
        </w:rPr>
        <w:t>g</w:t>
      </w:r>
      <w:r w:rsidR="00DA296E" w:rsidRPr="00B6039A">
        <w:rPr>
          <w:sz w:val="24"/>
          <w:szCs w:val="24"/>
        </w:rPr>
        <w:t xml:space="preserve">overnment’s implementation </w:t>
      </w:r>
      <w:r w:rsidRPr="00B6039A">
        <w:rPr>
          <w:sz w:val="24"/>
          <w:szCs w:val="24"/>
        </w:rPr>
        <w:t>using</w:t>
      </w:r>
      <w:r w:rsidR="00DA296E" w:rsidRPr="00B6039A">
        <w:rPr>
          <w:sz w:val="24"/>
          <w:szCs w:val="24"/>
        </w:rPr>
        <w:t xml:space="preserve"> four </w:t>
      </w:r>
      <w:r w:rsidRPr="00B6039A">
        <w:rPr>
          <w:sz w:val="24"/>
          <w:szCs w:val="24"/>
        </w:rPr>
        <w:t xml:space="preserve">classifications; full implementation, partial implementation, minimal implementation, and no </w:t>
      </w:r>
      <w:r w:rsidR="005E1481" w:rsidRPr="00B6039A">
        <w:rPr>
          <w:sz w:val="24"/>
          <w:szCs w:val="24"/>
        </w:rPr>
        <w:t xml:space="preserve">evidence of </w:t>
      </w:r>
      <w:r w:rsidRPr="00B6039A">
        <w:rPr>
          <w:sz w:val="24"/>
          <w:szCs w:val="24"/>
        </w:rPr>
        <w:t xml:space="preserve">implementation. </w:t>
      </w:r>
      <w:r w:rsidR="002919D3" w:rsidRPr="00B6039A">
        <w:rPr>
          <w:sz w:val="24"/>
          <w:szCs w:val="24"/>
        </w:rPr>
        <w:br w:type="page"/>
      </w:r>
    </w:p>
    <w:p w14:paraId="0ACEC471" w14:textId="67494AD5" w:rsidR="00A0043F" w:rsidRPr="00B6039A" w:rsidRDefault="00A0043F">
      <w:pPr>
        <w:rPr>
          <w:i/>
          <w:iCs/>
          <w:sz w:val="20"/>
          <w:szCs w:val="20"/>
        </w:rPr>
      </w:pPr>
      <w:r w:rsidRPr="00B6039A">
        <w:rPr>
          <w:i/>
          <w:iCs/>
          <w:sz w:val="20"/>
          <w:szCs w:val="20"/>
        </w:rPr>
        <w:lastRenderedPageBreak/>
        <w:t xml:space="preserve">Table 2: Key Recommendations Assessment – </w:t>
      </w:r>
      <w:r w:rsidR="00463FF3" w:rsidRPr="00B6039A">
        <w:rPr>
          <w:i/>
          <w:iCs/>
          <w:sz w:val="20"/>
          <w:szCs w:val="20"/>
        </w:rPr>
        <w:t xml:space="preserve">One-Page </w:t>
      </w:r>
      <w:r w:rsidRPr="00B6039A">
        <w:rPr>
          <w:i/>
          <w:iCs/>
          <w:sz w:val="20"/>
          <w:szCs w:val="20"/>
        </w:rPr>
        <w:t xml:space="preserve">Summary </w:t>
      </w:r>
    </w:p>
    <w:tbl>
      <w:tblPr>
        <w:tblStyle w:val="TableGrid"/>
        <w:tblW w:w="9097" w:type="dxa"/>
        <w:tblInd w:w="86" w:type="dxa"/>
        <w:tblLook w:val="04A0" w:firstRow="1" w:lastRow="0" w:firstColumn="1" w:lastColumn="0" w:noHBand="0" w:noVBand="1"/>
      </w:tblPr>
      <w:tblGrid>
        <w:gridCol w:w="618"/>
        <w:gridCol w:w="3969"/>
        <w:gridCol w:w="2835"/>
        <w:gridCol w:w="1128"/>
        <w:gridCol w:w="7"/>
        <w:gridCol w:w="540"/>
      </w:tblGrid>
      <w:tr w:rsidR="001B3DFA" w:rsidRPr="00B6039A" w14:paraId="08FDFD70" w14:textId="5B95886A" w:rsidTr="00C15ED7">
        <w:tc>
          <w:tcPr>
            <w:tcW w:w="4587" w:type="dxa"/>
            <w:gridSpan w:val="2"/>
            <w:tcBorders>
              <w:top w:val="single" w:sz="4" w:space="0" w:color="auto"/>
              <w:right w:val="nil"/>
            </w:tcBorders>
          </w:tcPr>
          <w:p w14:paraId="7A353CFC" w14:textId="4BF4CF42" w:rsidR="001B3DFA" w:rsidRPr="00B6039A" w:rsidRDefault="001B3DFA" w:rsidP="00FF6FA8">
            <w:pPr>
              <w:spacing w:line="259" w:lineRule="auto"/>
              <w:ind w:left="0" w:firstLine="0"/>
              <w:rPr>
                <w:rFonts w:cstheme="minorHAnsi"/>
                <w:b/>
                <w:bCs/>
                <w:sz w:val="21"/>
                <w:szCs w:val="21"/>
              </w:rPr>
            </w:pPr>
            <w:r w:rsidRPr="00B6039A">
              <w:rPr>
                <w:rFonts w:cstheme="minorHAnsi"/>
                <w:b/>
                <w:bCs/>
                <w:sz w:val="21"/>
                <w:szCs w:val="21"/>
              </w:rPr>
              <w:t>Key Recommendation</w:t>
            </w:r>
          </w:p>
        </w:tc>
        <w:tc>
          <w:tcPr>
            <w:tcW w:w="3970" w:type="dxa"/>
            <w:gridSpan w:val="3"/>
            <w:tcBorders>
              <w:top w:val="single" w:sz="4" w:space="0" w:color="auto"/>
              <w:left w:val="nil"/>
            </w:tcBorders>
          </w:tcPr>
          <w:p w14:paraId="677184BC" w14:textId="637F0A3C" w:rsidR="001B3DFA" w:rsidRPr="00B6039A" w:rsidRDefault="00C15ED7" w:rsidP="0038352C">
            <w:pPr>
              <w:spacing w:line="259" w:lineRule="auto"/>
              <w:ind w:left="0" w:firstLine="0"/>
              <w:jc w:val="right"/>
              <w:rPr>
                <w:rFonts w:cstheme="minorHAnsi"/>
                <w:b/>
                <w:bCs/>
                <w:sz w:val="21"/>
                <w:szCs w:val="21"/>
              </w:rPr>
            </w:pPr>
            <w:r w:rsidRPr="00B6039A">
              <w:rPr>
                <w:rFonts w:cstheme="minorHAnsi"/>
                <w:b/>
                <w:bCs/>
                <w:sz w:val="21"/>
                <w:szCs w:val="21"/>
              </w:rPr>
              <w:t xml:space="preserve">Evidence of </w:t>
            </w:r>
            <w:r w:rsidR="001B3DFA" w:rsidRPr="00B6039A">
              <w:rPr>
                <w:rFonts w:cstheme="minorHAnsi"/>
                <w:b/>
                <w:bCs/>
                <w:sz w:val="21"/>
                <w:szCs w:val="21"/>
              </w:rPr>
              <w:t>implementation</w:t>
            </w:r>
            <w:r w:rsidRPr="00B6039A">
              <w:rPr>
                <w:rFonts w:cstheme="minorHAnsi"/>
                <w:b/>
                <w:bCs/>
                <w:sz w:val="21"/>
                <w:szCs w:val="21"/>
              </w:rPr>
              <w:t xml:space="preserve"> </w:t>
            </w:r>
          </w:p>
        </w:tc>
        <w:tc>
          <w:tcPr>
            <w:tcW w:w="540" w:type="dxa"/>
            <w:tcBorders>
              <w:top w:val="single" w:sz="4" w:space="0" w:color="auto"/>
              <w:left w:val="nil"/>
            </w:tcBorders>
            <w:shd w:val="clear" w:color="auto" w:fill="auto"/>
          </w:tcPr>
          <w:p w14:paraId="129F2134" w14:textId="77777777" w:rsidR="001B3DFA" w:rsidRPr="00B6039A" w:rsidRDefault="001B3DFA" w:rsidP="0038352C">
            <w:pPr>
              <w:spacing w:line="259" w:lineRule="auto"/>
              <w:ind w:left="0" w:firstLine="0"/>
              <w:jc w:val="right"/>
            </w:pPr>
          </w:p>
        </w:tc>
      </w:tr>
      <w:tr w:rsidR="001B3DFA" w:rsidRPr="00B6039A" w14:paraId="44C8BF60" w14:textId="7DC9816F" w:rsidTr="00DD2D52">
        <w:tc>
          <w:tcPr>
            <w:tcW w:w="618" w:type="dxa"/>
          </w:tcPr>
          <w:p w14:paraId="579EE57B" w14:textId="1AF34715"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w:t>
            </w:r>
          </w:p>
        </w:tc>
        <w:tc>
          <w:tcPr>
            <w:tcW w:w="6804" w:type="dxa"/>
            <w:gridSpan w:val="2"/>
          </w:tcPr>
          <w:p w14:paraId="2A413704" w14:textId="5BAB4D84"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Amend Social Security Act Purpose &amp; Principles</w:t>
            </w:r>
          </w:p>
        </w:tc>
        <w:tc>
          <w:tcPr>
            <w:tcW w:w="1128" w:type="dxa"/>
            <w:tcBorders>
              <w:top w:val="single" w:sz="12" w:space="0" w:color="auto"/>
            </w:tcBorders>
            <w:shd w:val="clear" w:color="auto" w:fill="FF6565"/>
          </w:tcPr>
          <w:p w14:paraId="22E84C6D" w14:textId="4EFC9F2C"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val="restart"/>
            <w:tcBorders>
              <w:top w:val="single" w:sz="12" w:space="0" w:color="auto"/>
            </w:tcBorders>
            <w:shd w:val="clear" w:color="auto" w:fill="auto"/>
            <w:textDirection w:val="tbRl"/>
          </w:tcPr>
          <w:p w14:paraId="36776C59" w14:textId="7EA20E19" w:rsidR="001B3DFA" w:rsidRPr="00B6039A" w:rsidRDefault="001B3DFA" w:rsidP="001B3DFA">
            <w:pPr>
              <w:spacing w:line="259" w:lineRule="auto"/>
              <w:ind w:left="113" w:right="113" w:firstLine="0"/>
            </w:pPr>
            <w:r w:rsidRPr="00B6039A">
              <w:t>Set Up</w:t>
            </w:r>
          </w:p>
        </w:tc>
      </w:tr>
      <w:tr w:rsidR="001B3DFA" w:rsidRPr="00B6039A" w14:paraId="675A4424" w14:textId="1E8450E6" w:rsidTr="00DD2D52">
        <w:tc>
          <w:tcPr>
            <w:tcW w:w="618" w:type="dxa"/>
          </w:tcPr>
          <w:p w14:paraId="114B6C7B" w14:textId="01FAAB4D"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2</w:t>
            </w:r>
          </w:p>
        </w:tc>
        <w:tc>
          <w:tcPr>
            <w:tcW w:w="6804" w:type="dxa"/>
            <w:gridSpan w:val="2"/>
          </w:tcPr>
          <w:p w14:paraId="64628E2E" w14:textId="336F9E46"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Welfare System Principles</w:t>
            </w:r>
          </w:p>
        </w:tc>
        <w:tc>
          <w:tcPr>
            <w:tcW w:w="1128" w:type="dxa"/>
            <w:shd w:val="clear" w:color="auto" w:fill="FF6565"/>
          </w:tcPr>
          <w:p w14:paraId="33F55F6A" w14:textId="1A707839"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552054BB" w14:textId="77777777" w:rsidR="001B3DFA" w:rsidRPr="00B6039A" w:rsidRDefault="001B3DFA" w:rsidP="00FF6FA8">
            <w:pPr>
              <w:spacing w:line="259" w:lineRule="auto"/>
              <w:ind w:left="0" w:firstLine="0"/>
            </w:pPr>
          </w:p>
        </w:tc>
      </w:tr>
      <w:tr w:rsidR="001B3DFA" w:rsidRPr="00B6039A" w14:paraId="11DD0D52" w14:textId="545F6738" w:rsidTr="00DD2D52">
        <w:tc>
          <w:tcPr>
            <w:tcW w:w="618" w:type="dxa"/>
          </w:tcPr>
          <w:p w14:paraId="6F085288" w14:textId="088A6512"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3</w:t>
            </w:r>
          </w:p>
        </w:tc>
        <w:tc>
          <w:tcPr>
            <w:tcW w:w="6804" w:type="dxa"/>
            <w:gridSpan w:val="2"/>
          </w:tcPr>
          <w:p w14:paraId="0CF502BB" w14:textId="3200261D"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Cross-ministerial approach to WEAG implementation &amp; monitoring</w:t>
            </w:r>
          </w:p>
        </w:tc>
        <w:tc>
          <w:tcPr>
            <w:tcW w:w="1128" w:type="dxa"/>
            <w:shd w:val="clear" w:color="auto" w:fill="FFFF00"/>
          </w:tcPr>
          <w:p w14:paraId="2E7677C2" w14:textId="7AE117B5"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 xml:space="preserve">Partial </w:t>
            </w:r>
            <w:r w:rsidR="007B0171" w:rsidRPr="00B6039A">
              <w:rPr>
                <w:rFonts w:cstheme="minorHAnsi"/>
                <w:sz w:val="21"/>
                <w:szCs w:val="21"/>
              </w:rPr>
              <w:t>(!)</w:t>
            </w:r>
          </w:p>
        </w:tc>
        <w:tc>
          <w:tcPr>
            <w:tcW w:w="547" w:type="dxa"/>
            <w:gridSpan w:val="2"/>
            <w:vMerge/>
            <w:shd w:val="clear" w:color="auto" w:fill="auto"/>
          </w:tcPr>
          <w:p w14:paraId="6B07AEA6" w14:textId="77777777" w:rsidR="001B3DFA" w:rsidRPr="00B6039A" w:rsidRDefault="001B3DFA" w:rsidP="00FF6FA8">
            <w:pPr>
              <w:spacing w:line="259" w:lineRule="auto"/>
              <w:ind w:left="0" w:firstLine="0"/>
            </w:pPr>
          </w:p>
        </w:tc>
      </w:tr>
      <w:tr w:rsidR="001B3DFA" w:rsidRPr="00B6039A" w14:paraId="318891D3" w14:textId="20C4184F" w:rsidTr="00DD2D52">
        <w:tc>
          <w:tcPr>
            <w:tcW w:w="618" w:type="dxa"/>
          </w:tcPr>
          <w:p w14:paraId="6B2CEC73" w14:textId="40540A94"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4</w:t>
            </w:r>
          </w:p>
        </w:tc>
        <w:tc>
          <w:tcPr>
            <w:tcW w:w="6804" w:type="dxa"/>
            <w:gridSpan w:val="2"/>
          </w:tcPr>
          <w:p w14:paraId="6854ACF9" w14:textId="6E7FFE9E"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Design a welfare system to fulfil the new purpose and principles</w:t>
            </w:r>
          </w:p>
        </w:tc>
        <w:tc>
          <w:tcPr>
            <w:tcW w:w="1128" w:type="dxa"/>
            <w:tcBorders>
              <w:bottom w:val="single" w:sz="12" w:space="0" w:color="auto"/>
            </w:tcBorders>
            <w:shd w:val="clear" w:color="auto" w:fill="FF6565"/>
          </w:tcPr>
          <w:p w14:paraId="137CB06A" w14:textId="564B83D6"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tcBorders>
              <w:bottom w:val="single" w:sz="12" w:space="0" w:color="auto"/>
            </w:tcBorders>
            <w:shd w:val="clear" w:color="auto" w:fill="auto"/>
          </w:tcPr>
          <w:p w14:paraId="1DE547DF" w14:textId="77777777" w:rsidR="001B3DFA" w:rsidRPr="00B6039A" w:rsidRDefault="001B3DFA" w:rsidP="00FF6FA8">
            <w:pPr>
              <w:spacing w:line="259" w:lineRule="auto"/>
              <w:ind w:left="0" w:firstLine="0"/>
            </w:pPr>
          </w:p>
        </w:tc>
      </w:tr>
      <w:tr w:rsidR="001B3DFA" w:rsidRPr="00B6039A" w14:paraId="3E52398F" w14:textId="00030032" w:rsidTr="00DD2D52">
        <w:tc>
          <w:tcPr>
            <w:tcW w:w="618" w:type="dxa"/>
          </w:tcPr>
          <w:p w14:paraId="51A0017C" w14:textId="7326B295"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5</w:t>
            </w:r>
          </w:p>
        </w:tc>
        <w:tc>
          <w:tcPr>
            <w:tcW w:w="6804" w:type="dxa"/>
            <w:gridSpan w:val="2"/>
          </w:tcPr>
          <w:p w14:paraId="5F4F11C9" w14:textId="7BD8C22D"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Report information on key outcomes for welfare recipients</w:t>
            </w:r>
          </w:p>
        </w:tc>
        <w:tc>
          <w:tcPr>
            <w:tcW w:w="1128" w:type="dxa"/>
            <w:tcBorders>
              <w:top w:val="single" w:sz="12" w:space="0" w:color="auto"/>
              <w:bottom w:val="single" w:sz="12" w:space="0" w:color="auto"/>
            </w:tcBorders>
            <w:shd w:val="clear" w:color="auto" w:fill="FFC000"/>
          </w:tcPr>
          <w:p w14:paraId="776A2674" w14:textId="161A4F03"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Minimal</w:t>
            </w:r>
          </w:p>
        </w:tc>
        <w:tc>
          <w:tcPr>
            <w:tcW w:w="547" w:type="dxa"/>
            <w:gridSpan w:val="2"/>
            <w:tcBorders>
              <w:top w:val="single" w:sz="12" w:space="0" w:color="auto"/>
              <w:bottom w:val="single" w:sz="12" w:space="0" w:color="auto"/>
            </w:tcBorders>
            <w:shd w:val="clear" w:color="auto" w:fill="auto"/>
          </w:tcPr>
          <w:p w14:paraId="0E2B2AE6" w14:textId="77777777" w:rsidR="001B3DFA" w:rsidRPr="00B6039A" w:rsidRDefault="001B3DFA" w:rsidP="00FF6FA8">
            <w:pPr>
              <w:spacing w:line="259" w:lineRule="auto"/>
              <w:ind w:left="0" w:firstLine="0"/>
            </w:pPr>
          </w:p>
        </w:tc>
      </w:tr>
      <w:tr w:rsidR="001B3DFA" w:rsidRPr="00B6039A" w14:paraId="2E4C4A31" w14:textId="29197DE4" w:rsidTr="00DD2D52">
        <w:tc>
          <w:tcPr>
            <w:tcW w:w="618" w:type="dxa"/>
          </w:tcPr>
          <w:p w14:paraId="18CC984D" w14:textId="2E9E0573"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6</w:t>
            </w:r>
          </w:p>
        </w:tc>
        <w:tc>
          <w:tcPr>
            <w:tcW w:w="6804" w:type="dxa"/>
            <w:gridSpan w:val="2"/>
          </w:tcPr>
          <w:p w14:paraId="737701E1" w14:textId="26CE038A"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Staff competencies to achieve greater equity for Māori</w:t>
            </w:r>
          </w:p>
        </w:tc>
        <w:tc>
          <w:tcPr>
            <w:tcW w:w="1128" w:type="dxa"/>
            <w:tcBorders>
              <w:top w:val="single" w:sz="12" w:space="0" w:color="auto"/>
            </w:tcBorders>
            <w:shd w:val="clear" w:color="auto" w:fill="FFFF00"/>
          </w:tcPr>
          <w:p w14:paraId="37901A43" w14:textId="7CD03A2B"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Partial</w:t>
            </w:r>
          </w:p>
        </w:tc>
        <w:tc>
          <w:tcPr>
            <w:tcW w:w="547" w:type="dxa"/>
            <w:gridSpan w:val="2"/>
            <w:vMerge w:val="restart"/>
            <w:tcBorders>
              <w:top w:val="single" w:sz="12" w:space="0" w:color="auto"/>
            </w:tcBorders>
            <w:shd w:val="clear" w:color="auto" w:fill="auto"/>
            <w:textDirection w:val="tbRl"/>
          </w:tcPr>
          <w:p w14:paraId="67350BB2" w14:textId="30D1E494" w:rsidR="001B3DFA" w:rsidRPr="00B6039A" w:rsidRDefault="001B3DFA" w:rsidP="001B3DFA">
            <w:pPr>
              <w:ind w:left="0" w:firstLine="0"/>
              <w:rPr>
                <w:sz w:val="20"/>
                <w:szCs w:val="20"/>
              </w:rPr>
            </w:pPr>
            <w:r w:rsidRPr="00B6039A">
              <w:rPr>
                <w:sz w:val="20"/>
                <w:szCs w:val="20"/>
              </w:rPr>
              <w:t>Māori/ Pacific</w:t>
            </w:r>
          </w:p>
          <w:p w14:paraId="51FF6E4E" w14:textId="30CD7933" w:rsidR="001B3DFA" w:rsidRPr="00B6039A" w:rsidRDefault="001B3DFA" w:rsidP="001B3DFA">
            <w:pPr>
              <w:spacing w:line="259" w:lineRule="auto"/>
              <w:ind w:left="113" w:right="113" w:firstLine="0"/>
            </w:pPr>
          </w:p>
        </w:tc>
      </w:tr>
      <w:tr w:rsidR="001B3DFA" w:rsidRPr="00B6039A" w14:paraId="0136BA0F" w14:textId="4F3779B1" w:rsidTr="00DD2D52">
        <w:tc>
          <w:tcPr>
            <w:tcW w:w="618" w:type="dxa"/>
          </w:tcPr>
          <w:p w14:paraId="79068340" w14:textId="7F43E869"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7</w:t>
            </w:r>
          </w:p>
        </w:tc>
        <w:tc>
          <w:tcPr>
            <w:tcW w:w="6804" w:type="dxa"/>
            <w:gridSpan w:val="2"/>
          </w:tcPr>
          <w:p w14:paraId="3FC70913" w14:textId="5D820462"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 xml:space="preserve">Chief Executive of MSD accountable to iwi and to Māori </w:t>
            </w:r>
          </w:p>
        </w:tc>
        <w:tc>
          <w:tcPr>
            <w:tcW w:w="1128" w:type="dxa"/>
            <w:shd w:val="clear" w:color="auto" w:fill="FF6565"/>
          </w:tcPr>
          <w:p w14:paraId="51B3FE7C" w14:textId="6377344C"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1E446B3F" w14:textId="10CA3AD7" w:rsidR="001B3DFA" w:rsidRPr="00B6039A" w:rsidRDefault="001B3DFA" w:rsidP="00FF6FA8">
            <w:pPr>
              <w:spacing w:line="259" w:lineRule="auto"/>
              <w:ind w:left="0" w:firstLine="0"/>
            </w:pPr>
          </w:p>
        </w:tc>
      </w:tr>
      <w:tr w:rsidR="001B3DFA" w:rsidRPr="00B6039A" w14:paraId="383AC587" w14:textId="41D31199" w:rsidTr="00DD2D52">
        <w:tc>
          <w:tcPr>
            <w:tcW w:w="618" w:type="dxa"/>
          </w:tcPr>
          <w:p w14:paraId="5E296E8B" w14:textId="6B3809F7"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8</w:t>
            </w:r>
          </w:p>
        </w:tc>
        <w:tc>
          <w:tcPr>
            <w:tcW w:w="6804" w:type="dxa"/>
            <w:gridSpan w:val="2"/>
          </w:tcPr>
          <w:p w14:paraId="2B8C9137" w14:textId="37D2A825"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Cultural responsiveness to Pacific People</w:t>
            </w:r>
          </w:p>
        </w:tc>
        <w:tc>
          <w:tcPr>
            <w:tcW w:w="1128" w:type="dxa"/>
            <w:shd w:val="clear" w:color="auto" w:fill="FFFF00"/>
          </w:tcPr>
          <w:p w14:paraId="4AABB490" w14:textId="40085C78"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Partial</w:t>
            </w:r>
          </w:p>
        </w:tc>
        <w:tc>
          <w:tcPr>
            <w:tcW w:w="547" w:type="dxa"/>
            <w:gridSpan w:val="2"/>
            <w:vMerge/>
            <w:shd w:val="clear" w:color="auto" w:fill="auto"/>
          </w:tcPr>
          <w:p w14:paraId="5956FFE2" w14:textId="36CD48BA" w:rsidR="001B3DFA" w:rsidRPr="00B6039A" w:rsidRDefault="001B3DFA" w:rsidP="00FF6FA8">
            <w:pPr>
              <w:spacing w:line="259" w:lineRule="auto"/>
              <w:ind w:left="0" w:firstLine="0"/>
            </w:pPr>
          </w:p>
        </w:tc>
      </w:tr>
      <w:tr w:rsidR="001B3DFA" w:rsidRPr="00B6039A" w14:paraId="5FAD68B6" w14:textId="79A3711E" w:rsidTr="00DD2D52">
        <w:tc>
          <w:tcPr>
            <w:tcW w:w="618" w:type="dxa"/>
          </w:tcPr>
          <w:p w14:paraId="45713225" w14:textId="0BE3E05D"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9</w:t>
            </w:r>
          </w:p>
        </w:tc>
        <w:tc>
          <w:tcPr>
            <w:tcW w:w="6804" w:type="dxa"/>
            <w:gridSpan w:val="2"/>
          </w:tcPr>
          <w:p w14:paraId="229DA0E4" w14:textId="63E39195"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Additional ways to improve outcomes for Māori</w:t>
            </w:r>
          </w:p>
        </w:tc>
        <w:tc>
          <w:tcPr>
            <w:tcW w:w="1128" w:type="dxa"/>
            <w:tcBorders>
              <w:bottom w:val="single" w:sz="12" w:space="0" w:color="auto"/>
            </w:tcBorders>
            <w:shd w:val="clear" w:color="auto" w:fill="FFFF00"/>
          </w:tcPr>
          <w:p w14:paraId="14321071" w14:textId="14D51BC8"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Partial</w:t>
            </w:r>
          </w:p>
        </w:tc>
        <w:tc>
          <w:tcPr>
            <w:tcW w:w="547" w:type="dxa"/>
            <w:gridSpan w:val="2"/>
            <w:vMerge/>
            <w:tcBorders>
              <w:bottom w:val="single" w:sz="12" w:space="0" w:color="auto"/>
            </w:tcBorders>
            <w:shd w:val="clear" w:color="auto" w:fill="auto"/>
          </w:tcPr>
          <w:p w14:paraId="0E377AF2" w14:textId="758B805F" w:rsidR="001B3DFA" w:rsidRPr="00B6039A" w:rsidRDefault="001B3DFA" w:rsidP="00FF6FA8">
            <w:pPr>
              <w:spacing w:line="259" w:lineRule="auto"/>
              <w:ind w:left="0" w:firstLine="0"/>
            </w:pPr>
          </w:p>
        </w:tc>
      </w:tr>
      <w:tr w:rsidR="001B3DFA" w:rsidRPr="00B6039A" w14:paraId="32FCBE8E" w14:textId="017450E3" w:rsidTr="00DD2D52">
        <w:tc>
          <w:tcPr>
            <w:tcW w:w="618" w:type="dxa"/>
          </w:tcPr>
          <w:p w14:paraId="5E14EA93" w14:textId="1AFEC179"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10</w:t>
            </w:r>
          </w:p>
        </w:tc>
        <w:tc>
          <w:tcPr>
            <w:tcW w:w="6804" w:type="dxa"/>
            <w:gridSpan w:val="2"/>
          </w:tcPr>
          <w:p w14:paraId="6377E33D" w14:textId="3F28D132"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Mutual expectations between MSD and welfare recipients</w:t>
            </w:r>
          </w:p>
        </w:tc>
        <w:tc>
          <w:tcPr>
            <w:tcW w:w="1128" w:type="dxa"/>
            <w:tcBorders>
              <w:top w:val="single" w:sz="12" w:space="0" w:color="auto"/>
            </w:tcBorders>
            <w:shd w:val="clear" w:color="auto" w:fill="FF6565"/>
          </w:tcPr>
          <w:p w14:paraId="09559333" w14:textId="632B49E8"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r w:rsidR="007B0171" w:rsidRPr="00B6039A">
              <w:rPr>
                <w:rFonts w:cstheme="minorHAnsi"/>
                <w:sz w:val="21"/>
                <w:szCs w:val="21"/>
              </w:rPr>
              <w:t xml:space="preserve"> (!)</w:t>
            </w:r>
          </w:p>
        </w:tc>
        <w:tc>
          <w:tcPr>
            <w:tcW w:w="547" w:type="dxa"/>
            <w:gridSpan w:val="2"/>
            <w:vMerge w:val="restart"/>
            <w:tcBorders>
              <w:top w:val="single" w:sz="12" w:space="0" w:color="auto"/>
            </w:tcBorders>
            <w:shd w:val="clear" w:color="auto" w:fill="auto"/>
            <w:textDirection w:val="tbRl"/>
          </w:tcPr>
          <w:p w14:paraId="664FC611" w14:textId="057549DA" w:rsidR="001B3DFA" w:rsidRPr="00B6039A" w:rsidRDefault="001B3DFA" w:rsidP="001B3DFA">
            <w:pPr>
              <w:spacing w:line="259" w:lineRule="auto"/>
              <w:ind w:left="113" w:right="113" w:firstLine="0"/>
            </w:pPr>
            <w:r w:rsidRPr="00B6039A">
              <w:t>Behaviour</w:t>
            </w:r>
          </w:p>
        </w:tc>
      </w:tr>
      <w:tr w:rsidR="001B3DFA" w:rsidRPr="00B6039A" w14:paraId="6EBF19F2" w14:textId="1D6E5D76" w:rsidTr="00DD2D52">
        <w:tc>
          <w:tcPr>
            <w:tcW w:w="618" w:type="dxa"/>
          </w:tcPr>
          <w:p w14:paraId="4260994D" w14:textId="4FF56C89"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11</w:t>
            </w:r>
          </w:p>
        </w:tc>
        <w:tc>
          <w:tcPr>
            <w:tcW w:w="6804" w:type="dxa"/>
            <w:gridSpan w:val="2"/>
          </w:tcPr>
          <w:p w14:paraId="0EE5F37F" w14:textId="611E8A98"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Remove some obligations and sanctions</w:t>
            </w:r>
          </w:p>
        </w:tc>
        <w:tc>
          <w:tcPr>
            <w:tcW w:w="1128" w:type="dxa"/>
            <w:shd w:val="clear" w:color="auto" w:fill="FFC000"/>
          </w:tcPr>
          <w:p w14:paraId="26BAFE6B" w14:textId="4F87D8B3"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Minimal</w:t>
            </w:r>
            <w:r w:rsidR="007B0171" w:rsidRPr="00B6039A">
              <w:rPr>
                <w:rFonts w:cstheme="minorHAnsi"/>
                <w:sz w:val="21"/>
                <w:szCs w:val="21"/>
              </w:rPr>
              <w:t xml:space="preserve"> *</w:t>
            </w:r>
          </w:p>
        </w:tc>
        <w:tc>
          <w:tcPr>
            <w:tcW w:w="547" w:type="dxa"/>
            <w:gridSpan w:val="2"/>
            <w:vMerge/>
            <w:shd w:val="clear" w:color="auto" w:fill="auto"/>
          </w:tcPr>
          <w:p w14:paraId="2E042A4C" w14:textId="77777777" w:rsidR="001B3DFA" w:rsidRPr="00B6039A" w:rsidRDefault="001B3DFA" w:rsidP="00FF6FA8">
            <w:pPr>
              <w:spacing w:line="259" w:lineRule="auto"/>
              <w:ind w:left="0" w:firstLine="0"/>
            </w:pPr>
          </w:p>
        </w:tc>
      </w:tr>
      <w:tr w:rsidR="001B3DFA" w:rsidRPr="00B6039A" w14:paraId="7384DF76" w14:textId="70D76273" w:rsidTr="00DD2D52">
        <w:tc>
          <w:tcPr>
            <w:tcW w:w="618" w:type="dxa"/>
          </w:tcPr>
          <w:p w14:paraId="4A06737B" w14:textId="79E3FB23"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12</w:t>
            </w:r>
          </w:p>
        </w:tc>
        <w:tc>
          <w:tcPr>
            <w:tcW w:w="6804" w:type="dxa"/>
            <w:gridSpan w:val="2"/>
          </w:tcPr>
          <w:p w14:paraId="74892121" w14:textId="488A8BF5"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Staff KPIs etc, &amp; complaints processes uphold new purpose.</w:t>
            </w:r>
          </w:p>
        </w:tc>
        <w:tc>
          <w:tcPr>
            <w:tcW w:w="1128" w:type="dxa"/>
            <w:shd w:val="clear" w:color="auto" w:fill="FFC000"/>
          </w:tcPr>
          <w:p w14:paraId="4BC8DAF6" w14:textId="422BB435"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Minimal</w:t>
            </w:r>
            <w:r w:rsidR="007B0171" w:rsidRPr="00B6039A">
              <w:rPr>
                <w:rFonts w:cstheme="minorHAnsi"/>
                <w:sz w:val="21"/>
                <w:szCs w:val="21"/>
              </w:rPr>
              <w:t xml:space="preserve"> *</w:t>
            </w:r>
          </w:p>
        </w:tc>
        <w:tc>
          <w:tcPr>
            <w:tcW w:w="547" w:type="dxa"/>
            <w:gridSpan w:val="2"/>
            <w:vMerge/>
            <w:shd w:val="clear" w:color="auto" w:fill="auto"/>
          </w:tcPr>
          <w:p w14:paraId="11E8C280" w14:textId="77777777" w:rsidR="001B3DFA" w:rsidRPr="00B6039A" w:rsidRDefault="001B3DFA" w:rsidP="00FF6FA8">
            <w:pPr>
              <w:spacing w:line="259" w:lineRule="auto"/>
              <w:ind w:left="0" w:firstLine="0"/>
            </w:pPr>
          </w:p>
        </w:tc>
      </w:tr>
      <w:tr w:rsidR="001B3DFA" w:rsidRPr="00B6039A" w14:paraId="3F9F43A4" w14:textId="297A718F" w:rsidTr="00DD2D52">
        <w:tc>
          <w:tcPr>
            <w:tcW w:w="618" w:type="dxa"/>
          </w:tcPr>
          <w:p w14:paraId="451DA7FF" w14:textId="70B53248"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13</w:t>
            </w:r>
          </w:p>
        </w:tc>
        <w:tc>
          <w:tcPr>
            <w:tcW w:w="6804" w:type="dxa"/>
            <w:gridSpan w:val="2"/>
          </w:tcPr>
          <w:p w14:paraId="1DC2CD50" w14:textId="490FDCBC"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Sole parents in part-time work when youngest child is 6yo not 3yo</w:t>
            </w:r>
          </w:p>
        </w:tc>
        <w:tc>
          <w:tcPr>
            <w:tcW w:w="1128" w:type="dxa"/>
            <w:tcBorders>
              <w:bottom w:val="single" w:sz="12" w:space="0" w:color="auto"/>
            </w:tcBorders>
            <w:shd w:val="clear" w:color="auto" w:fill="FF6565"/>
          </w:tcPr>
          <w:p w14:paraId="554B2A36" w14:textId="44556D97"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tcBorders>
              <w:bottom w:val="single" w:sz="12" w:space="0" w:color="auto"/>
            </w:tcBorders>
            <w:shd w:val="clear" w:color="auto" w:fill="auto"/>
          </w:tcPr>
          <w:p w14:paraId="5963323F" w14:textId="77777777" w:rsidR="001B3DFA" w:rsidRPr="00B6039A" w:rsidRDefault="001B3DFA" w:rsidP="00FF6FA8">
            <w:pPr>
              <w:spacing w:line="259" w:lineRule="auto"/>
              <w:ind w:left="0" w:firstLine="0"/>
            </w:pPr>
          </w:p>
        </w:tc>
      </w:tr>
      <w:tr w:rsidR="001B3DFA" w:rsidRPr="00B6039A" w14:paraId="7F9A6877" w14:textId="4D8B76AC" w:rsidTr="00DD2D52">
        <w:tc>
          <w:tcPr>
            <w:tcW w:w="618" w:type="dxa"/>
          </w:tcPr>
          <w:p w14:paraId="57D71BEB" w14:textId="0DB55611"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14</w:t>
            </w:r>
          </w:p>
        </w:tc>
        <w:tc>
          <w:tcPr>
            <w:tcW w:w="6804" w:type="dxa"/>
            <w:gridSpan w:val="2"/>
          </w:tcPr>
          <w:p w14:paraId="7256F81C" w14:textId="6C3FF22B"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Prioritise benefit debt reduction through sustainable repayments</w:t>
            </w:r>
          </w:p>
        </w:tc>
        <w:tc>
          <w:tcPr>
            <w:tcW w:w="1128" w:type="dxa"/>
            <w:tcBorders>
              <w:top w:val="single" w:sz="12" w:space="0" w:color="auto"/>
            </w:tcBorders>
            <w:shd w:val="clear" w:color="auto" w:fill="FF6565"/>
          </w:tcPr>
          <w:p w14:paraId="0D79400A" w14:textId="7CF96D30"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r w:rsidR="007B0171" w:rsidRPr="00B6039A">
              <w:rPr>
                <w:rFonts w:cstheme="minorHAnsi"/>
                <w:sz w:val="21"/>
                <w:szCs w:val="21"/>
              </w:rPr>
              <w:t xml:space="preserve"> (!)</w:t>
            </w:r>
          </w:p>
        </w:tc>
        <w:tc>
          <w:tcPr>
            <w:tcW w:w="547" w:type="dxa"/>
            <w:gridSpan w:val="2"/>
            <w:vMerge w:val="restart"/>
            <w:tcBorders>
              <w:top w:val="single" w:sz="12" w:space="0" w:color="auto"/>
            </w:tcBorders>
            <w:shd w:val="clear" w:color="auto" w:fill="auto"/>
            <w:textDirection w:val="tbRl"/>
          </w:tcPr>
          <w:p w14:paraId="7A5491E0" w14:textId="24DBF18F" w:rsidR="001B3DFA" w:rsidRPr="00B6039A" w:rsidRDefault="001B3DFA" w:rsidP="001B3DFA">
            <w:pPr>
              <w:spacing w:line="259" w:lineRule="auto"/>
              <w:ind w:left="113" w:right="113" w:firstLine="0"/>
            </w:pPr>
            <w:r w:rsidRPr="00B6039A">
              <w:t>Debt</w:t>
            </w:r>
          </w:p>
        </w:tc>
      </w:tr>
      <w:tr w:rsidR="001B3DFA" w:rsidRPr="00B6039A" w14:paraId="626F579F" w14:textId="196D4613" w:rsidTr="00DD2D52">
        <w:tc>
          <w:tcPr>
            <w:tcW w:w="618" w:type="dxa"/>
          </w:tcPr>
          <w:p w14:paraId="56051629" w14:textId="7F55D371"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15</w:t>
            </w:r>
          </w:p>
        </w:tc>
        <w:tc>
          <w:tcPr>
            <w:tcW w:w="6804" w:type="dxa"/>
            <w:gridSpan w:val="2"/>
          </w:tcPr>
          <w:p w14:paraId="1C2FF937" w14:textId="3128C7E6"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Benefit debt treated in the same way as taxpayer debt</w:t>
            </w:r>
          </w:p>
        </w:tc>
        <w:tc>
          <w:tcPr>
            <w:tcW w:w="1128" w:type="dxa"/>
            <w:shd w:val="clear" w:color="auto" w:fill="FF6565"/>
          </w:tcPr>
          <w:p w14:paraId="7778700B" w14:textId="6518F376"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1025F895" w14:textId="77777777" w:rsidR="001B3DFA" w:rsidRPr="00B6039A" w:rsidRDefault="001B3DFA" w:rsidP="00FF6FA8">
            <w:pPr>
              <w:spacing w:line="259" w:lineRule="auto"/>
              <w:ind w:left="0" w:firstLine="0"/>
            </w:pPr>
          </w:p>
        </w:tc>
      </w:tr>
      <w:tr w:rsidR="001B3DFA" w:rsidRPr="00B6039A" w14:paraId="15823250" w14:textId="1BBE3004" w:rsidTr="00DD2D52">
        <w:tc>
          <w:tcPr>
            <w:tcW w:w="618" w:type="dxa"/>
          </w:tcPr>
          <w:p w14:paraId="7550CFC0" w14:textId="2AC25717"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16</w:t>
            </w:r>
          </w:p>
        </w:tc>
        <w:tc>
          <w:tcPr>
            <w:tcW w:w="6804" w:type="dxa"/>
            <w:gridSpan w:val="2"/>
          </w:tcPr>
          <w:p w14:paraId="383EDC2E" w14:textId="74BA9F4F" w:rsidR="001B3DFA" w:rsidRPr="00B6039A" w:rsidRDefault="0029286F" w:rsidP="00FF6FA8">
            <w:pPr>
              <w:spacing w:line="259" w:lineRule="auto"/>
              <w:ind w:left="0" w:firstLine="0"/>
              <w:rPr>
                <w:rFonts w:cstheme="minorHAnsi"/>
                <w:sz w:val="21"/>
                <w:szCs w:val="21"/>
              </w:rPr>
            </w:pPr>
            <w:r w:rsidRPr="00B6039A">
              <w:rPr>
                <w:rFonts w:cstheme="minorHAnsi"/>
                <w:sz w:val="21"/>
                <w:szCs w:val="21"/>
              </w:rPr>
              <w:t>C</w:t>
            </w:r>
            <w:r w:rsidR="001B3DFA" w:rsidRPr="00B6039A">
              <w:rPr>
                <w:rFonts w:cstheme="minorHAnsi"/>
                <w:sz w:val="21"/>
                <w:szCs w:val="21"/>
              </w:rPr>
              <w:t>ross-govt approach to managing debt to govt agencies</w:t>
            </w:r>
          </w:p>
        </w:tc>
        <w:tc>
          <w:tcPr>
            <w:tcW w:w="1128" w:type="dxa"/>
            <w:tcBorders>
              <w:bottom w:val="single" w:sz="12" w:space="0" w:color="auto"/>
            </w:tcBorders>
            <w:shd w:val="clear" w:color="auto" w:fill="FF6565"/>
          </w:tcPr>
          <w:p w14:paraId="5E91AC0C" w14:textId="5A87A94E"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tcBorders>
              <w:bottom w:val="single" w:sz="12" w:space="0" w:color="auto"/>
            </w:tcBorders>
            <w:shd w:val="clear" w:color="auto" w:fill="auto"/>
          </w:tcPr>
          <w:p w14:paraId="6A44D2A8" w14:textId="77777777" w:rsidR="001B3DFA" w:rsidRPr="00B6039A" w:rsidRDefault="001B3DFA" w:rsidP="00FF6FA8">
            <w:pPr>
              <w:spacing w:line="259" w:lineRule="auto"/>
              <w:ind w:left="0" w:firstLine="0"/>
            </w:pPr>
          </w:p>
        </w:tc>
      </w:tr>
      <w:tr w:rsidR="001B3DFA" w:rsidRPr="00B6039A" w14:paraId="18214343" w14:textId="6D5262A0" w:rsidTr="00DD2D52">
        <w:tc>
          <w:tcPr>
            <w:tcW w:w="618" w:type="dxa"/>
          </w:tcPr>
          <w:p w14:paraId="44499FBE" w14:textId="4F0572C3"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17</w:t>
            </w:r>
          </w:p>
        </w:tc>
        <w:tc>
          <w:tcPr>
            <w:tcW w:w="6804" w:type="dxa"/>
            <w:gridSpan w:val="2"/>
          </w:tcPr>
          <w:p w14:paraId="578222F9" w14:textId="6532BBA1"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 xml:space="preserve">Endorse MSD approach to fraud. Natural justice &amp; independent review </w:t>
            </w:r>
          </w:p>
        </w:tc>
        <w:tc>
          <w:tcPr>
            <w:tcW w:w="1128" w:type="dxa"/>
            <w:tcBorders>
              <w:top w:val="single" w:sz="12" w:space="0" w:color="auto"/>
            </w:tcBorders>
            <w:shd w:val="clear" w:color="auto" w:fill="FFC000"/>
          </w:tcPr>
          <w:p w14:paraId="36849A53" w14:textId="140C6EC6"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Minimal</w:t>
            </w:r>
          </w:p>
        </w:tc>
        <w:tc>
          <w:tcPr>
            <w:tcW w:w="547" w:type="dxa"/>
            <w:gridSpan w:val="2"/>
            <w:tcBorders>
              <w:top w:val="single" w:sz="12" w:space="0" w:color="auto"/>
            </w:tcBorders>
            <w:shd w:val="clear" w:color="auto" w:fill="auto"/>
          </w:tcPr>
          <w:p w14:paraId="0C9E8E09" w14:textId="77777777" w:rsidR="001B3DFA" w:rsidRPr="00B6039A" w:rsidRDefault="001B3DFA" w:rsidP="00FF6FA8">
            <w:pPr>
              <w:spacing w:line="259" w:lineRule="auto"/>
              <w:ind w:left="0" w:firstLine="0"/>
            </w:pPr>
          </w:p>
        </w:tc>
      </w:tr>
      <w:tr w:rsidR="001B3DFA" w:rsidRPr="00B6039A" w14:paraId="341E00C9" w14:textId="39BBB720" w:rsidTr="00DD2D52">
        <w:tc>
          <w:tcPr>
            <w:tcW w:w="618" w:type="dxa"/>
          </w:tcPr>
          <w:p w14:paraId="044B15DD" w14:textId="5B7CDEA3"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18</w:t>
            </w:r>
          </w:p>
        </w:tc>
        <w:tc>
          <w:tcPr>
            <w:tcW w:w="6804" w:type="dxa"/>
            <w:gridSpan w:val="2"/>
          </w:tcPr>
          <w:p w14:paraId="4F926114" w14:textId="7F842D1B"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Better support for people exiting prisons</w:t>
            </w:r>
          </w:p>
        </w:tc>
        <w:tc>
          <w:tcPr>
            <w:tcW w:w="1128" w:type="dxa"/>
            <w:tcBorders>
              <w:bottom w:val="single" w:sz="12" w:space="0" w:color="auto"/>
            </w:tcBorders>
            <w:shd w:val="clear" w:color="auto" w:fill="FF6565"/>
          </w:tcPr>
          <w:p w14:paraId="3DA31308" w14:textId="6D257418"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tcBorders>
              <w:bottom w:val="single" w:sz="12" w:space="0" w:color="auto"/>
            </w:tcBorders>
            <w:shd w:val="clear" w:color="auto" w:fill="auto"/>
          </w:tcPr>
          <w:p w14:paraId="716D27E1" w14:textId="77777777" w:rsidR="001B3DFA" w:rsidRPr="00B6039A" w:rsidRDefault="001B3DFA" w:rsidP="00FF6FA8">
            <w:pPr>
              <w:spacing w:line="259" w:lineRule="auto"/>
              <w:ind w:left="0" w:firstLine="0"/>
            </w:pPr>
          </w:p>
        </w:tc>
      </w:tr>
      <w:tr w:rsidR="00DD2D52" w:rsidRPr="00B6039A" w14:paraId="60685CEF" w14:textId="039FDA1A" w:rsidTr="00DD2D52">
        <w:tc>
          <w:tcPr>
            <w:tcW w:w="618" w:type="dxa"/>
          </w:tcPr>
          <w:p w14:paraId="7A8F68B4" w14:textId="2B7AD110"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19</w:t>
            </w:r>
          </w:p>
        </w:tc>
        <w:tc>
          <w:tcPr>
            <w:tcW w:w="6804" w:type="dxa"/>
            <w:gridSpan w:val="2"/>
          </w:tcPr>
          <w:p w14:paraId="6AB0C470" w14:textId="327C5FAA"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 xml:space="preserve">Principles to redesign income support </w:t>
            </w:r>
          </w:p>
        </w:tc>
        <w:tc>
          <w:tcPr>
            <w:tcW w:w="1128" w:type="dxa"/>
            <w:tcBorders>
              <w:top w:val="single" w:sz="12" w:space="0" w:color="auto"/>
            </w:tcBorders>
            <w:shd w:val="clear" w:color="auto" w:fill="FF6565"/>
          </w:tcPr>
          <w:p w14:paraId="1A6CF10E" w14:textId="721047AD"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val="restart"/>
            <w:tcBorders>
              <w:top w:val="single" w:sz="12" w:space="0" w:color="auto"/>
            </w:tcBorders>
            <w:shd w:val="clear" w:color="auto" w:fill="auto"/>
            <w:textDirection w:val="tbRl"/>
          </w:tcPr>
          <w:p w14:paraId="267ED88F" w14:textId="03257024" w:rsidR="00DD2D52" w:rsidRPr="00B6039A" w:rsidRDefault="00DD2D52" w:rsidP="00DD2D52">
            <w:pPr>
              <w:spacing w:line="259" w:lineRule="auto"/>
              <w:ind w:left="113" w:right="113" w:firstLine="0"/>
            </w:pPr>
            <w:r w:rsidRPr="00B6039A">
              <w:t>Income Support</w:t>
            </w:r>
          </w:p>
        </w:tc>
      </w:tr>
      <w:tr w:rsidR="00DD2D52" w:rsidRPr="00B6039A" w14:paraId="7FE73BA0" w14:textId="6B46B9DE" w:rsidTr="00DD2D52">
        <w:tc>
          <w:tcPr>
            <w:tcW w:w="618" w:type="dxa"/>
          </w:tcPr>
          <w:p w14:paraId="75D438DD" w14:textId="71129C5B"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20</w:t>
            </w:r>
          </w:p>
        </w:tc>
        <w:tc>
          <w:tcPr>
            <w:tcW w:w="6804" w:type="dxa"/>
            <w:gridSpan w:val="2"/>
          </w:tcPr>
          <w:p w14:paraId="6996621B" w14:textId="6303ADA3" w:rsidR="00DD2D52" w:rsidRPr="00B6039A" w:rsidRDefault="00DD2D52" w:rsidP="005F12E6">
            <w:pPr>
              <w:ind w:left="0" w:firstLine="0"/>
              <w:rPr>
                <w:rFonts w:cstheme="minorHAnsi"/>
                <w:sz w:val="21"/>
                <w:szCs w:val="21"/>
              </w:rPr>
            </w:pPr>
            <w:r w:rsidRPr="00B6039A">
              <w:rPr>
                <w:rFonts w:cstheme="minorHAnsi"/>
                <w:sz w:val="21"/>
                <w:szCs w:val="21"/>
              </w:rPr>
              <w:t>Increase main benefits 12% - 47% and increase abatement thresholds</w:t>
            </w:r>
          </w:p>
        </w:tc>
        <w:tc>
          <w:tcPr>
            <w:tcW w:w="1128" w:type="dxa"/>
            <w:shd w:val="clear" w:color="auto" w:fill="FFC000"/>
          </w:tcPr>
          <w:p w14:paraId="493E8E55" w14:textId="23715A73"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Minimal</w:t>
            </w:r>
            <w:r w:rsidR="00A0043F" w:rsidRPr="00B6039A">
              <w:rPr>
                <w:rFonts w:cstheme="minorHAnsi"/>
                <w:sz w:val="21"/>
                <w:szCs w:val="21"/>
              </w:rPr>
              <w:t xml:space="preserve"> #</w:t>
            </w:r>
          </w:p>
        </w:tc>
        <w:tc>
          <w:tcPr>
            <w:tcW w:w="547" w:type="dxa"/>
            <w:gridSpan w:val="2"/>
            <w:vMerge/>
            <w:shd w:val="clear" w:color="auto" w:fill="auto"/>
          </w:tcPr>
          <w:p w14:paraId="13556446" w14:textId="77777777" w:rsidR="00DD2D52" w:rsidRPr="00B6039A" w:rsidRDefault="00DD2D52" w:rsidP="00FF6FA8">
            <w:pPr>
              <w:spacing w:line="259" w:lineRule="auto"/>
              <w:ind w:left="0" w:firstLine="0"/>
            </w:pPr>
          </w:p>
        </w:tc>
      </w:tr>
      <w:tr w:rsidR="00DD2D52" w:rsidRPr="00B6039A" w14:paraId="128FB926" w14:textId="4DF49730" w:rsidTr="00DD2D52">
        <w:tc>
          <w:tcPr>
            <w:tcW w:w="618" w:type="dxa"/>
          </w:tcPr>
          <w:p w14:paraId="575BAD3C" w14:textId="4EB9265D"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21</w:t>
            </w:r>
          </w:p>
        </w:tc>
        <w:tc>
          <w:tcPr>
            <w:tcW w:w="6804" w:type="dxa"/>
            <w:gridSpan w:val="2"/>
          </w:tcPr>
          <w:p w14:paraId="7311CE01" w14:textId="635A7129"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 xml:space="preserve">Indexing of all income support payments </w:t>
            </w:r>
          </w:p>
        </w:tc>
        <w:tc>
          <w:tcPr>
            <w:tcW w:w="1128" w:type="dxa"/>
            <w:shd w:val="clear" w:color="auto" w:fill="FFFF00"/>
          </w:tcPr>
          <w:p w14:paraId="0D18FC32" w14:textId="68491F99"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Partial</w:t>
            </w:r>
          </w:p>
        </w:tc>
        <w:tc>
          <w:tcPr>
            <w:tcW w:w="547" w:type="dxa"/>
            <w:gridSpan w:val="2"/>
            <w:vMerge/>
            <w:shd w:val="clear" w:color="auto" w:fill="auto"/>
          </w:tcPr>
          <w:p w14:paraId="3B58EA66" w14:textId="77777777" w:rsidR="00DD2D52" w:rsidRPr="00B6039A" w:rsidRDefault="00DD2D52" w:rsidP="00FF6FA8">
            <w:pPr>
              <w:spacing w:line="259" w:lineRule="auto"/>
              <w:ind w:left="0" w:firstLine="0"/>
            </w:pPr>
          </w:p>
        </w:tc>
      </w:tr>
      <w:tr w:rsidR="00DD2D52" w:rsidRPr="00B6039A" w14:paraId="39999037" w14:textId="5D251C5A" w:rsidTr="00DD2D52">
        <w:tc>
          <w:tcPr>
            <w:tcW w:w="618" w:type="dxa"/>
          </w:tcPr>
          <w:p w14:paraId="75C8A372" w14:textId="4B0E052C"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22</w:t>
            </w:r>
          </w:p>
        </w:tc>
        <w:tc>
          <w:tcPr>
            <w:tcW w:w="6804" w:type="dxa"/>
            <w:gridSpan w:val="2"/>
          </w:tcPr>
          <w:p w14:paraId="2D334773" w14:textId="5480BABC"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Consider introducing a Living Alone Payment</w:t>
            </w:r>
          </w:p>
        </w:tc>
        <w:tc>
          <w:tcPr>
            <w:tcW w:w="1128" w:type="dxa"/>
            <w:shd w:val="clear" w:color="auto" w:fill="FF6565"/>
          </w:tcPr>
          <w:p w14:paraId="2348C425" w14:textId="0EF5E4D6"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73BD859B" w14:textId="77777777" w:rsidR="00DD2D52" w:rsidRPr="00B6039A" w:rsidRDefault="00DD2D52" w:rsidP="00FF6FA8">
            <w:pPr>
              <w:spacing w:line="259" w:lineRule="auto"/>
              <w:ind w:left="0" w:firstLine="0"/>
            </w:pPr>
          </w:p>
        </w:tc>
      </w:tr>
      <w:tr w:rsidR="00DD2D52" w:rsidRPr="00B6039A" w14:paraId="2B6E3C9E" w14:textId="48BB6E24" w:rsidTr="00DD2D52">
        <w:tc>
          <w:tcPr>
            <w:tcW w:w="618" w:type="dxa"/>
          </w:tcPr>
          <w:p w14:paraId="5E609ED4" w14:textId="30CAC7CE"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23</w:t>
            </w:r>
          </w:p>
        </w:tc>
        <w:tc>
          <w:tcPr>
            <w:tcW w:w="6804" w:type="dxa"/>
            <w:gridSpan w:val="2"/>
          </w:tcPr>
          <w:p w14:paraId="3BBA1CFB" w14:textId="5D80C6D7" w:rsidR="00DD2D52" w:rsidRPr="00B6039A" w:rsidRDefault="00DD2D52" w:rsidP="005F12E6">
            <w:pPr>
              <w:ind w:left="0" w:firstLine="0"/>
              <w:rPr>
                <w:rFonts w:cstheme="minorHAnsi"/>
                <w:sz w:val="21"/>
                <w:szCs w:val="21"/>
              </w:rPr>
            </w:pPr>
            <w:r w:rsidRPr="00B6039A">
              <w:rPr>
                <w:rFonts w:cstheme="minorHAnsi"/>
                <w:sz w:val="21"/>
                <w:szCs w:val="21"/>
              </w:rPr>
              <w:t>Raise family assistance, remove discrimination, intro Earned Inc Credit</w:t>
            </w:r>
          </w:p>
        </w:tc>
        <w:tc>
          <w:tcPr>
            <w:tcW w:w="1128" w:type="dxa"/>
            <w:shd w:val="clear" w:color="auto" w:fill="FF6565"/>
          </w:tcPr>
          <w:p w14:paraId="6DF6AD96" w14:textId="0199561F"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597D2508" w14:textId="77777777" w:rsidR="00DD2D52" w:rsidRPr="00B6039A" w:rsidRDefault="00DD2D52" w:rsidP="00FF6FA8">
            <w:pPr>
              <w:spacing w:line="259" w:lineRule="auto"/>
              <w:ind w:left="0" w:firstLine="0"/>
            </w:pPr>
          </w:p>
        </w:tc>
      </w:tr>
      <w:tr w:rsidR="00DD2D52" w:rsidRPr="00B6039A" w14:paraId="7D09C3D8" w14:textId="31028876" w:rsidTr="00DD2D52">
        <w:tc>
          <w:tcPr>
            <w:tcW w:w="618" w:type="dxa"/>
          </w:tcPr>
          <w:p w14:paraId="021C7393" w14:textId="73CD5D47"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24</w:t>
            </w:r>
          </w:p>
        </w:tc>
        <w:tc>
          <w:tcPr>
            <w:tcW w:w="6804" w:type="dxa"/>
            <w:gridSpan w:val="2"/>
          </w:tcPr>
          <w:p w14:paraId="188A80FB" w14:textId="55839CDF"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Reform supplementary &amp; hardship assistance</w:t>
            </w:r>
          </w:p>
        </w:tc>
        <w:tc>
          <w:tcPr>
            <w:tcW w:w="1128" w:type="dxa"/>
            <w:shd w:val="clear" w:color="auto" w:fill="FF6565"/>
          </w:tcPr>
          <w:p w14:paraId="1482E7F8" w14:textId="39FCFA02"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4939E791" w14:textId="77777777" w:rsidR="00DD2D52" w:rsidRPr="00B6039A" w:rsidRDefault="00DD2D52" w:rsidP="00FF6FA8">
            <w:pPr>
              <w:spacing w:line="259" w:lineRule="auto"/>
              <w:ind w:left="0" w:firstLine="0"/>
            </w:pPr>
          </w:p>
        </w:tc>
      </w:tr>
      <w:tr w:rsidR="00DD2D52" w:rsidRPr="00B6039A" w14:paraId="21D11B60" w14:textId="4D757134" w:rsidTr="00DD2D52">
        <w:tc>
          <w:tcPr>
            <w:tcW w:w="618" w:type="dxa"/>
          </w:tcPr>
          <w:p w14:paraId="7CF81568" w14:textId="5EA669A1"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25</w:t>
            </w:r>
          </w:p>
        </w:tc>
        <w:tc>
          <w:tcPr>
            <w:tcW w:w="6804" w:type="dxa"/>
            <w:gridSpan w:val="2"/>
          </w:tcPr>
          <w:p w14:paraId="545A1F28" w14:textId="3AB42759"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Research a minimum income standard within 2 years (of Feb 2019)</w:t>
            </w:r>
          </w:p>
        </w:tc>
        <w:tc>
          <w:tcPr>
            <w:tcW w:w="1128" w:type="dxa"/>
            <w:shd w:val="clear" w:color="auto" w:fill="FF6565"/>
          </w:tcPr>
          <w:p w14:paraId="206A1C6C" w14:textId="1FE0BBA3"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2D84B554" w14:textId="77777777" w:rsidR="00DD2D52" w:rsidRPr="00B6039A" w:rsidRDefault="00DD2D52" w:rsidP="00FF6FA8">
            <w:pPr>
              <w:spacing w:line="259" w:lineRule="auto"/>
              <w:ind w:left="0" w:firstLine="0"/>
            </w:pPr>
          </w:p>
        </w:tc>
      </w:tr>
      <w:tr w:rsidR="00DD2D52" w:rsidRPr="00B6039A" w14:paraId="3F3E42F3" w14:textId="572D1E66" w:rsidTr="00DD2D52">
        <w:tc>
          <w:tcPr>
            <w:tcW w:w="618" w:type="dxa"/>
          </w:tcPr>
          <w:p w14:paraId="7AE07862" w14:textId="786FC412"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26</w:t>
            </w:r>
          </w:p>
        </w:tc>
        <w:tc>
          <w:tcPr>
            <w:tcW w:w="6804" w:type="dxa"/>
            <w:gridSpan w:val="2"/>
          </w:tcPr>
          <w:p w14:paraId="10773A78" w14:textId="512338F0"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Increase incomes to adequate levels as per minimum income standard</w:t>
            </w:r>
          </w:p>
        </w:tc>
        <w:tc>
          <w:tcPr>
            <w:tcW w:w="1128" w:type="dxa"/>
            <w:shd w:val="clear" w:color="auto" w:fill="FF6565"/>
          </w:tcPr>
          <w:p w14:paraId="490AD29A" w14:textId="28919E6B"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78F40272" w14:textId="77777777" w:rsidR="00DD2D52" w:rsidRPr="00B6039A" w:rsidRDefault="00DD2D52" w:rsidP="00FF6FA8">
            <w:pPr>
              <w:spacing w:line="259" w:lineRule="auto"/>
              <w:ind w:left="0" w:firstLine="0"/>
            </w:pPr>
          </w:p>
        </w:tc>
      </w:tr>
      <w:tr w:rsidR="00DD2D52" w:rsidRPr="00B6039A" w14:paraId="04EC95E7" w14:textId="440ED5FC" w:rsidTr="00DD2D52">
        <w:tc>
          <w:tcPr>
            <w:tcW w:w="618" w:type="dxa"/>
          </w:tcPr>
          <w:p w14:paraId="5BCF12C6" w14:textId="1433B365"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27</w:t>
            </w:r>
          </w:p>
        </w:tc>
        <w:tc>
          <w:tcPr>
            <w:tcW w:w="6804" w:type="dxa"/>
            <w:gridSpan w:val="2"/>
          </w:tcPr>
          <w:p w14:paraId="32102726" w14:textId="61F5CC76"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Pass on all child support collected to receiving carers</w:t>
            </w:r>
          </w:p>
        </w:tc>
        <w:tc>
          <w:tcPr>
            <w:tcW w:w="1128" w:type="dxa"/>
            <w:shd w:val="clear" w:color="auto" w:fill="FF6565"/>
          </w:tcPr>
          <w:p w14:paraId="30BAAF87" w14:textId="247F1B6C"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08340715" w14:textId="77777777" w:rsidR="00DD2D52" w:rsidRPr="00B6039A" w:rsidRDefault="00DD2D52" w:rsidP="00FF6FA8">
            <w:pPr>
              <w:spacing w:line="259" w:lineRule="auto"/>
              <w:ind w:left="0" w:firstLine="0"/>
            </w:pPr>
          </w:p>
        </w:tc>
      </w:tr>
      <w:tr w:rsidR="00DD2D52" w:rsidRPr="00B6039A" w14:paraId="01FAC1A7" w14:textId="4F005EA2" w:rsidTr="00DD2D52">
        <w:tc>
          <w:tcPr>
            <w:tcW w:w="618" w:type="dxa"/>
          </w:tcPr>
          <w:p w14:paraId="438B7AA6" w14:textId="2E10E57F"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28</w:t>
            </w:r>
          </w:p>
        </w:tc>
        <w:tc>
          <w:tcPr>
            <w:tcW w:w="6804" w:type="dxa"/>
            <w:gridSpan w:val="2"/>
          </w:tcPr>
          <w:p w14:paraId="58ED17FB" w14:textId="4495294F"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Reduce impact of relationship status on income support levels</w:t>
            </w:r>
          </w:p>
        </w:tc>
        <w:tc>
          <w:tcPr>
            <w:tcW w:w="1128" w:type="dxa"/>
            <w:tcBorders>
              <w:bottom w:val="single" w:sz="12" w:space="0" w:color="auto"/>
            </w:tcBorders>
            <w:shd w:val="clear" w:color="auto" w:fill="FF6565"/>
          </w:tcPr>
          <w:p w14:paraId="1ABDE4AF" w14:textId="471297EA"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tcBorders>
              <w:bottom w:val="single" w:sz="12" w:space="0" w:color="auto"/>
            </w:tcBorders>
            <w:shd w:val="clear" w:color="auto" w:fill="auto"/>
          </w:tcPr>
          <w:p w14:paraId="5C3B5AEB" w14:textId="77777777" w:rsidR="00DD2D52" w:rsidRPr="00B6039A" w:rsidRDefault="00DD2D52" w:rsidP="00FF6FA8">
            <w:pPr>
              <w:spacing w:line="259" w:lineRule="auto"/>
              <w:ind w:left="0" w:firstLine="0"/>
            </w:pPr>
          </w:p>
        </w:tc>
      </w:tr>
      <w:tr w:rsidR="00DD2D52" w:rsidRPr="00B6039A" w14:paraId="47E0CF0E" w14:textId="6C1BE30D" w:rsidTr="00DD2D52">
        <w:tc>
          <w:tcPr>
            <w:tcW w:w="618" w:type="dxa"/>
          </w:tcPr>
          <w:p w14:paraId="27BFFB9B" w14:textId="2EFC0275"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29</w:t>
            </w:r>
          </w:p>
        </w:tc>
        <w:tc>
          <w:tcPr>
            <w:tcW w:w="6804" w:type="dxa"/>
            <w:gridSpan w:val="2"/>
          </w:tcPr>
          <w:p w14:paraId="0B24439A" w14:textId="5B8813E9"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Substantially increase public housing; effort to end homelessness</w:t>
            </w:r>
          </w:p>
        </w:tc>
        <w:tc>
          <w:tcPr>
            <w:tcW w:w="1128" w:type="dxa"/>
            <w:tcBorders>
              <w:top w:val="single" w:sz="12" w:space="0" w:color="auto"/>
            </w:tcBorders>
            <w:shd w:val="clear" w:color="auto" w:fill="FFFF00"/>
          </w:tcPr>
          <w:p w14:paraId="094219B4" w14:textId="18F6CDF3"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Partial</w:t>
            </w:r>
          </w:p>
        </w:tc>
        <w:tc>
          <w:tcPr>
            <w:tcW w:w="547" w:type="dxa"/>
            <w:gridSpan w:val="2"/>
            <w:vMerge w:val="restart"/>
            <w:tcBorders>
              <w:top w:val="single" w:sz="12" w:space="0" w:color="auto"/>
            </w:tcBorders>
            <w:shd w:val="clear" w:color="auto" w:fill="auto"/>
            <w:textDirection w:val="tbRl"/>
          </w:tcPr>
          <w:p w14:paraId="04E26954" w14:textId="459CB3FD" w:rsidR="00DD2D52" w:rsidRPr="00B6039A" w:rsidRDefault="00DD2D52" w:rsidP="00DD2D52">
            <w:pPr>
              <w:spacing w:line="259" w:lineRule="auto"/>
              <w:ind w:left="113" w:right="113" w:firstLine="0"/>
            </w:pPr>
            <w:r w:rsidRPr="00B6039A">
              <w:t>Housing</w:t>
            </w:r>
          </w:p>
        </w:tc>
      </w:tr>
      <w:tr w:rsidR="00DD2D52" w:rsidRPr="00B6039A" w14:paraId="32FA7916" w14:textId="7CEF7BE0" w:rsidTr="00DD2D52">
        <w:tc>
          <w:tcPr>
            <w:tcW w:w="618" w:type="dxa"/>
          </w:tcPr>
          <w:p w14:paraId="4626F7E2" w14:textId="642A2E9E"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30</w:t>
            </w:r>
          </w:p>
        </w:tc>
        <w:tc>
          <w:tcPr>
            <w:tcW w:w="6804" w:type="dxa"/>
            <w:gridSpan w:val="2"/>
          </w:tcPr>
          <w:p w14:paraId="6000770F" w14:textId="09CC8A9E"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Home ownership &amp; tenure options for low and low–middle incomes.</w:t>
            </w:r>
          </w:p>
        </w:tc>
        <w:tc>
          <w:tcPr>
            <w:tcW w:w="1128" w:type="dxa"/>
            <w:shd w:val="clear" w:color="auto" w:fill="FFC000"/>
          </w:tcPr>
          <w:p w14:paraId="0CE4721D" w14:textId="63C904AA"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Minimal</w:t>
            </w:r>
          </w:p>
        </w:tc>
        <w:tc>
          <w:tcPr>
            <w:tcW w:w="547" w:type="dxa"/>
            <w:gridSpan w:val="2"/>
            <w:vMerge/>
            <w:shd w:val="clear" w:color="auto" w:fill="auto"/>
          </w:tcPr>
          <w:p w14:paraId="0A7041B4" w14:textId="77777777" w:rsidR="00DD2D52" w:rsidRPr="00B6039A" w:rsidRDefault="00DD2D52" w:rsidP="00FF6FA8">
            <w:pPr>
              <w:spacing w:line="259" w:lineRule="auto"/>
              <w:ind w:left="0" w:firstLine="0"/>
            </w:pPr>
          </w:p>
        </w:tc>
      </w:tr>
      <w:tr w:rsidR="00DD2D52" w:rsidRPr="00B6039A" w14:paraId="54E97A80" w14:textId="0F955DA7" w:rsidTr="00DD2D52">
        <w:tc>
          <w:tcPr>
            <w:tcW w:w="618" w:type="dxa"/>
          </w:tcPr>
          <w:p w14:paraId="1DEC5A47" w14:textId="00A9A59E"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31</w:t>
            </w:r>
          </w:p>
        </w:tc>
        <w:tc>
          <w:tcPr>
            <w:tcW w:w="6804" w:type="dxa"/>
            <w:gridSpan w:val="2"/>
          </w:tcPr>
          <w:p w14:paraId="0F5020F3" w14:textId="3FE5EBC5"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Increase capacity of third-sector community-based housing providers</w:t>
            </w:r>
          </w:p>
        </w:tc>
        <w:tc>
          <w:tcPr>
            <w:tcW w:w="1128" w:type="dxa"/>
            <w:shd w:val="clear" w:color="auto" w:fill="FF6565"/>
          </w:tcPr>
          <w:p w14:paraId="100CC4E0" w14:textId="59237E92"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7036792D" w14:textId="77777777" w:rsidR="00DD2D52" w:rsidRPr="00B6039A" w:rsidRDefault="00DD2D52" w:rsidP="00FF6FA8">
            <w:pPr>
              <w:spacing w:line="259" w:lineRule="auto"/>
              <w:ind w:left="0" w:firstLine="0"/>
            </w:pPr>
          </w:p>
        </w:tc>
      </w:tr>
      <w:tr w:rsidR="00DD2D52" w:rsidRPr="00B6039A" w14:paraId="2975E5AF" w14:textId="74D3A550" w:rsidTr="00DD2D52">
        <w:tc>
          <w:tcPr>
            <w:tcW w:w="618" w:type="dxa"/>
          </w:tcPr>
          <w:p w14:paraId="6CA230CA" w14:textId="3CE52D55"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32</w:t>
            </w:r>
          </w:p>
        </w:tc>
        <w:tc>
          <w:tcPr>
            <w:tcW w:w="6804" w:type="dxa"/>
            <w:gridSpan w:val="2"/>
          </w:tcPr>
          <w:p w14:paraId="2536AEC5" w14:textId="49B1B79D"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Laws &amp; regs re healthy homes, security, housing quality, accessibility etc</w:t>
            </w:r>
          </w:p>
        </w:tc>
        <w:tc>
          <w:tcPr>
            <w:tcW w:w="1128" w:type="dxa"/>
            <w:shd w:val="clear" w:color="auto" w:fill="FFFF00"/>
          </w:tcPr>
          <w:p w14:paraId="3DDB8479" w14:textId="0FC3E03F"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Partial</w:t>
            </w:r>
          </w:p>
        </w:tc>
        <w:tc>
          <w:tcPr>
            <w:tcW w:w="547" w:type="dxa"/>
            <w:gridSpan w:val="2"/>
            <w:vMerge/>
            <w:shd w:val="clear" w:color="auto" w:fill="auto"/>
          </w:tcPr>
          <w:p w14:paraId="7679D28A" w14:textId="77777777" w:rsidR="00DD2D52" w:rsidRPr="00B6039A" w:rsidRDefault="00DD2D52" w:rsidP="00FF6FA8">
            <w:pPr>
              <w:spacing w:line="259" w:lineRule="auto"/>
              <w:ind w:left="0" w:firstLine="0"/>
            </w:pPr>
          </w:p>
        </w:tc>
      </w:tr>
      <w:tr w:rsidR="00DD2D52" w:rsidRPr="00B6039A" w14:paraId="225B7C78" w14:textId="3A8EE84D" w:rsidTr="00DD2D52">
        <w:tc>
          <w:tcPr>
            <w:tcW w:w="618" w:type="dxa"/>
          </w:tcPr>
          <w:p w14:paraId="6DC6956E" w14:textId="5510A558"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33</w:t>
            </w:r>
          </w:p>
        </w:tc>
        <w:tc>
          <w:tcPr>
            <w:tcW w:w="6804" w:type="dxa"/>
            <w:gridSpan w:val="2"/>
          </w:tcPr>
          <w:p w14:paraId="765F7C7E" w14:textId="41DDEE4F"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 xml:space="preserve">Subsidise housing costs for people on low incomes </w:t>
            </w:r>
          </w:p>
        </w:tc>
        <w:tc>
          <w:tcPr>
            <w:tcW w:w="1128" w:type="dxa"/>
            <w:shd w:val="clear" w:color="auto" w:fill="FF6565"/>
          </w:tcPr>
          <w:p w14:paraId="4837DE64" w14:textId="593432D1"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shd w:val="clear" w:color="auto" w:fill="auto"/>
          </w:tcPr>
          <w:p w14:paraId="1772A8AB" w14:textId="77777777" w:rsidR="00DD2D52" w:rsidRPr="00B6039A" w:rsidRDefault="00DD2D52" w:rsidP="00FF6FA8">
            <w:pPr>
              <w:spacing w:line="259" w:lineRule="auto"/>
              <w:ind w:left="0" w:firstLine="0"/>
            </w:pPr>
          </w:p>
        </w:tc>
      </w:tr>
      <w:tr w:rsidR="00DD2D52" w:rsidRPr="00B6039A" w14:paraId="0B8155A1" w14:textId="24BD61AB" w:rsidTr="00DD2D52">
        <w:tc>
          <w:tcPr>
            <w:tcW w:w="618" w:type="dxa"/>
          </w:tcPr>
          <w:p w14:paraId="395D5848" w14:textId="0091A099"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34</w:t>
            </w:r>
          </w:p>
        </w:tc>
        <w:tc>
          <w:tcPr>
            <w:tcW w:w="6804" w:type="dxa"/>
            <w:gridSpan w:val="2"/>
          </w:tcPr>
          <w:p w14:paraId="4D108870" w14:textId="44E1D7BB"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 xml:space="preserve">Affordable housing support </w:t>
            </w:r>
            <w:proofErr w:type="spellStart"/>
            <w:r w:rsidRPr="00B6039A">
              <w:rPr>
                <w:rFonts w:cstheme="minorHAnsi"/>
                <w:sz w:val="21"/>
                <w:szCs w:val="21"/>
              </w:rPr>
              <w:t>incl</w:t>
            </w:r>
            <w:proofErr w:type="spellEnd"/>
            <w:r w:rsidRPr="00B6039A">
              <w:rPr>
                <w:rFonts w:cstheme="minorHAnsi"/>
                <w:sz w:val="21"/>
                <w:szCs w:val="21"/>
              </w:rPr>
              <w:t xml:space="preserve"> ownership &amp; </w:t>
            </w:r>
            <w:proofErr w:type="spellStart"/>
            <w:r w:rsidRPr="00B6039A">
              <w:rPr>
                <w:rFonts w:cstheme="minorHAnsi"/>
                <w:sz w:val="21"/>
                <w:szCs w:val="21"/>
              </w:rPr>
              <w:t>papakāinga</w:t>
            </w:r>
            <w:proofErr w:type="spellEnd"/>
            <w:r w:rsidRPr="00B6039A">
              <w:rPr>
                <w:rFonts w:cstheme="minorHAnsi"/>
                <w:sz w:val="21"/>
                <w:szCs w:val="21"/>
              </w:rPr>
              <w:t xml:space="preserve"> housing.</w:t>
            </w:r>
          </w:p>
        </w:tc>
        <w:tc>
          <w:tcPr>
            <w:tcW w:w="1128" w:type="dxa"/>
            <w:tcBorders>
              <w:bottom w:val="single" w:sz="12" w:space="0" w:color="auto"/>
            </w:tcBorders>
            <w:shd w:val="clear" w:color="auto" w:fill="FFC000"/>
          </w:tcPr>
          <w:p w14:paraId="0E4F1911" w14:textId="2812182D"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Minimal</w:t>
            </w:r>
          </w:p>
        </w:tc>
        <w:tc>
          <w:tcPr>
            <w:tcW w:w="547" w:type="dxa"/>
            <w:gridSpan w:val="2"/>
            <w:vMerge/>
            <w:tcBorders>
              <w:bottom w:val="single" w:sz="12" w:space="0" w:color="auto"/>
            </w:tcBorders>
            <w:shd w:val="clear" w:color="auto" w:fill="auto"/>
          </w:tcPr>
          <w:p w14:paraId="1058A3C8" w14:textId="77777777" w:rsidR="00DD2D52" w:rsidRPr="00B6039A" w:rsidRDefault="00DD2D52" w:rsidP="00FF6FA8">
            <w:pPr>
              <w:spacing w:line="259" w:lineRule="auto"/>
              <w:ind w:left="0" w:firstLine="0"/>
            </w:pPr>
          </w:p>
        </w:tc>
      </w:tr>
      <w:tr w:rsidR="00DD2D52" w:rsidRPr="00B6039A" w14:paraId="243BFECA" w14:textId="338FEE26" w:rsidTr="00DD2D52">
        <w:tc>
          <w:tcPr>
            <w:tcW w:w="618" w:type="dxa"/>
          </w:tcPr>
          <w:p w14:paraId="748A4B93" w14:textId="1709A65E"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35</w:t>
            </w:r>
          </w:p>
        </w:tc>
        <w:tc>
          <w:tcPr>
            <w:tcW w:w="6804" w:type="dxa"/>
            <w:gridSpan w:val="2"/>
          </w:tcPr>
          <w:p w14:paraId="7882312C" w14:textId="0F87BB5E"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 xml:space="preserve">Effective MSD employment service </w:t>
            </w:r>
          </w:p>
        </w:tc>
        <w:tc>
          <w:tcPr>
            <w:tcW w:w="1128" w:type="dxa"/>
            <w:tcBorders>
              <w:top w:val="single" w:sz="12" w:space="0" w:color="auto"/>
            </w:tcBorders>
            <w:shd w:val="clear" w:color="auto" w:fill="FFC000"/>
          </w:tcPr>
          <w:p w14:paraId="35A55F0B" w14:textId="5838BCD5"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Minimal</w:t>
            </w:r>
            <w:r w:rsidR="00A0043F" w:rsidRPr="00B6039A">
              <w:rPr>
                <w:rFonts w:cstheme="minorHAnsi"/>
                <w:sz w:val="21"/>
                <w:szCs w:val="21"/>
              </w:rPr>
              <w:t>*</w:t>
            </w:r>
          </w:p>
        </w:tc>
        <w:tc>
          <w:tcPr>
            <w:tcW w:w="547" w:type="dxa"/>
            <w:gridSpan w:val="2"/>
            <w:vMerge w:val="restart"/>
            <w:tcBorders>
              <w:top w:val="single" w:sz="12" w:space="0" w:color="auto"/>
            </w:tcBorders>
            <w:shd w:val="clear" w:color="auto" w:fill="auto"/>
            <w:textDirection w:val="tbRl"/>
          </w:tcPr>
          <w:p w14:paraId="33AFEE03" w14:textId="585AC19D" w:rsidR="00DD2D52" w:rsidRPr="00B6039A" w:rsidRDefault="00DD2D52" w:rsidP="00DD2D52">
            <w:pPr>
              <w:spacing w:line="259" w:lineRule="auto"/>
              <w:ind w:left="113" w:right="113" w:firstLine="0"/>
            </w:pPr>
            <w:r w:rsidRPr="00B6039A">
              <w:t>Work</w:t>
            </w:r>
          </w:p>
        </w:tc>
      </w:tr>
      <w:tr w:rsidR="00DD2D52" w:rsidRPr="00B6039A" w14:paraId="336DF930" w14:textId="7F4ACA7E" w:rsidTr="00DD2D52">
        <w:tc>
          <w:tcPr>
            <w:tcW w:w="618" w:type="dxa"/>
          </w:tcPr>
          <w:p w14:paraId="4A494B7C" w14:textId="22428BB5"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36</w:t>
            </w:r>
          </w:p>
        </w:tc>
        <w:tc>
          <w:tcPr>
            <w:tcW w:w="6804" w:type="dxa"/>
            <w:gridSpan w:val="2"/>
          </w:tcPr>
          <w:p w14:paraId="78E1A02C" w14:textId="339910F7"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Coherent Labour market, employment &amp; training policies across govt</w:t>
            </w:r>
          </w:p>
        </w:tc>
        <w:tc>
          <w:tcPr>
            <w:tcW w:w="1128" w:type="dxa"/>
            <w:shd w:val="clear" w:color="auto" w:fill="FFC000"/>
          </w:tcPr>
          <w:p w14:paraId="02CAA6CF" w14:textId="4E95DE90"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Minimal</w:t>
            </w:r>
          </w:p>
        </w:tc>
        <w:tc>
          <w:tcPr>
            <w:tcW w:w="547" w:type="dxa"/>
            <w:gridSpan w:val="2"/>
            <w:vMerge/>
            <w:shd w:val="clear" w:color="auto" w:fill="auto"/>
          </w:tcPr>
          <w:p w14:paraId="73474911" w14:textId="77777777" w:rsidR="00DD2D52" w:rsidRPr="00B6039A" w:rsidRDefault="00DD2D52" w:rsidP="00FF6FA8">
            <w:pPr>
              <w:spacing w:line="259" w:lineRule="auto"/>
              <w:ind w:left="0" w:firstLine="0"/>
            </w:pPr>
          </w:p>
        </w:tc>
      </w:tr>
      <w:tr w:rsidR="00DD2D52" w:rsidRPr="00B6039A" w14:paraId="1D22C2B8" w14:textId="10CB16C7" w:rsidTr="00DD2D52">
        <w:tc>
          <w:tcPr>
            <w:tcW w:w="618" w:type="dxa"/>
          </w:tcPr>
          <w:p w14:paraId="5B50EAF3" w14:textId="30374B34"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37</w:t>
            </w:r>
          </w:p>
        </w:tc>
        <w:tc>
          <w:tcPr>
            <w:tcW w:w="6804" w:type="dxa"/>
            <w:gridSpan w:val="2"/>
          </w:tcPr>
          <w:p w14:paraId="4A525241" w14:textId="44358E32"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 xml:space="preserve">Strengthen MSD redundancy support </w:t>
            </w:r>
          </w:p>
        </w:tc>
        <w:tc>
          <w:tcPr>
            <w:tcW w:w="1128" w:type="dxa"/>
            <w:tcBorders>
              <w:bottom w:val="single" w:sz="12" w:space="0" w:color="auto"/>
            </w:tcBorders>
            <w:shd w:val="clear" w:color="auto" w:fill="FFC000"/>
          </w:tcPr>
          <w:p w14:paraId="532A699E" w14:textId="7671387D"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Minimal</w:t>
            </w:r>
          </w:p>
        </w:tc>
        <w:tc>
          <w:tcPr>
            <w:tcW w:w="547" w:type="dxa"/>
            <w:gridSpan w:val="2"/>
            <w:vMerge/>
            <w:tcBorders>
              <w:bottom w:val="single" w:sz="12" w:space="0" w:color="auto"/>
            </w:tcBorders>
            <w:shd w:val="clear" w:color="auto" w:fill="auto"/>
          </w:tcPr>
          <w:p w14:paraId="5A357EAC" w14:textId="77777777" w:rsidR="00DD2D52" w:rsidRPr="00B6039A" w:rsidRDefault="00DD2D52" w:rsidP="00FF6FA8">
            <w:pPr>
              <w:spacing w:line="259" w:lineRule="auto"/>
              <w:ind w:left="0" w:firstLine="0"/>
            </w:pPr>
          </w:p>
        </w:tc>
      </w:tr>
      <w:tr w:rsidR="00DD2D52" w:rsidRPr="00B6039A" w14:paraId="4AD38615" w14:textId="51497708" w:rsidTr="00DD2D52">
        <w:tc>
          <w:tcPr>
            <w:tcW w:w="618" w:type="dxa"/>
          </w:tcPr>
          <w:p w14:paraId="7F8BDA32" w14:textId="1EA648A2"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38</w:t>
            </w:r>
          </w:p>
        </w:tc>
        <w:tc>
          <w:tcPr>
            <w:tcW w:w="6804" w:type="dxa"/>
            <w:gridSpan w:val="2"/>
          </w:tcPr>
          <w:p w14:paraId="333E9D69" w14:textId="5E68967B"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 xml:space="preserve">No more compulsory money </w:t>
            </w:r>
            <w:proofErr w:type="spellStart"/>
            <w:r w:rsidRPr="00B6039A">
              <w:rPr>
                <w:rFonts w:cstheme="minorHAnsi"/>
                <w:sz w:val="21"/>
                <w:szCs w:val="21"/>
              </w:rPr>
              <w:t>mgmt</w:t>
            </w:r>
            <w:proofErr w:type="spellEnd"/>
            <w:r w:rsidRPr="00B6039A">
              <w:rPr>
                <w:rFonts w:cstheme="minorHAnsi"/>
                <w:sz w:val="21"/>
                <w:szCs w:val="21"/>
              </w:rPr>
              <w:t xml:space="preserve"> in Youth Service; positive focus</w:t>
            </w:r>
          </w:p>
        </w:tc>
        <w:tc>
          <w:tcPr>
            <w:tcW w:w="1128" w:type="dxa"/>
            <w:tcBorders>
              <w:top w:val="single" w:sz="12" w:space="0" w:color="auto"/>
            </w:tcBorders>
            <w:shd w:val="clear" w:color="auto" w:fill="FF6565"/>
          </w:tcPr>
          <w:p w14:paraId="042998B2" w14:textId="54BE3B18"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val="restart"/>
            <w:tcBorders>
              <w:top w:val="single" w:sz="12" w:space="0" w:color="auto"/>
              <w:bottom w:val="single" w:sz="12" w:space="0" w:color="auto"/>
            </w:tcBorders>
            <w:shd w:val="clear" w:color="auto" w:fill="auto"/>
            <w:textDirection w:val="tbRl"/>
          </w:tcPr>
          <w:p w14:paraId="0A6852FD" w14:textId="6876E374" w:rsidR="00DD2D52" w:rsidRPr="00B6039A" w:rsidRDefault="00DD2D52" w:rsidP="00DD2D52">
            <w:pPr>
              <w:spacing w:line="259" w:lineRule="auto"/>
              <w:ind w:left="113" w:right="113" w:firstLine="0"/>
              <w:rPr>
                <w:sz w:val="16"/>
                <w:szCs w:val="16"/>
              </w:rPr>
            </w:pPr>
            <w:proofErr w:type="spellStart"/>
            <w:r w:rsidRPr="00B6039A">
              <w:t>Yth</w:t>
            </w:r>
            <w:proofErr w:type="spellEnd"/>
          </w:p>
        </w:tc>
      </w:tr>
      <w:tr w:rsidR="00DD2D52" w:rsidRPr="00B6039A" w14:paraId="757CF9E3" w14:textId="5F4468A8" w:rsidTr="00DD2D52">
        <w:tc>
          <w:tcPr>
            <w:tcW w:w="618" w:type="dxa"/>
          </w:tcPr>
          <w:p w14:paraId="125F402A" w14:textId="02042F0D"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39</w:t>
            </w:r>
          </w:p>
        </w:tc>
        <w:tc>
          <w:tcPr>
            <w:tcW w:w="6804" w:type="dxa"/>
            <w:gridSpan w:val="2"/>
          </w:tcPr>
          <w:p w14:paraId="6B2D41E1" w14:textId="783B1DC9"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 xml:space="preserve">Evidence-based strengths-building approaches to support young people </w:t>
            </w:r>
          </w:p>
        </w:tc>
        <w:tc>
          <w:tcPr>
            <w:tcW w:w="1128" w:type="dxa"/>
            <w:tcBorders>
              <w:bottom w:val="single" w:sz="12" w:space="0" w:color="auto"/>
            </w:tcBorders>
            <w:shd w:val="clear" w:color="auto" w:fill="FFC000"/>
          </w:tcPr>
          <w:p w14:paraId="42453E8A" w14:textId="1E83CD2A"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Minimal</w:t>
            </w:r>
          </w:p>
        </w:tc>
        <w:tc>
          <w:tcPr>
            <w:tcW w:w="547" w:type="dxa"/>
            <w:gridSpan w:val="2"/>
            <w:vMerge/>
            <w:tcBorders>
              <w:bottom w:val="single" w:sz="12" w:space="0" w:color="auto"/>
            </w:tcBorders>
            <w:shd w:val="clear" w:color="auto" w:fill="auto"/>
          </w:tcPr>
          <w:p w14:paraId="5E6FF070" w14:textId="77777777" w:rsidR="00DD2D52" w:rsidRPr="00B6039A" w:rsidRDefault="00DD2D52" w:rsidP="00FF6FA8">
            <w:pPr>
              <w:spacing w:line="259" w:lineRule="auto"/>
              <w:ind w:left="0" w:firstLine="0"/>
              <w:rPr>
                <w:sz w:val="16"/>
                <w:szCs w:val="16"/>
              </w:rPr>
            </w:pPr>
          </w:p>
        </w:tc>
      </w:tr>
      <w:tr w:rsidR="00DD2D52" w:rsidRPr="00B6039A" w14:paraId="6E65A853" w14:textId="0767D8C0" w:rsidTr="00DD2D52">
        <w:tc>
          <w:tcPr>
            <w:tcW w:w="618" w:type="dxa"/>
          </w:tcPr>
          <w:p w14:paraId="5BD742DF" w14:textId="5990A4FE"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40</w:t>
            </w:r>
          </w:p>
        </w:tc>
        <w:tc>
          <w:tcPr>
            <w:tcW w:w="6804" w:type="dxa"/>
            <w:gridSpan w:val="2"/>
          </w:tcPr>
          <w:p w14:paraId="6C2D5600" w14:textId="2A799244" w:rsidR="00DD2D52" w:rsidRPr="00B6039A" w:rsidRDefault="00DD2D52" w:rsidP="007E079A">
            <w:pPr>
              <w:rPr>
                <w:rFonts w:cstheme="minorHAnsi"/>
                <w:sz w:val="21"/>
                <w:szCs w:val="21"/>
              </w:rPr>
            </w:pPr>
            <w:r w:rsidRPr="00B6039A">
              <w:rPr>
                <w:rFonts w:cstheme="minorHAnsi"/>
                <w:sz w:val="21"/>
                <w:szCs w:val="21"/>
              </w:rPr>
              <w:t>Better support for people with health conditions and disabilities</w:t>
            </w:r>
          </w:p>
        </w:tc>
        <w:tc>
          <w:tcPr>
            <w:tcW w:w="1128" w:type="dxa"/>
            <w:tcBorders>
              <w:top w:val="single" w:sz="12" w:space="0" w:color="auto"/>
            </w:tcBorders>
            <w:shd w:val="clear" w:color="auto" w:fill="FFC000"/>
          </w:tcPr>
          <w:p w14:paraId="22493AE8" w14:textId="4A08C308"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Minimal</w:t>
            </w:r>
          </w:p>
        </w:tc>
        <w:tc>
          <w:tcPr>
            <w:tcW w:w="547" w:type="dxa"/>
            <w:gridSpan w:val="2"/>
            <w:vMerge w:val="restart"/>
            <w:tcBorders>
              <w:top w:val="single" w:sz="12" w:space="0" w:color="auto"/>
            </w:tcBorders>
            <w:shd w:val="clear" w:color="auto" w:fill="auto"/>
            <w:textDirection w:val="tbRl"/>
          </w:tcPr>
          <w:p w14:paraId="35F2EBFB" w14:textId="19BCA399" w:rsidR="00DD2D52" w:rsidRPr="00B6039A" w:rsidRDefault="00DD2D52" w:rsidP="00DD2D52">
            <w:pPr>
              <w:spacing w:line="259" w:lineRule="auto"/>
              <w:ind w:left="113" w:right="113" w:firstLine="0"/>
              <w:rPr>
                <w:sz w:val="17"/>
                <w:szCs w:val="17"/>
              </w:rPr>
            </w:pPr>
            <w:r w:rsidRPr="00B6039A">
              <w:rPr>
                <w:sz w:val="17"/>
                <w:szCs w:val="17"/>
              </w:rPr>
              <w:t>H&amp;D</w:t>
            </w:r>
          </w:p>
        </w:tc>
      </w:tr>
      <w:tr w:rsidR="00DD2D52" w:rsidRPr="00B6039A" w14:paraId="628F76D5" w14:textId="4353D8CC" w:rsidTr="00DD2D52">
        <w:tc>
          <w:tcPr>
            <w:tcW w:w="618" w:type="dxa"/>
          </w:tcPr>
          <w:p w14:paraId="51CAE669" w14:textId="056F1380"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41</w:t>
            </w:r>
          </w:p>
        </w:tc>
        <w:tc>
          <w:tcPr>
            <w:tcW w:w="6804" w:type="dxa"/>
            <w:gridSpan w:val="2"/>
          </w:tcPr>
          <w:p w14:paraId="6FF637D6" w14:textId="6840DDF3"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 xml:space="preserve">Relationship between MSD, ACC &amp; the health and disability system </w:t>
            </w:r>
          </w:p>
        </w:tc>
        <w:tc>
          <w:tcPr>
            <w:tcW w:w="1128" w:type="dxa"/>
            <w:tcBorders>
              <w:bottom w:val="single" w:sz="12" w:space="0" w:color="auto"/>
            </w:tcBorders>
            <w:shd w:val="clear" w:color="auto" w:fill="FF6565"/>
          </w:tcPr>
          <w:p w14:paraId="53C909F2" w14:textId="23C3BEBC" w:rsidR="00DD2D52" w:rsidRPr="00B6039A" w:rsidRDefault="00DD2D52"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vMerge/>
            <w:tcBorders>
              <w:bottom w:val="single" w:sz="12" w:space="0" w:color="auto"/>
            </w:tcBorders>
            <w:shd w:val="clear" w:color="auto" w:fill="auto"/>
          </w:tcPr>
          <w:p w14:paraId="02B0D112" w14:textId="77777777" w:rsidR="00DD2D52" w:rsidRPr="00B6039A" w:rsidRDefault="00DD2D52" w:rsidP="00FF6FA8">
            <w:pPr>
              <w:spacing w:line="259" w:lineRule="auto"/>
              <w:ind w:left="0" w:firstLine="0"/>
            </w:pPr>
          </w:p>
        </w:tc>
      </w:tr>
      <w:tr w:rsidR="001B3DFA" w:rsidRPr="00B6039A" w14:paraId="0D15DDA2" w14:textId="5451538A" w:rsidTr="00DD2D52">
        <w:tc>
          <w:tcPr>
            <w:tcW w:w="618" w:type="dxa"/>
          </w:tcPr>
          <w:p w14:paraId="09210C29" w14:textId="2438E72F"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42</w:t>
            </w:r>
          </w:p>
        </w:tc>
        <w:tc>
          <w:tcPr>
            <w:tcW w:w="6804" w:type="dxa"/>
            <w:gridSpan w:val="2"/>
          </w:tcPr>
          <w:p w14:paraId="53DC289B" w14:textId="0C10DA8D"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 xml:space="preserve">Assist community orgs to provide volunteering opportunities </w:t>
            </w:r>
          </w:p>
        </w:tc>
        <w:tc>
          <w:tcPr>
            <w:tcW w:w="1128" w:type="dxa"/>
            <w:tcBorders>
              <w:top w:val="single" w:sz="12" w:space="0" w:color="auto"/>
            </w:tcBorders>
            <w:shd w:val="clear" w:color="auto" w:fill="FF6565"/>
          </w:tcPr>
          <w:p w14:paraId="400EA67D" w14:textId="63C809C6" w:rsidR="001B3DFA" w:rsidRPr="00B6039A" w:rsidRDefault="001B3DFA" w:rsidP="00FF6FA8">
            <w:pPr>
              <w:spacing w:line="259" w:lineRule="auto"/>
              <w:ind w:left="0" w:firstLine="0"/>
              <w:rPr>
                <w:rFonts w:cstheme="minorHAnsi"/>
                <w:sz w:val="21"/>
                <w:szCs w:val="21"/>
              </w:rPr>
            </w:pPr>
            <w:r w:rsidRPr="00B6039A">
              <w:rPr>
                <w:rFonts w:cstheme="minorHAnsi"/>
                <w:sz w:val="21"/>
                <w:szCs w:val="21"/>
              </w:rPr>
              <w:t>None</w:t>
            </w:r>
          </w:p>
        </w:tc>
        <w:tc>
          <w:tcPr>
            <w:tcW w:w="547" w:type="dxa"/>
            <w:gridSpan w:val="2"/>
            <w:tcBorders>
              <w:top w:val="single" w:sz="12" w:space="0" w:color="auto"/>
            </w:tcBorders>
            <w:shd w:val="clear" w:color="auto" w:fill="auto"/>
          </w:tcPr>
          <w:p w14:paraId="4EFEB139" w14:textId="77777777" w:rsidR="001B3DFA" w:rsidRPr="00B6039A" w:rsidRDefault="001B3DFA" w:rsidP="00FF6FA8">
            <w:pPr>
              <w:spacing w:line="259" w:lineRule="auto"/>
              <w:ind w:left="0" w:firstLine="0"/>
            </w:pPr>
          </w:p>
        </w:tc>
      </w:tr>
    </w:tbl>
    <w:p w14:paraId="38F2710D" w14:textId="0E94852A" w:rsidR="002919D3" w:rsidRPr="00B6039A" w:rsidRDefault="007B0171" w:rsidP="00A0043F">
      <w:pPr>
        <w:spacing w:before="120" w:line="259" w:lineRule="auto"/>
        <w:ind w:left="86" w:firstLine="0"/>
        <w:rPr>
          <w:sz w:val="20"/>
          <w:szCs w:val="20"/>
        </w:rPr>
        <w:sectPr w:rsidR="002919D3" w:rsidRPr="00B6039A" w:rsidSect="005A6469">
          <w:headerReference w:type="default" r:id="rId13"/>
          <w:footerReference w:type="default" r:id="rId14"/>
          <w:pgSz w:w="11906" w:h="16838"/>
          <w:pgMar w:top="900" w:right="1440" w:bottom="1440" w:left="1440" w:header="708" w:footer="708" w:gutter="0"/>
          <w:cols w:space="708"/>
          <w:titlePg/>
          <w:docGrid w:linePitch="360"/>
        </w:sectPr>
      </w:pPr>
      <w:r w:rsidRPr="00B6039A">
        <w:rPr>
          <w:sz w:val="20"/>
          <w:szCs w:val="20"/>
        </w:rPr>
        <w:t xml:space="preserve">(!) = </w:t>
      </w:r>
      <w:r w:rsidRPr="00B6039A">
        <w:rPr>
          <w:i/>
          <w:iCs/>
          <w:sz w:val="20"/>
          <w:szCs w:val="20"/>
        </w:rPr>
        <w:t xml:space="preserve">The </w:t>
      </w:r>
      <w:r w:rsidR="00A0043F" w:rsidRPr="00B6039A">
        <w:rPr>
          <w:i/>
          <w:iCs/>
          <w:sz w:val="20"/>
          <w:szCs w:val="20"/>
        </w:rPr>
        <w:t>gov</w:t>
      </w:r>
      <w:r w:rsidRPr="00B6039A">
        <w:rPr>
          <w:i/>
          <w:iCs/>
          <w:sz w:val="20"/>
          <w:szCs w:val="20"/>
        </w:rPr>
        <w:t xml:space="preserve">t’s stated assessment differs from CPAG’s: full </w:t>
      </w:r>
      <w:r w:rsidR="00A0043F" w:rsidRPr="00B6039A">
        <w:rPr>
          <w:i/>
          <w:iCs/>
          <w:sz w:val="20"/>
          <w:szCs w:val="20"/>
        </w:rPr>
        <w:t xml:space="preserve">not </w:t>
      </w:r>
      <w:r w:rsidRPr="00B6039A">
        <w:rPr>
          <w:i/>
          <w:iCs/>
          <w:sz w:val="20"/>
          <w:szCs w:val="20"/>
        </w:rPr>
        <w:t xml:space="preserve">partial, or partial </w:t>
      </w:r>
      <w:r w:rsidR="00A0043F" w:rsidRPr="00B6039A">
        <w:rPr>
          <w:i/>
          <w:iCs/>
          <w:sz w:val="20"/>
          <w:szCs w:val="20"/>
        </w:rPr>
        <w:t xml:space="preserve">rather than </w:t>
      </w:r>
      <w:r w:rsidRPr="00B6039A">
        <w:rPr>
          <w:i/>
          <w:iCs/>
          <w:sz w:val="20"/>
          <w:szCs w:val="20"/>
        </w:rPr>
        <w:t>none.</w:t>
      </w:r>
      <w:r w:rsidRPr="00B6039A">
        <w:rPr>
          <w:i/>
          <w:iCs/>
          <w:sz w:val="20"/>
          <w:szCs w:val="20"/>
        </w:rPr>
        <w:br/>
        <w:t xml:space="preserve">* </w:t>
      </w:r>
      <w:r w:rsidR="007D31D4" w:rsidRPr="00B6039A">
        <w:rPr>
          <w:i/>
          <w:iCs/>
          <w:sz w:val="20"/>
          <w:szCs w:val="20"/>
        </w:rPr>
        <w:t xml:space="preserve">= </w:t>
      </w:r>
      <w:r w:rsidRPr="00B6039A">
        <w:rPr>
          <w:i/>
          <w:iCs/>
          <w:sz w:val="20"/>
          <w:szCs w:val="20"/>
        </w:rPr>
        <w:t xml:space="preserve">The </w:t>
      </w:r>
      <w:r w:rsidR="007D31D4" w:rsidRPr="00B6039A">
        <w:rPr>
          <w:i/>
          <w:iCs/>
          <w:sz w:val="20"/>
          <w:szCs w:val="20"/>
        </w:rPr>
        <w:t xml:space="preserve">govt’s </w:t>
      </w:r>
      <w:r w:rsidRPr="00B6039A">
        <w:rPr>
          <w:i/>
          <w:iCs/>
          <w:sz w:val="20"/>
          <w:szCs w:val="20"/>
        </w:rPr>
        <w:t>stated assessment is ‘partial’</w:t>
      </w:r>
      <w:r w:rsidR="00A0043F" w:rsidRPr="00B6039A">
        <w:rPr>
          <w:i/>
          <w:iCs/>
          <w:sz w:val="20"/>
          <w:szCs w:val="20"/>
        </w:rPr>
        <w:br/>
        <w:t xml:space="preserve"># </w:t>
      </w:r>
      <w:r w:rsidR="007D31D4" w:rsidRPr="00B6039A">
        <w:rPr>
          <w:i/>
          <w:iCs/>
          <w:sz w:val="20"/>
          <w:szCs w:val="20"/>
        </w:rPr>
        <w:t>= Assessment w</w:t>
      </w:r>
      <w:r w:rsidR="00A0043F" w:rsidRPr="00B6039A">
        <w:rPr>
          <w:i/>
          <w:iCs/>
          <w:sz w:val="20"/>
          <w:szCs w:val="20"/>
        </w:rPr>
        <w:t>ill change to ‘partial’ when 2020 election promise re benefit abatement is enacted</w:t>
      </w:r>
    </w:p>
    <w:p w14:paraId="15B68DCB" w14:textId="58260AF1" w:rsidR="002203FB" w:rsidRPr="00B6039A" w:rsidRDefault="002203FB" w:rsidP="00FF6FA8">
      <w:pPr>
        <w:spacing w:line="259" w:lineRule="auto"/>
        <w:ind w:left="0" w:firstLine="0"/>
        <w:rPr>
          <w:b/>
        </w:rPr>
      </w:pPr>
      <w:r w:rsidRPr="00B6039A">
        <w:rPr>
          <w:b/>
        </w:rPr>
        <w:lastRenderedPageBreak/>
        <w:t xml:space="preserve">Table </w:t>
      </w:r>
      <w:r w:rsidR="0029286F" w:rsidRPr="00B6039A">
        <w:rPr>
          <w:b/>
        </w:rPr>
        <w:t>3</w:t>
      </w:r>
      <w:r w:rsidRPr="00B6039A">
        <w:rPr>
          <w:b/>
        </w:rPr>
        <w:t>: Full list of the WEAG’s Key Recommendations</w:t>
      </w:r>
      <w:r w:rsidR="00A642D5" w:rsidRPr="00B6039A">
        <w:rPr>
          <w:b/>
        </w:rPr>
        <w:t xml:space="preserve"> and the Coalition Government’s </w:t>
      </w:r>
      <w:r w:rsidRPr="00B6039A">
        <w:rPr>
          <w:b/>
        </w:rPr>
        <w:t xml:space="preserve">implementation progress as of </w:t>
      </w:r>
      <w:r w:rsidR="000326AA" w:rsidRPr="00B6039A">
        <w:rPr>
          <w:b/>
        </w:rPr>
        <w:t xml:space="preserve">November </w:t>
      </w:r>
      <w:r w:rsidRPr="00B6039A">
        <w:rPr>
          <w:b/>
        </w:rPr>
        <w:t>2020</w:t>
      </w:r>
    </w:p>
    <w:p w14:paraId="51E69387" w14:textId="77777777" w:rsidR="002203FB" w:rsidRPr="00B6039A" w:rsidRDefault="002203FB" w:rsidP="00FF6FA8">
      <w:pPr>
        <w:spacing w:line="259" w:lineRule="auto"/>
        <w:ind w:left="0" w:firstLine="0"/>
      </w:pPr>
    </w:p>
    <w:tbl>
      <w:tblPr>
        <w:tblStyle w:val="TableGrid"/>
        <w:tblpPr w:leftFromText="180" w:rightFromText="180" w:vertAnchor="text" w:tblpX="-572" w:tblpY="1"/>
        <w:tblOverlap w:val="never"/>
        <w:tblW w:w="14995" w:type="dxa"/>
        <w:tblLayout w:type="fixed"/>
        <w:tblLook w:val="04A0" w:firstRow="1" w:lastRow="0" w:firstColumn="1" w:lastColumn="0" w:noHBand="0" w:noVBand="1"/>
      </w:tblPr>
      <w:tblGrid>
        <w:gridCol w:w="846"/>
        <w:gridCol w:w="4833"/>
        <w:gridCol w:w="1260"/>
        <w:gridCol w:w="4230"/>
        <w:gridCol w:w="3826"/>
      </w:tblGrid>
      <w:tr w:rsidR="002203FB" w:rsidRPr="00B6039A" w14:paraId="24DFFBD6" w14:textId="77777777" w:rsidTr="00520EBB">
        <w:trPr>
          <w:trHeight w:val="604"/>
          <w:tblHeader/>
        </w:trPr>
        <w:tc>
          <w:tcPr>
            <w:tcW w:w="846" w:type="dxa"/>
            <w:shd w:val="clear" w:color="auto" w:fill="D9D9D9" w:themeFill="background1" w:themeFillShade="D9"/>
          </w:tcPr>
          <w:p w14:paraId="0BA438BE" w14:textId="7E546344" w:rsidR="002203FB" w:rsidRPr="00B6039A" w:rsidRDefault="00E12F80" w:rsidP="00520EBB">
            <w:pPr>
              <w:ind w:left="0" w:right="-182" w:firstLine="0"/>
              <w:rPr>
                <w:b/>
                <w:sz w:val="20"/>
              </w:rPr>
            </w:pPr>
            <w:r w:rsidRPr="00B6039A">
              <w:rPr>
                <w:b/>
                <w:sz w:val="20"/>
              </w:rPr>
              <w:t>#</w:t>
            </w:r>
          </w:p>
        </w:tc>
        <w:tc>
          <w:tcPr>
            <w:tcW w:w="4833" w:type="dxa"/>
            <w:shd w:val="clear" w:color="auto" w:fill="D9D9D9" w:themeFill="background1" w:themeFillShade="D9"/>
          </w:tcPr>
          <w:p w14:paraId="36218600" w14:textId="77777777" w:rsidR="002203FB" w:rsidRPr="00B6039A" w:rsidRDefault="002203FB" w:rsidP="00520EBB">
            <w:pPr>
              <w:rPr>
                <w:b/>
                <w:sz w:val="20"/>
              </w:rPr>
            </w:pPr>
            <w:r w:rsidRPr="00B6039A">
              <w:rPr>
                <w:b/>
                <w:sz w:val="20"/>
              </w:rPr>
              <w:t>Key Recommendation</w:t>
            </w:r>
          </w:p>
          <w:p w14:paraId="3F1E7196" w14:textId="77777777" w:rsidR="002203FB" w:rsidRPr="00B6039A" w:rsidRDefault="002203FB" w:rsidP="00520EBB">
            <w:pPr>
              <w:tabs>
                <w:tab w:val="left" w:pos="1455"/>
              </w:tabs>
              <w:rPr>
                <w:sz w:val="20"/>
              </w:rPr>
            </w:pPr>
            <w:r w:rsidRPr="00B6039A">
              <w:rPr>
                <w:sz w:val="20"/>
              </w:rPr>
              <w:tab/>
            </w:r>
          </w:p>
        </w:tc>
        <w:tc>
          <w:tcPr>
            <w:tcW w:w="1260" w:type="dxa"/>
            <w:shd w:val="clear" w:color="auto" w:fill="D9D9D9" w:themeFill="background1" w:themeFillShade="D9"/>
          </w:tcPr>
          <w:p w14:paraId="0DF85B31" w14:textId="377A5696" w:rsidR="002203FB" w:rsidRPr="00B6039A" w:rsidRDefault="002203FB" w:rsidP="00520EBB">
            <w:pPr>
              <w:ind w:left="86" w:firstLine="0"/>
              <w:rPr>
                <w:b/>
                <w:sz w:val="20"/>
              </w:rPr>
            </w:pPr>
            <w:r w:rsidRPr="00B6039A">
              <w:rPr>
                <w:b/>
                <w:sz w:val="20"/>
              </w:rPr>
              <w:t xml:space="preserve">Associated Detailed </w:t>
            </w:r>
            <w:r w:rsidR="007D31D4" w:rsidRPr="00B6039A">
              <w:rPr>
                <w:b/>
                <w:sz w:val="20"/>
              </w:rPr>
              <w:t xml:space="preserve">Rec/s </w:t>
            </w:r>
            <w:r w:rsidRPr="00B6039A">
              <w:rPr>
                <w:b/>
                <w:sz w:val="20"/>
              </w:rPr>
              <w:t>(if any)</w:t>
            </w:r>
          </w:p>
        </w:tc>
        <w:tc>
          <w:tcPr>
            <w:tcW w:w="4230" w:type="dxa"/>
            <w:shd w:val="clear" w:color="auto" w:fill="D9D9D9" w:themeFill="background1" w:themeFillShade="D9"/>
          </w:tcPr>
          <w:p w14:paraId="0BCF1629" w14:textId="77777777" w:rsidR="002203FB" w:rsidRPr="00B6039A" w:rsidRDefault="002203FB" w:rsidP="00520EBB">
            <w:pPr>
              <w:ind w:left="86" w:firstLine="0"/>
              <w:rPr>
                <w:b/>
                <w:sz w:val="20"/>
              </w:rPr>
            </w:pPr>
            <w:r w:rsidRPr="00B6039A">
              <w:rPr>
                <w:b/>
                <w:sz w:val="20"/>
              </w:rPr>
              <w:t>What the Coalition Government 2017-20 reported</w:t>
            </w:r>
          </w:p>
        </w:tc>
        <w:tc>
          <w:tcPr>
            <w:tcW w:w="3826" w:type="dxa"/>
            <w:shd w:val="clear" w:color="auto" w:fill="D9D9D9" w:themeFill="background1" w:themeFillShade="D9"/>
          </w:tcPr>
          <w:p w14:paraId="2291CE94" w14:textId="48CBE3EC" w:rsidR="002203FB" w:rsidRPr="00B6039A" w:rsidRDefault="002203FB" w:rsidP="00520EBB">
            <w:pPr>
              <w:rPr>
                <w:b/>
                <w:sz w:val="20"/>
              </w:rPr>
            </w:pPr>
            <w:r w:rsidRPr="00B6039A">
              <w:rPr>
                <w:b/>
                <w:sz w:val="20"/>
              </w:rPr>
              <w:t xml:space="preserve">Evidence of </w:t>
            </w:r>
            <w:r w:rsidR="008E6BB1" w:rsidRPr="00B6039A">
              <w:rPr>
                <w:b/>
                <w:sz w:val="20"/>
              </w:rPr>
              <w:t>implementation</w:t>
            </w:r>
          </w:p>
          <w:p w14:paraId="4EAED9A2" w14:textId="77777777" w:rsidR="002203FB" w:rsidRPr="00B6039A" w:rsidRDefault="002203FB" w:rsidP="00520EBB">
            <w:pPr>
              <w:jc w:val="right"/>
              <w:rPr>
                <w:sz w:val="20"/>
              </w:rPr>
            </w:pPr>
          </w:p>
        </w:tc>
      </w:tr>
      <w:tr w:rsidR="002203FB" w:rsidRPr="00B6039A" w14:paraId="53AB88FB" w14:textId="77777777" w:rsidTr="00520EBB">
        <w:trPr>
          <w:trHeight w:val="310"/>
        </w:trPr>
        <w:tc>
          <w:tcPr>
            <w:tcW w:w="846" w:type="dxa"/>
          </w:tcPr>
          <w:p w14:paraId="3FCD0E5E" w14:textId="77777777" w:rsidR="002203FB" w:rsidRPr="00B6039A" w:rsidRDefault="002203FB" w:rsidP="00520EBB">
            <w:pPr>
              <w:pStyle w:val="ListParagraph"/>
              <w:numPr>
                <w:ilvl w:val="0"/>
                <w:numId w:val="6"/>
              </w:numPr>
            </w:pPr>
          </w:p>
        </w:tc>
        <w:tc>
          <w:tcPr>
            <w:tcW w:w="4833" w:type="dxa"/>
          </w:tcPr>
          <w:p w14:paraId="61D400AF" w14:textId="5732AEC4" w:rsidR="002203FB" w:rsidRPr="00B6039A" w:rsidRDefault="002203FB" w:rsidP="00684575">
            <w:r w:rsidRPr="00B6039A">
              <w:t>Amend the Social Security Act 2018 to state that anyone exercising power under the Act have regard to the following purpose and values.</w:t>
            </w:r>
          </w:p>
          <w:p w14:paraId="1D2B1776" w14:textId="77777777" w:rsidR="002203FB" w:rsidRPr="00B6039A" w:rsidRDefault="002203FB" w:rsidP="00520EBB">
            <w:r w:rsidRPr="00B6039A">
              <w:t xml:space="preserve">The purpose of the welfare system is to </w:t>
            </w:r>
            <w:proofErr w:type="spellStart"/>
            <w:r w:rsidRPr="00B6039A">
              <w:t>whakamana</w:t>
            </w:r>
            <w:proofErr w:type="spellEnd"/>
            <w:r w:rsidRPr="00B6039A">
              <w:t xml:space="preserve"> </w:t>
            </w:r>
            <w:proofErr w:type="spellStart"/>
            <w:r w:rsidRPr="00B6039A">
              <w:t>tāngata</w:t>
            </w:r>
            <w:proofErr w:type="spellEnd"/>
            <w:r w:rsidRPr="00B6039A">
              <w:t xml:space="preserve"> and ensure a dignified life by:</w:t>
            </w:r>
          </w:p>
          <w:p w14:paraId="192FD433" w14:textId="77777777" w:rsidR="002203FB" w:rsidRPr="00B6039A" w:rsidRDefault="002203FB" w:rsidP="00520EBB">
            <w:pPr>
              <w:pStyle w:val="ListParagraph"/>
              <w:numPr>
                <w:ilvl w:val="0"/>
                <w:numId w:val="3"/>
              </w:numPr>
            </w:pPr>
            <w:r w:rsidRPr="00B6039A">
              <w:t>providing financial security and social security sufficient for an adequate standard of living</w:t>
            </w:r>
          </w:p>
          <w:p w14:paraId="39A6579F" w14:textId="2E53D90A" w:rsidR="002203FB" w:rsidRPr="00B6039A" w:rsidRDefault="002203FB" w:rsidP="00684575">
            <w:pPr>
              <w:pStyle w:val="ListParagraph"/>
              <w:numPr>
                <w:ilvl w:val="0"/>
                <w:numId w:val="3"/>
              </w:numPr>
            </w:pPr>
            <w:r w:rsidRPr="00B6039A">
              <w:t>supporting people to achieve their potential for learning, caring or volunteering, and earning through good and appropriate work.</w:t>
            </w:r>
          </w:p>
          <w:p w14:paraId="3D7C3C2A" w14:textId="77777777" w:rsidR="002203FB" w:rsidRPr="00B6039A" w:rsidRDefault="002203FB" w:rsidP="00520EBB">
            <w:r w:rsidRPr="00B6039A">
              <w:t xml:space="preserve">The welfare system is underpinned by Kia Piki Ake </w:t>
            </w:r>
            <w:proofErr w:type="spellStart"/>
            <w:r w:rsidRPr="00B6039A">
              <w:t>Te</w:t>
            </w:r>
            <w:proofErr w:type="spellEnd"/>
            <w:r w:rsidRPr="00B6039A">
              <w:t xml:space="preserve"> Mana </w:t>
            </w:r>
            <w:proofErr w:type="spellStart"/>
            <w:r w:rsidRPr="00B6039A">
              <w:t>Tangata</w:t>
            </w:r>
            <w:proofErr w:type="spellEnd"/>
            <w:r w:rsidRPr="00B6039A">
              <w:t xml:space="preserve">, including </w:t>
            </w:r>
            <w:proofErr w:type="spellStart"/>
            <w:r w:rsidRPr="00B6039A">
              <w:t>kaupapa</w:t>
            </w:r>
            <w:proofErr w:type="spellEnd"/>
            <w:r w:rsidRPr="00B6039A">
              <w:t xml:space="preserve"> Māori values of:</w:t>
            </w:r>
          </w:p>
          <w:p w14:paraId="621CE315" w14:textId="77777777" w:rsidR="002203FB" w:rsidRPr="00B6039A" w:rsidRDefault="002203FB" w:rsidP="00520EBB">
            <w:pPr>
              <w:pStyle w:val="ListParagraph"/>
              <w:numPr>
                <w:ilvl w:val="0"/>
                <w:numId w:val="5"/>
              </w:numPr>
            </w:pPr>
            <w:proofErr w:type="spellStart"/>
            <w:r w:rsidRPr="00B6039A">
              <w:t>manaakitanga</w:t>
            </w:r>
            <w:proofErr w:type="spellEnd"/>
            <w:r w:rsidRPr="00B6039A">
              <w:t xml:space="preserve"> – caring with dignity and respect</w:t>
            </w:r>
          </w:p>
          <w:p w14:paraId="094095F1" w14:textId="77777777" w:rsidR="002203FB" w:rsidRPr="00B6039A" w:rsidRDefault="002203FB" w:rsidP="00520EBB">
            <w:pPr>
              <w:pStyle w:val="ListParagraph"/>
              <w:numPr>
                <w:ilvl w:val="0"/>
                <w:numId w:val="5"/>
              </w:numPr>
            </w:pPr>
            <w:proofErr w:type="spellStart"/>
            <w:r w:rsidRPr="00B6039A">
              <w:t>ōhanga</w:t>
            </w:r>
            <w:proofErr w:type="spellEnd"/>
            <w:r w:rsidRPr="00B6039A">
              <w:t xml:space="preserve"> – economics</w:t>
            </w:r>
          </w:p>
          <w:p w14:paraId="0DC4F4F4" w14:textId="77777777" w:rsidR="002203FB" w:rsidRPr="00B6039A" w:rsidRDefault="002203FB" w:rsidP="00520EBB">
            <w:pPr>
              <w:pStyle w:val="ListParagraph"/>
              <w:numPr>
                <w:ilvl w:val="0"/>
                <w:numId w:val="5"/>
              </w:numPr>
            </w:pPr>
            <w:r w:rsidRPr="00B6039A">
              <w:t>whanaungatanga – treasuring kinship ties and relationships</w:t>
            </w:r>
          </w:p>
          <w:p w14:paraId="57F5E32C" w14:textId="77777777" w:rsidR="002203FB" w:rsidRPr="00B6039A" w:rsidRDefault="002203FB" w:rsidP="00520EBB">
            <w:pPr>
              <w:pStyle w:val="ListParagraph"/>
              <w:numPr>
                <w:ilvl w:val="0"/>
                <w:numId w:val="5"/>
              </w:numPr>
            </w:pPr>
            <w:proofErr w:type="spellStart"/>
            <w:r w:rsidRPr="00B6039A">
              <w:t>kotahitanga</w:t>
            </w:r>
            <w:proofErr w:type="spellEnd"/>
            <w:r w:rsidRPr="00B6039A">
              <w:t xml:space="preserve"> – unity</w:t>
            </w:r>
          </w:p>
          <w:p w14:paraId="0F18E11C" w14:textId="77777777" w:rsidR="002203FB" w:rsidRPr="00B6039A" w:rsidRDefault="002203FB" w:rsidP="00520EBB">
            <w:pPr>
              <w:pStyle w:val="ListParagraph"/>
              <w:numPr>
                <w:ilvl w:val="0"/>
                <w:numId w:val="5"/>
              </w:numPr>
            </w:pPr>
            <w:proofErr w:type="spellStart"/>
            <w:r w:rsidRPr="00B6039A">
              <w:t>takatūtanga</w:t>
            </w:r>
            <w:proofErr w:type="spellEnd"/>
            <w:r w:rsidRPr="00B6039A">
              <w:t xml:space="preserve"> – preparedness</w:t>
            </w:r>
          </w:p>
          <w:p w14:paraId="4880A5A5" w14:textId="77777777" w:rsidR="002203FB" w:rsidRPr="00B6039A" w:rsidRDefault="002203FB" w:rsidP="00520EBB">
            <w:pPr>
              <w:pStyle w:val="ListParagraph"/>
              <w:numPr>
                <w:ilvl w:val="0"/>
                <w:numId w:val="4"/>
              </w:numPr>
            </w:pPr>
            <w:proofErr w:type="spellStart"/>
            <w:r w:rsidRPr="00B6039A">
              <w:t>kaitiakitanga</w:t>
            </w:r>
            <w:proofErr w:type="spellEnd"/>
            <w:r w:rsidRPr="00B6039A">
              <w:t xml:space="preserve"> – guardianship.</w:t>
            </w:r>
          </w:p>
        </w:tc>
        <w:tc>
          <w:tcPr>
            <w:tcW w:w="1260" w:type="dxa"/>
          </w:tcPr>
          <w:p w14:paraId="0A5F86CF" w14:textId="77777777" w:rsidR="002203FB" w:rsidRPr="00B6039A" w:rsidRDefault="002203FB" w:rsidP="00520EBB">
            <w:r w:rsidRPr="00B6039A">
              <w:t xml:space="preserve">Nil </w:t>
            </w:r>
          </w:p>
        </w:tc>
        <w:tc>
          <w:tcPr>
            <w:tcW w:w="4230" w:type="dxa"/>
          </w:tcPr>
          <w:p w14:paraId="0DC35AD7" w14:textId="77777777" w:rsidR="002203FB" w:rsidRPr="00B6039A" w:rsidRDefault="002203FB" w:rsidP="00684575">
            <w:pPr>
              <w:ind w:left="178" w:firstLine="0"/>
            </w:pPr>
            <w:r w:rsidRPr="00B6039A">
              <w:t>The Government is not claiming implementation of this recommendation, stating in November 2019 that addressing Key Recommendation 1 is part of their ‘medium and longer-term’ work programme. They have said that “significant policy work, including cross-agency coordination and external engagement, is required to underpin amendments to the purposes and principles of the Act”.</w:t>
            </w:r>
            <w:r w:rsidRPr="00B6039A">
              <w:rPr>
                <w:rStyle w:val="FootnoteReference"/>
              </w:rPr>
              <w:footnoteReference w:id="31"/>
            </w:r>
          </w:p>
        </w:tc>
        <w:tc>
          <w:tcPr>
            <w:tcW w:w="3826" w:type="dxa"/>
            <w:shd w:val="clear" w:color="auto" w:fill="FFA5A5"/>
          </w:tcPr>
          <w:p w14:paraId="64E502B7" w14:textId="57E94964" w:rsidR="005E1481" w:rsidRPr="00B6039A" w:rsidRDefault="002203FB" w:rsidP="00520EBB">
            <w:r w:rsidRPr="00B6039A">
              <w:t xml:space="preserve">No evidence of </w:t>
            </w:r>
            <w:r w:rsidR="005E1481" w:rsidRPr="00B6039A">
              <w:t>implementation.</w:t>
            </w:r>
          </w:p>
          <w:p w14:paraId="1A80A0F5" w14:textId="50F3A19C" w:rsidR="002203FB" w:rsidRPr="00B6039A" w:rsidRDefault="002203FB" w:rsidP="00520EBB"/>
        </w:tc>
      </w:tr>
      <w:tr w:rsidR="002203FB" w:rsidRPr="00B6039A" w14:paraId="32B8C025" w14:textId="77777777" w:rsidTr="00520EBB">
        <w:trPr>
          <w:trHeight w:val="294"/>
        </w:trPr>
        <w:tc>
          <w:tcPr>
            <w:tcW w:w="846" w:type="dxa"/>
          </w:tcPr>
          <w:p w14:paraId="76B2E4F0" w14:textId="77777777" w:rsidR="002203FB" w:rsidRPr="00B6039A" w:rsidRDefault="002203FB" w:rsidP="00520EBB">
            <w:pPr>
              <w:pStyle w:val="ListParagraph"/>
              <w:numPr>
                <w:ilvl w:val="0"/>
                <w:numId w:val="6"/>
              </w:numPr>
            </w:pPr>
          </w:p>
        </w:tc>
        <w:tc>
          <w:tcPr>
            <w:tcW w:w="4833" w:type="dxa"/>
          </w:tcPr>
          <w:p w14:paraId="4805D0A2" w14:textId="77777777" w:rsidR="002203FB" w:rsidRPr="00B6039A" w:rsidRDefault="002203FB" w:rsidP="00520EBB">
            <w:r w:rsidRPr="00B6039A">
              <w:t>Use the following principles to guide the design and operation of the welfare system.</w:t>
            </w:r>
          </w:p>
          <w:p w14:paraId="2221C406" w14:textId="77777777" w:rsidR="002203FB" w:rsidRPr="00B6039A" w:rsidRDefault="002203FB" w:rsidP="00520EBB">
            <w:pPr>
              <w:pStyle w:val="ListParagraph"/>
              <w:numPr>
                <w:ilvl w:val="0"/>
                <w:numId w:val="5"/>
              </w:numPr>
            </w:pPr>
            <w:r w:rsidRPr="00B6039A">
              <w:t>Be person-centred and wellbeing focused.</w:t>
            </w:r>
          </w:p>
          <w:p w14:paraId="0469E69C" w14:textId="77777777" w:rsidR="002203FB" w:rsidRPr="00B6039A" w:rsidRDefault="002203FB" w:rsidP="00520EBB">
            <w:pPr>
              <w:pStyle w:val="ListParagraph"/>
              <w:numPr>
                <w:ilvl w:val="0"/>
                <w:numId w:val="5"/>
              </w:numPr>
            </w:pPr>
            <w:r w:rsidRPr="00B6039A">
              <w:t>Keep children paramount.</w:t>
            </w:r>
          </w:p>
          <w:p w14:paraId="6DC0ACA3" w14:textId="77777777" w:rsidR="002203FB" w:rsidRPr="00B6039A" w:rsidRDefault="002203FB" w:rsidP="00520EBB">
            <w:pPr>
              <w:pStyle w:val="ListParagraph"/>
              <w:numPr>
                <w:ilvl w:val="0"/>
                <w:numId w:val="5"/>
              </w:numPr>
            </w:pPr>
            <w:r w:rsidRPr="00B6039A">
              <w:t xml:space="preserve">Value </w:t>
            </w:r>
            <w:proofErr w:type="spellStart"/>
            <w:r w:rsidRPr="00B6039A">
              <w:t>whānau</w:t>
            </w:r>
            <w:proofErr w:type="spellEnd"/>
            <w:r w:rsidRPr="00B6039A">
              <w:t xml:space="preserve"> and families.</w:t>
            </w:r>
          </w:p>
          <w:p w14:paraId="13ABCB60" w14:textId="77777777" w:rsidR="002203FB" w:rsidRPr="00B6039A" w:rsidRDefault="002203FB" w:rsidP="00520EBB">
            <w:pPr>
              <w:pStyle w:val="ListParagraph"/>
              <w:numPr>
                <w:ilvl w:val="0"/>
                <w:numId w:val="5"/>
              </w:numPr>
            </w:pPr>
            <w:r w:rsidRPr="00B6039A">
              <w:t>Treat people with dignity, respect and compassion.</w:t>
            </w:r>
          </w:p>
          <w:p w14:paraId="40A5D38E" w14:textId="77777777" w:rsidR="002203FB" w:rsidRPr="00B6039A" w:rsidRDefault="002203FB" w:rsidP="00520EBB">
            <w:pPr>
              <w:pStyle w:val="ListParagraph"/>
              <w:numPr>
                <w:ilvl w:val="0"/>
                <w:numId w:val="5"/>
              </w:numPr>
            </w:pPr>
            <w:r w:rsidRPr="00B6039A">
              <w:t>Provide an income sufficient for an adequate standard of living.</w:t>
            </w:r>
          </w:p>
          <w:p w14:paraId="34B1B279" w14:textId="77777777" w:rsidR="002203FB" w:rsidRPr="00B6039A" w:rsidRDefault="002203FB" w:rsidP="00520EBB">
            <w:pPr>
              <w:pStyle w:val="ListParagraph"/>
              <w:numPr>
                <w:ilvl w:val="0"/>
                <w:numId w:val="5"/>
              </w:numPr>
            </w:pPr>
            <w:r w:rsidRPr="00B6039A">
              <w:t>Provide full and correct entitlements.</w:t>
            </w:r>
          </w:p>
          <w:p w14:paraId="2018952A" w14:textId="77777777" w:rsidR="002203FB" w:rsidRPr="00B6039A" w:rsidRDefault="002203FB" w:rsidP="00520EBB">
            <w:pPr>
              <w:pStyle w:val="ListParagraph"/>
              <w:numPr>
                <w:ilvl w:val="0"/>
                <w:numId w:val="5"/>
              </w:numPr>
            </w:pPr>
            <w:r w:rsidRPr="00B6039A">
              <w:t>Deliver support that is easy to access, timely and appropriate.</w:t>
            </w:r>
          </w:p>
          <w:p w14:paraId="6A1F317D" w14:textId="77777777" w:rsidR="002203FB" w:rsidRPr="00B6039A" w:rsidRDefault="002203FB" w:rsidP="00520EBB">
            <w:pPr>
              <w:pStyle w:val="ListParagraph"/>
              <w:numPr>
                <w:ilvl w:val="0"/>
                <w:numId w:val="5"/>
              </w:numPr>
            </w:pPr>
            <w:r w:rsidRPr="00B6039A">
              <w:t>Provide an employment service that supports people into good and appropriate work.</w:t>
            </w:r>
          </w:p>
          <w:p w14:paraId="49BA8251" w14:textId="77777777" w:rsidR="002203FB" w:rsidRPr="00B6039A" w:rsidRDefault="002203FB" w:rsidP="00520EBB">
            <w:pPr>
              <w:pStyle w:val="ListParagraph"/>
              <w:numPr>
                <w:ilvl w:val="0"/>
                <w:numId w:val="5"/>
              </w:numPr>
            </w:pPr>
            <w:r w:rsidRPr="00B6039A">
              <w:t xml:space="preserve">Support the provision of housing that is affordable, secure, of good quality and appropriate for the person (and their family or </w:t>
            </w:r>
            <w:proofErr w:type="spellStart"/>
            <w:r w:rsidRPr="00B6039A">
              <w:t>whānau</w:t>
            </w:r>
            <w:proofErr w:type="spellEnd"/>
            <w:r w:rsidRPr="00B6039A">
              <w:t>).</w:t>
            </w:r>
          </w:p>
          <w:p w14:paraId="13264B93" w14:textId="77777777" w:rsidR="002203FB" w:rsidRPr="00B6039A" w:rsidRDefault="002203FB" w:rsidP="00520EBB">
            <w:pPr>
              <w:pStyle w:val="ListParagraph"/>
              <w:numPr>
                <w:ilvl w:val="0"/>
                <w:numId w:val="7"/>
              </w:numPr>
            </w:pPr>
            <w:r w:rsidRPr="00B6039A">
              <w:t>Promote mutual expectations.</w:t>
            </w:r>
          </w:p>
          <w:p w14:paraId="3F2DFA54" w14:textId="77777777" w:rsidR="002203FB" w:rsidRPr="00B6039A" w:rsidRDefault="002203FB" w:rsidP="00520EBB">
            <w:pPr>
              <w:pStyle w:val="ListParagraph"/>
              <w:numPr>
                <w:ilvl w:val="0"/>
                <w:numId w:val="7"/>
              </w:numPr>
            </w:pPr>
            <w:r w:rsidRPr="00B6039A">
              <w:t>Aim for equitable outcomes.</w:t>
            </w:r>
          </w:p>
          <w:p w14:paraId="61E93DA2" w14:textId="77777777" w:rsidR="002203FB" w:rsidRPr="00B6039A" w:rsidRDefault="002203FB" w:rsidP="00520EBB">
            <w:pPr>
              <w:pStyle w:val="ListParagraph"/>
              <w:numPr>
                <w:ilvl w:val="0"/>
                <w:numId w:val="7"/>
              </w:numPr>
            </w:pPr>
            <w:r w:rsidRPr="00B6039A">
              <w:t>Build and maintain effective links with other parts of government.</w:t>
            </w:r>
          </w:p>
          <w:p w14:paraId="4BEE56E1" w14:textId="77777777" w:rsidR="002203FB" w:rsidRPr="00B6039A" w:rsidRDefault="002203FB" w:rsidP="00520EBB">
            <w:pPr>
              <w:pStyle w:val="ListParagraph"/>
              <w:numPr>
                <w:ilvl w:val="0"/>
                <w:numId w:val="7"/>
              </w:numPr>
            </w:pPr>
            <w:r w:rsidRPr="00B6039A">
              <w:t>Be sustainable.</w:t>
            </w:r>
          </w:p>
        </w:tc>
        <w:tc>
          <w:tcPr>
            <w:tcW w:w="1260" w:type="dxa"/>
          </w:tcPr>
          <w:p w14:paraId="1187C637" w14:textId="77777777" w:rsidR="002203FB" w:rsidRPr="00B6039A" w:rsidRDefault="002203FB" w:rsidP="00520EBB">
            <w:r w:rsidRPr="00B6039A">
              <w:t>Nil</w:t>
            </w:r>
          </w:p>
        </w:tc>
        <w:tc>
          <w:tcPr>
            <w:tcW w:w="4230" w:type="dxa"/>
          </w:tcPr>
          <w:p w14:paraId="20CBE29B" w14:textId="77777777" w:rsidR="002203FB" w:rsidRPr="00B6039A" w:rsidRDefault="002203FB" w:rsidP="00684575">
            <w:pPr>
              <w:ind w:left="178" w:firstLine="0"/>
            </w:pPr>
            <w:r w:rsidRPr="00B6039A">
              <w:t>The Government is not claiming implementation of this recommendation, stating in November 2019 that addressing Key Recommendation 2 is part of their ‘medium and longer-term’ work programme. They have stated that “a working policy framework is in place to guide the welfare overhaul”.</w:t>
            </w:r>
            <w:r w:rsidRPr="00B6039A">
              <w:rPr>
                <w:rStyle w:val="FootnoteReference"/>
              </w:rPr>
              <w:footnoteReference w:id="32"/>
            </w:r>
          </w:p>
        </w:tc>
        <w:tc>
          <w:tcPr>
            <w:tcW w:w="3826" w:type="dxa"/>
            <w:shd w:val="clear" w:color="auto" w:fill="FFA5A5"/>
          </w:tcPr>
          <w:p w14:paraId="48C117BE" w14:textId="50F75048" w:rsidR="002203FB" w:rsidRPr="00B6039A" w:rsidRDefault="005E1481" w:rsidP="00520EBB">
            <w:r w:rsidRPr="00B6039A">
              <w:t>No evidence of implementation.</w:t>
            </w:r>
          </w:p>
        </w:tc>
      </w:tr>
      <w:tr w:rsidR="002203FB" w:rsidRPr="00B6039A" w14:paraId="5CA8DE10" w14:textId="77777777" w:rsidTr="00520EBB">
        <w:trPr>
          <w:trHeight w:val="310"/>
        </w:trPr>
        <w:tc>
          <w:tcPr>
            <w:tcW w:w="846" w:type="dxa"/>
          </w:tcPr>
          <w:p w14:paraId="74B02966" w14:textId="77777777" w:rsidR="002203FB" w:rsidRPr="00B6039A" w:rsidRDefault="002203FB" w:rsidP="00520EBB">
            <w:pPr>
              <w:pStyle w:val="ListParagraph"/>
              <w:numPr>
                <w:ilvl w:val="0"/>
                <w:numId w:val="6"/>
              </w:numPr>
            </w:pPr>
          </w:p>
        </w:tc>
        <w:tc>
          <w:tcPr>
            <w:tcW w:w="4833" w:type="dxa"/>
          </w:tcPr>
          <w:p w14:paraId="253125B8" w14:textId="77777777" w:rsidR="002203FB" w:rsidRPr="00B6039A" w:rsidRDefault="002203FB" w:rsidP="00684575">
            <w:pPr>
              <w:ind w:left="178" w:firstLine="0"/>
            </w:pPr>
            <w:r w:rsidRPr="00B6039A">
              <w:t xml:space="preserve">Establish a cross-ministerial approach to implement and monitor the effectiveness of the implementation and impact on outcomes of the Welfare Expert Advisory Group’s recommendations (across welfare, health, housing, justice, education and employment) that is cognisant of responsibilities under </w:t>
            </w:r>
            <w:proofErr w:type="spellStart"/>
            <w:r w:rsidRPr="00B6039A">
              <w:t>Te</w:t>
            </w:r>
            <w:proofErr w:type="spellEnd"/>
            <w:r w:rsidRPr="00B6039A">
              <w:t xml:space="preserve"> </w:t>
            </w:r>
            <w:proofErr w:type="spellStart"/>
            <w:r w:rsidRPr="00B6039A">
              <w:t>Tiriti</w:t>
            </w:r>
            <w:proofErr w:type="spellEnd"/>
            <w:r w:rsidRPr="00B6039A">
              <w:t xml:space="preserve"> </w:t>
            </w:r>
            <w:r w:rsidRPr="00B6039A">
              <w:lastRenderedPageBreak/>
              <w:t>o Waitangi (the Treaty of Waitangi) and involves users of the welfare system.</w:t>
            </w:r>
          </w:p>
        </w:tc>
        <w:tc>
          <w:tcPr>
            <w:tcW w:w="1260" w:type="dxa"/>
          </w:tcPr>
          <w:p w14:paraId="6980BA77" w14:textId="77777777" w:rsidR="002203FB" w:rsidRPr="00B6039A" w:rsidRDefault="002203FB" w:rsidP="00520EBB">
            <w:r w:rsidRPr="00B6039A">
              <w:lastRenderedPageBreak/>
              <w:t>Nil</w:t>
            </w:r>
          </w:p>
        </w:tc>
        <w:tc>
          <w:tcPr>
            <w:tcW w:w="4230" w:type="dxa"/>
          </w:tcPr>
          <w:p w14:paraId="0A7E5108" w14:textId="3B859F67" w:rsidR="002203FB" w:rsidRPr="00B6039A" w:rsidRDefault="002203FB" w:rsidP="00684575">
            <w:pPr>
              <w:ind w:left="178" w:firstLine="0"/>
            </w:pPr>
            <w:r w:rsidRPr="00B6039A">
              <w:t>The Government has stated that Key Recommendation 3 has been implemented; “the Cabinet Social Wellbeing Committee will oversee the welfare overhaul work”.</w:t>
            </w:r>
            <w:r w:rsidR="003E2F74" w:rsidRPr="00B6039A">
              <w:rPr>
                <w:vertAlign w:val="superscript"/>
              </w:rPr>
              <w:t>30</w:t>
            </w:r>
            <w:r w:rsidR="003E2F74" w:rsidRPr="00B6039A">
              <w:t xml:space="preserve"> </w:t>
            </w:r>
            <w:r w:rsidRPr="00B6039A">
              <w:t xml:space="preserve">It stated that “evaluation of the welfare overhaul, or specific initiatives under the welfare </w:t>
            </w:r>
            <w:r w:rsidRPr="00B6039A">
              <w:lastRenderedPageBreak/>
              <w:t>overhaul programme, will be evaluated as appropriate.”</w:t>
            </w:r>
          </w:p>
        </w:tc>
        <w:tc>
          <w:tcPr>
            <w:tcW w:w="3826" w:type="dxa"/>
            <w:shd w:val="clear" w:color="auto" w:fill="FFE599" w:themeFill="accent4" w:themeFillTint="66"/>
          </w:tcPr>
          <w:p w14:paraId="2AF765AB" w14:textId="77777777" w:rsidR="002203FB" w:rsidRPr="00B6039A" w:rsidRDefault="002203FB" w:rsidP="003E2F74">
            <w:pPr>
              <w:ind w:left="204" w:hanging="118"/>
            </w:pPr>
            <w:r w:rsidRPr="00B6039A">
              <w:lastRenderedPageBreak/>
              <w:t>Partially implemented.</w:t>
            </w:r>
          </w:p>
          <w:p w14:paraId="700408B7" w14:textId="77777777" w:rsidR="002203FB" w:rsidRPr="00B6039A" w:rsidRDefault="002203FB" w:rsidP="003E2F74">
            <w:pPr>
              <w:ind w:left="204" w:hanging="118"/>
            </w:pPr>
          </w:p>
          <w:p w14:paraId="65CF4C24" w14:textId="77777777" w:rsidR="002203FB" w:rsidRPr="00B6039A" w:rsidRDefault="002203FB" w:rsidP="003E2F74">
            <w:pPr>
              <w:spacing w:after="120"/>
              <w:ind w:left="204" w:hanging="118"/>
            </w:pPr>
            <w:r w:rsidRPr="00B6039A">
              <w:t xml:space="preserve">The Cabinet Social Wellbeing Committee has been meeting to agree on the Government’s response to the WEAG report. However, we are yet to see evidence of monitoring and </w:t>
            </w:r>
            <w:r w:rsidRPr="00B6039A">
              <w:lastRenderedPageBreak/>
              <w:t xml:space="preserve">evaluation of the impact of outcomes from this implementation. </w:t>
            </w:r>
          </w:p>
        </w:tc>
      </w:tr>
      <w:tr w:rsidR="002203FB" w:rsidRPr="00B6039A" w14:paraId="1BADDFAF" w14:textId="77777777" w:rsidTr="00684575">
        <w:trPr>
          <w:trHeight w:val="2917"/>
        </w:trPr>
        <w:tc>
          <w:tcPr>
            <w:tcW w:w="846" w:type="dxa"/>
          </w:tcPr>
          <w:p w14:paraId="555BF59C" w14:textId="77777777" w:rsidR="002203FB" w:rsidRPr="00B6039A" w:rsidRDefault="002203FB" w:rsidP="00520EBB">
            <w:pPr>
              <w:pStyle w:val="ListParagraph"/>
              <w:numPr>
                <w:ilvl w:val="0"/>
                <w:numId w:val="6"/>
              </w:numPr>
            </w:pPr>
          </w:p>
        </w:tc>
        <w:tc>
          <w:tcPr>
            <w:tcW w:w="4833" w:type="dxa"/>
          </w:tcPr>
          <w:p w14:paraId="43EA4DCB" w14:textId="77777777" w:rsidR="002203FB" w:rsidRPr="00B6039A" w:rsidRDefault="002203FB" w:rsidP="00684575">
            <w:pPr>
              <w:ind w:left="178" w:firstLine="0"/>
            </w:pPr>
            <w:r w:rsidRPr="00B6039A">
              <w:t xml:space="preserve">Direct the Chief Executive of the Ministry of Social Development to design and implement a welfare system that will fulfil the new purpose and principles of the amended Social Security Act, is cognisant of responsibilities under </w:t>
            </w:r>
            <w:proofErr w:type="spellStart"/>
            <w:r w:rsidRPr="00B6039A">
              <w:t>Te</w:t>
            </w:r>
            <w:proofErr w:type="spellEnd"/>
            <w:r w:rsidRPr="00B6039A">
              <w:t xml:space="preserve"> </w:t>
            </w:r>
            <w:proofErr w:type="spellStart"/>
            <w:r w:rsidRPr="00B6039A">
              <w:t>Tiriti</w:t>
            </w:r>
            <w:proofErr w:type="spellEnd"/>
            <w:r w:rsidRPr="00B6039A">
              <w:t xml:space="preserve"> o Waitangi and involves users of the system.</w:t>
            </w:r>
          </w:p>
        </w:tc>
        <w:tc>
          <w:tcPr>
            <w:tcW w:w="1260" w:type="dxa"/>
          </w:tcPr>
          <w:p w14:paraId="0EB742B6" w14:textId="77777777" w:rsidR="002203FB" w:rsidRPr="00B6039A" w:rsidRDefault="002203FB" w:rsidP="00520EBB">
            <w:r w:rsidRPr="00B6039A">
              <w:t>Nil</w:t>
            </w:r>
          </w:p>
        </w:tc>
        <w:tc>
          <w:tcPr>
            <w:tcW w:w="4230" w:type="dxa"/>
          </w:tcPr>
          <w:p w14:paraId="2786EB0E" w14:textId="77777777" w:rsidR="002203FB" w:rsidRPr="00B6039A" w:rsidRDefault="002203FB" w:rsidP="00684575">
            <w:pPr>
              <w:ind w:left="178" w:firstLine="0"/>
            </w:pPr>
            <w:r w:rsidRPr="00B6039A">
              <w:t>The Government is not claiming implementation of this recommendation, stating in November 2019 that addressing Key Recommendation 4 is part of their ‘medium and longer-term’ work programme. They have stated that “the Government will continue to be mindful of any implications of the current public sector reform work in public sector governance.”</w:t>
            </w:r>
            <w:r w:rsidRPr="00B6039A">
              <w:rPr>
                <w:rStyle w:val="FootnoteReference"/>
              </w:rPr>
              <w:footnoteReference w:id="33"/>
            </w:r>
          </w:p>
        </w:tc>
        <w:tc>
          <w:tcPr>
            <w:tcW w:w="3826" w:type="dxa"/>
            <w:shd w:val="clear" w:color="auto" w:fill="FFA5A5"/>
          </w:tcPr>
          <w:p w14:paraId="7DF42EA1" w14:textId="4BB500C4" w:rsidR="002203FB" w:rsidRPr="00B6039A" w:rsidRDefault="005E1481" w:rsidP="003E2F74">
            <w:pPr>
              <w:ind w:left="204" w:hanging="118"/>
            </w:pPr>
            <w:r w:rsidRPr="00B6039A">
              <w:t>No evidence of implementation.</w:t>
            </w:r>
          </w:p>
        </w:tc>
      </w:tr>
      <w:tr w:rsidR="002203FB" w:rsidRPr="00B6039A" w14:paraId="08790D96" w14:textId="77777777" w:rsidTr="00520EBB">
        <w:trPr>
          <w:trHeight w:val="310"/>
        </w:trPr>
        <w:tc>
          <w:tcPr>
            <w:tcW w:w="846" w:type="dxa"/>
          </w:tcPr>
          <w:p w14:paraId="786B0686" w14:textId="77777777" w:rsidR="002203FB" w:rsidRPr="00B6039A" w:rsidRDefault="002203FB" w:rsidP="00520EBB">
            <w:pPr>
              <w:pStyle w:val="ListParagraph"/>
              <w:numPr>
                <w:ilvl w:val="0"/>
                <w:numId w:val="6"/>
              </w:numPr>
            </w:pPr>
          </w:p>
        </w:tc>
        <w:tc>
          <w:tcPr>
            <w:tcW w:w="4833" w:type="dxa"/>
          </w:tcPr>
          <w:p w14:paraId="3CE64D99" w14:textId="77777777" w:rsidR="002203FB" w:rsidRPr="00B6039A" w:rsidRDefault="002203FB" w:rsidP="00684575">
            <w:pPr>
              <w:ind w:left="178" w:firstLine="0"/>
            </w:pPr>
            <w:r w:rsidRPr="00B6039A">
              <w:t>Direct the Ministry of Social Development and Inland Revenue to publish yearly, whether as part of their Annual Reports or Statement of Intent, or as a standalone report, information on key outcomes for those interacting with the welfare system, including information about full and correct entitlements, take-up rates of payments, employment outcomes, the impact of employment supports and services, and after-tax and abatement earnings.</w:t>
            </w:r>
          </w:p>
          <w:p w14:paraId="6A3BB76D" w14:textId="77777777" w:rsidR="002203FB" w:rsidRPr="00B6039A" w:rsidRDefault="002203FB" w:rsidP="00684575">
            <w:pPr>
              <w:ind w:left="178" w:firstLine="0"/>
            </w:pPr>
          </w:p>
          <w:p w14:paraId="0FF8D06E" w14:textId="77777777" w:rsidR="002203FB" w:rsidRPr="00B6039A" w:rsidRDefault="002203FB" w:rsidP="00684575">
            <w:pPr>
              <w:ind w:left="178" w:firstLine="0"/>
            </w:pPr>
            <w:r w:rsidRPr="00B6039A">
              <w:t>Measures should include:</w:t>
            </w:r>
          </w:p>
          <w:p w14:paraId="5760BACA" w14:textId="77777777" w:rsidR="002203FB" w:rsidRPr="00B6039A" w:rsidRDefault="002203FB" w:rsidP="003E2F74">
            <w:pPr>
              <w:pStyle w:val="ListParagraph"/>
              <w:numPr>
                <w:ilvl w:val="0"/>
                <w:numId w:val="7"/>
              </w:numPr>
              <w:ind w:left="320" w:hanging="142"/>
            </w:pPr>
            <w:r w:rsidRPr="00B6039A">
              <w:t>full and correct entitlement for all who are eligible by ethnicity, gender, location, health conditions and</w:t>
            </w:r>
          </w:p>
          <w:p w14:paraId="34EAC561" w14:textId="77777777" w:rsidR="002203FB" w:rsidRPr="00B6039A" w:rsidRDefault="002203FB" w:rsidP="003E2F74">
            <w:pPr>
              <w:pStyle w:val="ListParagraph"/>
              <w:numPr>
                <w:ilvl w:val="0"/>
                <w:numId w:val="8"/>
              </w:numPr>
              <w:ind w:left="320" w:hanging="142"/>
            </w:pPr>
            <w:r w:rsidRPr="00B6039A">
              <w:lastRenderedPageBreak/>
              <w:t>disabilities, and number and age of dependent children (0–17 years)</w:t>
            </w:r>
          </w:p>
          <w:p w14:paraId="2DA2E697" w14:textId="77777777" w:rsidR="002203FB" w:rsidRPr="00B6039A" w:rsidRDefault="002203FB" w:rsidP="003E2F74">
            <w:pPr>
              <w:pStyle w:val="ListParagraph"/>
              <w:numPr>
                <w:ilvl w:val="0"/>
                <w:numId w:val="8"/>
              </w:numPr>
              <w:ind w:left="320" w:hanging="142"/>
            </w:pPr>
            <w:r w:rsidRPr="00B6039A">
              <w:t>take-up rates of payments by ethnicity, gender, location, health conditions and disabilities, and number and age of dependent children (0–17 years)</w:t>
            </w:r>
          </w:p>
          <w:p w14:paraId="5D750C37" w14:textId="77777777" w:rsidR="002203FB" w:rsidRPr="00B6039A" w:rsidRDefault="002203FB" w:rsidP="003E2F74">
            <w:pPr>
              <w:pStyle w:val="ListParagraph"/>
              <w:numPr>
                <w:ilvl w:val="0"/>
                <w:numId w:val="8"/>
              </w:numPr>
              <w:ind w:left="320" w:hanging="142"/>
            </w:pPr>
            <w:r w:rsidRPr="00B6039A">
              <w:t>employment outcomes by benefit type, ethnicity, gender, location, health conditions and disabilities,</w:t>
            </w:r>
          </w:p>
          <w:p w14:paraId="6E628041" w14:textId="77777777" w:rsidR="002203FB" w:rsidRPr="00B6039A" w:rsidRDefault="002203FB" w:rsidP="003E2F74">
            <w:pPr>
              <w:pStyle w:val="ListParagraph"/>
              <w:numPr>
                <w:ilvl w:val="0"/>
                <w:numId w:val="8"/>
              </w:numPr>
              <w:ind w:left="320" w:hanging="142"/>
            </w:pPr>
            <w:r w:rsidRPr="00B6039A">
              <w:t>age, and duration off benefit (3, 6 and 12 months)</w:t>
            </w:r>
          </w:p>
          <w:p w14:paraId="53DF3B7E" w14:textId="77777777" w:rsidR="002203FB" w:rsidRPr="00B6039A" w:rsidRDefault="002203FB" w:rsidP="003E2F74">
            <w:pPr>
              <w:pStyle w:val="ListParagraph"/>
              <w:numPr>
                <w:ilvl w:val="0"/>
                <w:numId w:val="8"/>
              </w:numPr>
              <w:ind w:left="320" w:hanging="142"/>
            </w:pPr>
            <w:r w:rsidRPr="00B6039A">
              <w:t>impact of employment supports and services on outcomes by ethnicity, gender, location, health</w:t>
            </w:r>
          </w:p>
          <w:p w14:paraId="35FA309C" w14:textId="77777777" w:rsidR="002203FB" w:rsidRPr="00B6039A" w:rsidRDefault="002203FB" w:rsidP="003E2F74">
            <w:pPr>
              <w:pStyle w:val="ListParagraph"/>
              <w:numPr>
                <w:ilvl w:val="0"/>
                <w:numId w:val="8"/>
              </w:numPr>
              <w:ind w:left="320" w:hanging="142"/>
            </w:pPr>
            <w:r w:rsidRPr="00B6039A">
              <w:t>conditions and disabilities, and number and age of dependent children (0–17 years)</w:t>
            </w:r>
          </w:p>
          <w:p w14:paraId="5A27905C" w14:textId="77777777" w:rsidR="002203FB" w:rsidRPr="00B6039A" w:rsidRDefault="002203FB" w:rsidP="003E2F74">
            <w:pPr>
              <w:pStyle w:val="ListParagraph"/>
              <w:numPr>
                <w:ilvl w:val="0"/>
                <w:numId w:val="8"/>
              </w:numPr>
              <w:ind w:left="320" w:hanging="142"/>
            </w:pPr>
            <w:r w:rsidRPr="00B6039A">
              <w:t>after-tax and abatement earnings for those receiving financial support from Inland Revenue or the Ministry of Social Development by ethnicity, gender, location, health conditions and disabilities, and number and age of dependent children (0–17 years).</w:t>
            </w:r>
          </w:p>
        </w:tc>
        <w:tc>
          <w:tcPr>
            <w:tcW w:w="1260" w:type="dxa"/>
          </w:tcPr>
          <w:p w14:paraId="3ADA0266" w14:textId="77777777" w:rsidR="002203FB" w:rsidRPr="00B6039A" w:rsidRDefault="002203FB" w:rsidP="00520EBB">
            <w:r w:rsidRPr="00B6039A">
              <w:lastRenderedPageBreak/>
              <w:t>Nil</w:t>
            </w:r>
          </w:p>
        </w:tc>
        <w:tc>
          <w:tcPr>
            <w:tcW w:w="4230" w:type="dxa"/>
          </w:tcPr>
          <w:p w14:paraId="589AC8E3" w14:textId="77777777" w:rsidR="002203FB" w:rsidRPr="00B6039A" w:rsidRDefault="002203FB" w:rsidP="00684575">
            <w:pPr>
              <w:ind w:left="178" w:firstLine="0"/>
            </w:pPr>
            <w:r w:rsidRPr="00B6039A">
              <w:t>The Government has stated that work is ‘already underway’ to address Key Recommendation 5.</w:t>
            </w:r>
            <w:r w:rsidRPr="00B6039A">
              <w:rPr>
                <w:rStyle w:val="FootnoteReference"/>
              </w:rPr>
              <w:footnoteReference w:id="34"/>
            </w:r>
            <w:r w:rsidRPr="00B6039A">
              <w:t xml:space="preserve"> In 2019, they stated that “some work is underway and is being prepared for publication but further work and significant investment in data collection and modelling is required and will take time to build into robust measures”.</w:t>
            </w:r>
            <w:r w:rsidRPr="00B6039A">
              <w:rPr>
                <w:rStyle w:val="FootnoteReference"/>
              </w:rPr>
              <w:footnoteReference w:id="35"/>
            </w:r>
          </w:p>
          <w:p w14:paraId="45199165" w14:textId="77777777" w:rsidR="002203FB" w:rsidRPr="00B6039A" w:rsidRDefault="002203FB" w:rsidP="00684575">
            <w:pPr>
              <w:ind w:left="178" w:firstLine="0"/>
            </w:pPr>
          </w:p>
          <w:p w14:paraId="00EB9CDF" w14:textId="77777777" w:rsidR="002203FB" w:rsidRPr="00B6039A" w:rsidRDefault="002203FB" w:rsidP="00684575">
            <w:pPr>
              <w:ind w:left="178" w:firstLine="0"/>
            </w:pPr>
            <w:r w:rsidRPr="00B6039A">
              <w:t xml:space="preserve">In March 2020, Minister </w:t>
            </w:r>
            <w:proofErr w:type="spellStart"/>
            <w:r w:rsidRPr="00B6039A">
              <w:t>Sepuloni</w:t>
            </w:r>
            <w:proofErr w:type="spellEnd"/>
            <w:r w:rsidRPr="00B6039A">
              <w:t xml:space="preserve"> stated that “In response to recommendation 5, to implement better reporting, “we are regularly monitoring the longer-term </w:t>
            </w:r>
            <w:r w:rsidRPr="00B6039A">
              <w:lastRenderedPageBreak/>
              <w:t>employment outcomes of people leaving the benefit system.”</w:t>
            </w:r>
            <w:r w:rsidRPr="00B6039A">
              <w:rPr>
                <w:rStyle w:val="FootnoteReference"/>
              </w:rPr>
              <w:footnoteReference w:id="36"/>
            </w:r>
          </w:p>
        </w:tc>
        <w:tc>
          <w:tcPr>
            <w:tcW w:w="3826" w:type="dxa"/>
            <w:shd w:val="clear" w:color="auto" w:fill="F8CA9C"/>
          </w:tcPr>
          <w:p w14:paraId="69EDCDEF" w14:textId="77777777" w:rsidR="002203FB" w:rsidRPr="00B6039A" w:rsidRDefault="002203FB" w:rsidP="003E2F74">
            <w:pPr>
              <w:ind w:left="204" w:hanging="118"/>
            </w:pPr>
            <w:r w:rsidRPr="00B6039A">
              <w:lastRenderedPageBreak/>
              <w:t>Minimal implementation.</w:t>
            </w:r>
          </w:p>
          <w:p w14:paraId="63022922" w14:textId="77777777" w:rsidR="002203FB" w:rsidRPr="00B6039A" w:rsidRDefault="002203FB" w:rsidP="003E2F74">
            <w:pPr>
              <w:ind w:left="204" w:hanging="118"/>
            </w:pPr>
          </w:p>
          <w:p w14:paraId="64F0E473" w14:textId="5440D7A8" w:rsidR="002203FB" w:rsidRPr="00B6039A" w:rsidRDefault="002203FB" w:rsidP="003E2F74">
            <w:pPr>
              <w:ind w:left="204" w:hanging="118"/>
            </w:pPr>
            <w:r w:rsidRPr="00B6039A">
              <w:t xml:space="preserve">While Minister </w:t>
            </w:r>
            <w:proofErr w:type="spellStart"/>
            <w:r w:rsidRPr="00B6039A">
              <w:t>Sepuloni</w:t>
            </w:r>
            <w:proofErr w:type="spellEnd"/>
            <w:r w:rsidRPr="00B6039A">
              <w:t xml:space="preserve"> has responded to this recommendation by stating that the Government is ‘regularly monitoring</w:t>
            </w:r>
            <w:r w:rsidR="00684575" w:rsidRPr="00B6039A">
              <w:t>’</w:t>
            </w:r>
            <w:r w:rsidRPr="00B6039A">
              <w:t xml:space="preserve"> employment outcomes for people coming off-benefit, this data collection is only one of the eight measures recommended by WEAG. </w:t>
            </w:r>
          </w:p>
        </w:tc>
      </w:tr>
      <w:tr w:rsidR="002203FB" w:rsidRPr="00B6039A" w14:paraId="2BDCB388" w14:textId="77777777" w:rsidTr="00520EBB">
        <w:trPr>
          <w:trHeight w:val="294"/>
        </w:trPr>
        <w:tc>
          <w:tcPr>
            <w:tcW w:w="846" w:type="dxa"/>
          </w:tcPr>
          <w:p w14:paraId="270AE5FF" w14:textId="77777777" w:rsidR="002203FB" w:rsidRPr="00B6039A" w:rsidRDefault="002203FB" w:rsidP="00520EBB">
            <w:pPr>
              <w:pStyle w:val="ListParagraph"/>
              <w:numPr>
                <w:ilvl w:val="0"/>
                <w:numId w:val="6"/>
              </w:numPr>
            </w:pPr>
          </w:p>
        </w:tc>
        <w:tc>
          <w:tcPr>
            <w:tcW w:w="4833" w:type="dxa"/>
          </w:tcPr>
          <w:p w14:paraId="68262B72" w14:textId="77777777" w:rsidR="002203FB" w:rsidRPr="00B6039A" w:rsidRDefault="002203FB" w:rsidP="00684575">
            <w:pPr>
              <w:ind w:left="178" w:firstLine="0"/>
            </w:pPr>
            <w:r w:rsidRPr="00B6039A">
              <w:t>Embed the competencies required to achieve greater equity for Māori in the job descriptions, key performance indicators and performance reviews of the Ministry of Social Development’s management and staff.</w:t>
            </w:r>
          </w:p>
        </w:tc>
        <w:tc>
          <w:tcPr>
            <w:tcW w:w="1260" w:type="dxa"/>
          </w:tcPr>
          <w:p w14:paraId="1B5D9D04" w14:textId="77777777" w:rsidR="002203FB" w:rsidRPr="00B6039A" w:rsidRDefault="002203FB" w:rsidP="00520EBB">
            <w:r w:rsidRPr="00B6039A">
              <w:t>Nil</w:t>
            </w:r>
          </w:p>
        </w:tc>
        <w:tc>
          <w:tcPr>
            <w:tcW w:w="4230" w:type="dxa"/>
          </w:tcPr>
          <w:p w14:paraId="715D6BCE" w14:textId="77777777" w:rsidR="002203FB" w:rsidRPr="00B6039A" w:rsidRDefault="002203FB" w:rsidP="00684575">
            <w:pPr>
              <w:ind w:left="178" w:firstLine="0"/>
            </w:pPr>
            <w:r w:rsidRPr="00B6039A">
              <w:t xml:space="preserve">The Government has stated that work is ‘already underway’ to address Key Recommendation 6 by MSD through its </w:t>
            </w:r>
            <w:proofErr w:type="spellStart"/>
            <w:r w:rsidRPr="00B6039A">
              <w:t>Te</w:t>
            </w:r>
            <w:proofErr w:type="spellEnd"/>
            <w:r w:rsidRPr="00B6039A">
              <w:t xml:space="preserve"> </w:t>
            </w:r>
            <w:proofErr w:type="spellStart"/>
            <w:r w:rsidRPr="00B6039A">
              <w:t>Pae</w:t>
            </w:r>
            <w:proofErr w:type="spellEnd"/>
            <w:r w:rsidRPr="00B6039A">
              <w:t xml:space="preserve"> </w:t>
            </w:r>
            <w:proofErr w:type="spellStart"/>
            <w:r w:rsidRPr="00B6039A">
              <w:t>Tawhiti</w:t>
            </w:r>
            <w:proofErr w:type="spellEnd"/>
            <w:r w:rsidRPr="00B6039A">
              <w:t xml:space="preserve"> and </w:t>
            </w:r>
            <w:proofErr w:type="spellStart"/>
            <w:r w:rsidRPr="00B6039A">
              <w:t>Te</w:t>
            </w:r>
            <w:proofErr w:type="spellEnd"/>
            <w:r w:rsidRPr="00B6039A">
              <w:t xml:space="preserve"> </w:t>
            </w:r>
            <w:proofErr w:type="spellStart"/>
            <w:r w:rsidRPr="00B6039A">
              <w:t>Pae</w:t>
            </w:r>
            <w:proofErr w:type="spellEnd"/>
            <w:r w:rsidRPr="00B6039A">
              <w:t xml:space="preserve"> Tata workstreams.</w:t>
            </w:r>
            <w:r w:rsidRPr="00B6039A">
              <w:rPr>
                <w:rStyle w:val="FootnoteReference"/>
              </w:rPr>
              <w:footnoteReference w:id="37"/>
            </w:r>
            <w:r w:rsidRPr="00B6039A">
              <w:t xml:space="preserve"> It has said that "MSD will develop a range of indicators and measurements to monitor progress, </w:t>
            </w:r>
            <w:r w:rsidRPr="00B6039A">
              <w:lastRenderedPageBreak/>
              <w:t xml:space="preserve">alongside feedback from people and </w:t>
            </w:r>
            <w:proofErr w:type="spellStart"/>
            <w:r w:rsidRPr="00B6039A">
              <w:t>whānau</w:t>
            </w:r>
            <w:proofErr w:type="spellEnd"/>
            <w:r w:rsidRPr="00B6039A">
              <w:t>.”</w:t>
            </w:r>
          </w:p>
        </w:tc>
        <w:tc>
          <w:tcPr>
            <w:tcW w:w="3826" w:type="dxa"/>
            <w:shd w:val="clear" w:color="auto" w:fill="FFE599" w:themeFill="accent4" w:themeFillTint="66"/>
          </w:tcPr>
          <w:p w14:paraId="27FDB75F" w14:textId="77777777" w:rsidR="002203FB" w:rsidRPr="00B6039A" w:rsidRDefault="002203FB" w:rsidP="003E2F74">
            <w:pPr>
              <w:ind w:left="204" w:hanging="118"/>
            </w:pPr>
            <w:r w:rsidRPr="00B6039A">
              <w:lastRenderedPageBreak/>
              <w:t xml:space="preserve">Partial implementation through the </w:t>
            </w:r>
            <w:proofErr w:type="spellStart"/>
            <w:r w:rsidRPr="00B6039A">
              <w:t>Te</w:t>
            </w:r>
            <w:proofErr w:type="spellEnd"/>
            <w:r w:rsidRPr="00B6039A">
              <w:t xml:space="preserve"> </w:t>
            </w:r>
            <w:proofErr w:type="spellStart"/>
            <w:r w:rsidRPr="00B6039A">
              <w:t>Pae</w:t>
            </w:r>
            <w:proofErr w:type="spellEnd"/>
            <w:r w:rsidRPr="00B6039A">
              <w:t xml:space="preserve"> </w:t>
            </w:r>
            <w:proofErr w:type="spellStart"/>
            <w:r w:rsidRPr="00B6039A">
              <w:t>Tawhiti</w:t>
            </w:r>
            <w:proofErr w:type="spellEnd"/>
            <w:r w:rsidRPr="00B6039A">
              <w:t xml:space="preserve"> and </w:t>
            </w:r>
            <w:proofErr w:type="spellStart"/>
            <w:r w:rsidRPr="00B6039A">
              <w:t>Te</w:t>
            </w:r>
            <w:proofErr w:type="spellEnd"/>
            <w:r w:rsidRPr="00B6039A">
              <w:t xml:space="preserve"> </w:t>
            </w:r>
            <w:proofErr w:type="spellStart"/>
            <w:r w:rsidRPr="00B6039A">
              <w:t>Pae</w:t>
            </w:r>
            <w:proofErr w:type="spellEnd"/>
            <w:r w:rsidRPr="00B6039A">
              <w:t xml:space="preserve"> Tata workstreams.</w:t>
            </w:r>
          </w:p>
          <w:p w14:paraId="365D1433" w14:textId="77777777" w:rsidR="002203FB" w:rsidRPr="00B6039A" w:rsidRDefault="002203FB" w:rsidP="003E2F74">
            <w:pPr>
              <w:spacing w:after="120"/>
              <w:ind w:left="204" w:hanging="118"/>
            </w:pPr>
            <w:r w:rsidRPr="00B6039A">
              <w:t xml:space="preserve">No evidence that competencies required to achieve greater equity for Māori have been embedded into job descriptions, key performance </w:t>
            </w:r>
            <w:r w:rsidRPr="00B6039A">
              <w:lastRenderedPageBreak/>
              <w:t>indicators and performance reviews of MSD’s management and staff.</w:t>
            </w:r>
          </w:p>
        </w:tc>
      </w:tr>
      <w:tr w:rsidR="002203FB" w:rsidRPr="00B6039A" w14:paraId="0317C4D9" w14:textId="77777777" w:rsidTr="00520EBB">
        <w:trPr>
          <w:trHeight w:val="310"/>
        </w:trPr>
        <w:tc>
          <w:tcPr>
            <w:tcW w:w="846" w:type="dxa"/>
          </w:tcPr>
          <w:p w14:paraId="4CE03B6D" w14:textId="77777777" w:rsidR="002203FB" w:rsidRPr="00B6039A" w:rsidRDefault="002203FB" w:rsidP="00520EBB">
            <w:pPr>
              <w:pStyle w:val="ListParagraph"/>
              <w:numPr>
                <w:ilvl w:val="0"/>
                <w:numId w:val="6"/>
              </w:numPr>
            </w:pPr>
          </w:p>
        </w:tc>
        <w:tc>
          <w:tcPr>
            <w:tcW w:w="4833" w:type="dxa"/>
          </w:tcPr>
          <w:p w14:paraId="5154A854" w14:textId="77777777" w:rsidR="002203FB" w:rsidRPr="00B6039A" w:rsidRDefault="002203FB" w:rsidP="00684575">
            <w:pPr>
              <w:ind w:left="178" w:firstLine="0"/>
            </w:pPr>
            <w:r w:rsidRPr="00B6039A">
              <w:t xml:space="preserve">Include in the amended Social Security Act specific requirements for the Chief Executive of the Ministry of Social Development to be accountable to iwi (as recognised collectives) and to Māori (as individuals, </w:t>
            </w:r>
            <w:proofErr w:type="spellStart"/>
            <w:r w:rsidRPr="00B6039A">
              <w:t>whānau</w:t>
            </w:r>
            <w:proofErr w:type="spellEnd"/>
            <w:r w:rsidRPr="00B6039A">
              <w:t xml:space="preserve"> and communities) for achieving equitable wellbeing outcomes for Māori from the welfare system.</w:t>
            </w:r>
          </w:p>
        </w:tc>
        <w:tc>
          <w:tcPr>
            <w:tcW w:w="1260" w:type="dxa"/>
          </w:tcPr>
          <w:p w14:paraId="37CA6F4A" w14:textId="77777777" w:rsidR="002203FB" w:rsidRPr="00B6039A" w:rsidRDefault="002203FB" w:rsidP="00520EBB">
            <w:r w:rsidRPr="00B6039A">
              <w:t>Nil</w:t>
            </w:r>
          </w:p>
        </w:tc>
        <w:tc>
          <w:tcPr>
            <w:tcW w:w="4230" w:type="dxa"/>
          </w:tcPr>
          <w:p w14:paraId="6C1C3C60" w14:textId="77777777" w:rsidR="002203FB" w:rsidRPr="00B6039A" w:rsidRDefault="002203FB" w:rsidP="00684575">
            <w:pPr>
              <w:spacing w:before="120" w:after="120"/>
              <w:ind w:left="178" w:firstLine="0"/>
            </w:pPr>
            <w:r w:rsidRPr="00B6039A">
              <w:t>The Government is not claiming implementation of this recommendation, stating in November 2019 that addressing Key Recommendation 7 is part of their ‘medium and longer-term’ work programme. They have stated that “This work will be progressed alongside the purposes and principles work, given the complexities of accountability arrangements.”</w:t>
            </w:r>
            <w:r w:rsidRPr="00B6039A">
              <w:rPr>
                <w:rStyle w:val="FootnoteReference"/>
              </w:rPr>
              <w:footnoteReference w:id="38"/>
            </w:r>
          </w:p>
        </w:tc>
        <w:tc>
          <w:tcPr>
            <w:tcW w:w="3826" w:type="dxa"/>
            <w:shd w:val="clear" w:color="auto" w:fill="FFA5A5"/>
          </w:tcPr>
          <w:p w14:paraId="12452E8E" w14:textId="52C9AC35" w:rsidR="002203FB" w:rsidRPr="00B6039A" w:rsidRDefault="005E1481" w:rsidP="00684575">
            <w:pPr>
              <w:ind w:left="178" w:firstLine="0"/>
            </w:pPr>
            <w:r w:rsidRPr="00B6039A">
              <w:t>No evidence of implementation.</w:t>
            </w:r>
          </w:p>
        </w:tc>
      </w:tr>
      <w:tr w:rsidR="002203FB" w:rsidRPr="00B6039A" w14:paraId="54F43689" w14:textId="77777777" w:rsidTr="00520EBB">
        <w:trPr>
          <w:trHeight w:val="310"/>
        </w:trPr>
        <w:tc>
          <w:tcPr>
            <w:tcW w:w="846" w:type="dxa"/>
          </w:tcPr>
          <w:p w14:paraId="41E76258" w14:textId="77777777" w:rsidR="002203FB" w:rsidRPr="00B6039A" w:rsidRDefault="002203FB" w:rsidP="00520EBB">
            <w:pPr>
              <w:pStyle w:val="ListParagraph"/>
              <w:numPr>
                <w:ilvl w:val="0"/>
                <w:numId w:val="6"/>
              </w:numPr>
            </w:pPr>
          </w:p>
        </w:tc>
        <w:tc>
          <w:tcPr>
            <w:tcW w:w="4833" w:type="dxa"/>
          </w:tcPr>
          <w:p w14:paraId="3C5EB09B" w14:textId="77777777" w:rsidR="0057040C" w:rsidRPr="00B6039A" w:rsidRDefault="002203FB" w:rsidP="00684575">
            <w:pPr>
              <w:ind w:left="178" w:firstLine="0"/>
            </w:pPr>
            <w:r w:rsidRPr="00B6039A">
              <w:t>Direct the Ministry of Social Development to commit to building its cultural responsiveness to Pacific People, to achieve equitable outcomes for Pacific People engaging with the welfare system</w:t>
            </w:r>
          </w:p>
          <w:p w14:paraId="64B49592" w14:textId="1E3A4466" w:rsidR="002203FB" w:rsidRPr="00B6039A" w:rsidRDefault="002203FB" w:rsidP="00684575">
            <w:pPr>
              <w:ind w:left="178" w:firstLine="0"/>
            </w:pPr>
            <w:r w:rsidRPr="00B6039A">
              <w:t>. Cultural responsiveness includes having an awareness of cultural obligations experienced by Pacific People around contributions for weddings, funerals and other critical cultural events and taking account of the nuances within diverse Pacific communities.</w:t>
            </w:r>
          </w:p>
        </w:tc>
        <w:tc>
          <w:tcPr>
            <w:tcW w:w="1260" w:type="dxa"/>
          </w:tcPr>
          <w:p w14:paraId="7EDAFD71" w14:textId="77777777" w:rsidR="002203FB" w:rsidRPr="00B6039A" w:rsidRDefault="002203FB" w:rsidP="00520EBB">
            <w:r w:rsidRPr="00B6039A">
              <w:t>Nil</w:t>
            </w:r>
          </w:p>
        </w:tc>
        <w:tc>
          <w:tcPr>
            <w:tcW w:w="4230" w:type="dxa"/>
          </w:tcPr>
          <w:p w14:paraId="3239DE79" w14:textId="441BADC6" w:rsidR="002203FB" w:rsidRPr="00B6039A" w:rsidRDefault="002203FB" w:rsidP="00684575">
            <w:pPr>
              <w:ind w:left="178" w:firstLine="0"/>
            </w:pPr>
            <w:r w:rsidRPr="00B6039A">
              <w:t>The Government has stated that work is ‘already underway’ to address Key Recommendation 8.</w:t>
            </w:r>
            <w:r w:rsidRPr="00B6039A">
              <w:rPr>
                <w:rStyle w:val="FootnoteReference"/>
              </w:rPr>
              <w:footnoteReference w:id="39"/>
            </w:r>
            <w:r w:rsidRPr="00B6039A">
              <w:t xml:space="preserve"> They have stated that “MSD continues to partner with Pacific communities to develop community-led initiatives that boost wellbeing and prevent violence as part of </w:t>
            </w:r>
            <w:proofErr w:type="spellStart"/>
            <w:r w:rsidRPr="00B6039A">
              <w:t>Pasefika</w:t>
            </w:r>
            <w:proofErr w:type="spellEnd"/>
            <w:r w:rsidRPr="00B6039A">
              <w:t xml:space="preserve"> Proud. MSD’s work with Pacific people includes the establishment of a Pacific Steering Group and Pacific Reference Group to inform and support the development of the Pacific Strategy and to also provide guidance on other matters related to Pacific people.”</w:t>
            </w:r>
            <w:r w:rsidR="003E2F74" w:rsidRPr="00B6039A">
              <w:rPr>
                <w:vertAlign w:val="superscript"/>
              </w:rPr>
              <w:t>36</w:t>
            </w:r>
          </w:p>
        </w:tc>
        <w:tc>
          <w:tcPr>
            <w:tcW w:w="3826" w:type="dxa"/>
            <w:shd w:val="clear" w:color="auto" w:fill="FFE599" w:themeFill="accent4" w:themeFillTint="66"/>
          </w:tcPr>
          <w:p w14:paraId="58406993" w14:textId="526FB012" w:rsidR="002203FB" w:rsidRPr="00B6039A" w:rsidRDefault="0057040C" w:rsidP="00684575">
            <w:pPr>
              <w:spacing w:before="120" w:after="120"/>
              <w:ind w:left="178" w:firstLine="0"/>
            </w:pPr>
            <w:r w:rsidRPr="00B6039A">
              <w:t xml:space="preserve">Partially </w:t>
            </w:r>
            <w:r w:rsidR="002203FB" w:rsidRPr="00B6039A">
              <w:t xml:space="preserve">implemented. </w:t>
            </w:r>
          </w:p>
          <w:p w14:paraId="3AA01147" w14:textId="01772268" w:rsidR="0057040C" w:rsidRPr="00B6039A" w:rsidRDefault="002203FB" w:rsidP="00684575">
            <w:pPr>
              <w:spacing w:before="120" w:after="120"/>
              <w:ind w:left="178" w:firstLine="0"/>
            </w:pPr>
            <w:r w:rsidRPr="00B6039A">
              <w:t>The Pacific Steering Group and Reference Group were established in February 2019 and informed Pacific Prosperity, a strategy and action plan released in Oct 2019.</w:t>
            </w:r>
            <w:r w:rsidRPr="00B6039A">
              <w:rPr>
                <w:rStyle w:val="FootnoteReference"/>
              </w:rPr>
              <w:footnoteReference w:id="40"/>
            </w:r>
            <w:r w:rsidRPr="00B6039A">
              <w:t xml:space="preserve"> This was the first national-level strategy and action plan for Pacific peoples, and was developed in consultation with Pacific communities. With this framework in place, there is more of a mandate for MSD to be culturally responsive in its practices. </w:t>
            </w:r>
          </w:p>
          <w:p w14:paraId="3A1F11A2" w14:textId="5299D302" w:rsidR="0057040C" w:rsidRPr="00B6039A" w:rsidRDefault="001A591F" w:rsidP="00684575">
            <w:pPr>
              <w:spacing w:before="120" w:after="120"/>
              <w:ind w:left="178" w:firstLine="0"/>
            </w:pPr>
            <w:r w:rsidRPr="00B6039A">
              <w:t>However Pacific People</w:t>
            </w:r>
            <w:r w:rsidR="00750FB1" w:rsidRPr="00B6039A">
              <w:t xml:space="preserve"> engaging with the welfare system have not yet seen </w:t>
            </w:r>
            <w:r w:rsidR="00750FB1" w:rsidRPr="00B6039A">
              <w:lastRenderedPageBreak/>
              <w:t>improvements in cultural responsiveness; their needs are escalating in response to COVID-19 impacts</w:t>
            </w:r>
            <w:r w:rsidRPr="00B6039A">
              <w:t>.</w:t>
            </w:r>
            <w:r w:rsidRPr="00B6039A">
              <w:rPr>
                <w:rStyle w:val="FootnoteReference"/>
              </w:rPr>
              <w:footnoteReference w:id="41"/>
            </w:r>
            <w:r w:rsidR="00750FB1" w:rsidRPr="00B6039A">
              <w:t xml:space="preserve"> </w:t>
            </w:r>
          </w:p>
        </w:tc>
      </w:tr>
      <w:tr w:rsidR="002203FB" w:rsidRPr="00B6039A" w14:paraId="5FC0BC9E" w14:textId="77777777" w:rsidTr="00520EBB">
        <w:trPr>
          <w:trHeight w:val="310"/>
        </w:trPr>
        <w:tc>
          <w:tcPr>
            <w:tcW w:w="846" w:type="dxa"/>
          </w:tcPr>
          <w:p w14:paraId="37DD18EF" w14:textId="77777777" w:rsidR="002203FB" w:rsidRPr="00B6039A" w:rsidRDefault="002203FB" w:rsidP="00520EBB">
            <w:pPr>
              <w:pStyle w:val="ListParagraph"/>
              <w:numPr>
                <w:ilvl w:val="0"/>
                <w:numId w:val="6"/>
              </w:numPr>
            </w:pPr>
          </w:p>
        </w:tc>
        <w:tc>
          <w:tcPr>
            <w:tcW w:w="4833" w:type="dxa"/>
          </w:tcPr>
          <w:p w14:paraId="381269A2" w14:textId="77777777" w:rsidR="002203FB" w:rsidRPr="00B6039A" w:rsidRDefault="002203FB" w:rsidP="00684575">
            <w:pPr>
              <w:ind w:left="178" w:firstLine="0"/>
            </w:pPr>
            <w:r w:rsidRPr="00B6039A">
              <w:t>The Welfare Expert Advisory Group recommends, in addition to the recommendations</w:t>
            </w:r>
          </w:p>
          <w:p w14:paraId="356B3967" w14:textId="77777777" w:rsidR="002203FB" w:rsidRPr="00B6039A" w:rsidRDefault="002203FB" w:rsidP="00684575">
            <w:pPr>
              <w:ind w:left="178" w:firstLine="0"/>
            </w:pPr>
            <w:r w:rsidRPr="00B6039A">
              <w:t>elsewhere that will improve outcomes for Māori, the Government:</w:t>
            </w:r>
          </w:p>
          <w:p w14:paraId="6D85FE2E" w14:textId="77777777" w:rsidR="002203FB" w:rsidRPr="00B6039A" w:rsidRDefault="002203FB" w:rsidP="003E2F74">
            <w:pPr>
              <w:pStyle w:val="ListParagraph"/>
              <w:numPr>
                <w:ilvl w:val="0"/>
                <w:numId w:val="8"/>
              </w:numPr>
              <w:ind w:left="320" w:hanging="142"/>
            </w:pPr>
            <w:r w:rsidRPr="00B6039A">
              <w:t xml:space="preserve">supports the Ministry of Social Development to continue to shift towards </w:t>
            </w:r>
            <w:proofErr w:type="spellStart"/>
            <w:r w:rsidRPr="00B6039A">
              <w:t>whakamana</w:t>
            </w:r>
            <w:proofErr w:type="spellEnd"/>
            <w:r w:rsidRPr="00B6039A">
              <w:t xml:space="preserve"> </w:t>
            </w:r>
            <w:proofErr w:type="spellStart"/>
            <w:r w:rsidRPr="00B6039A">
              <w:t>tāngata</w:t>
            </w:r>
            <w:proofErr w:type="spellEnd"/>
            <w:r w:rsidRPr="00B6039A">
              <w:t xml:space="preserve"> – to build the mana of others and uplift them in a way that honours their dignity</w:t>
            </w:r>
          </w:p>
          <w:p w14:paraId="48751BC7" w14:textId="77777777" w:rsidR="002203FB" w:rsidRPr="00B6039A" w:rsidRDefault="002203FB" w:rsidP="003E2F74">
            <w:pPr>
              <w:pStyle w:val="ListParagraph"/>
              <w:numPr>
                <w:ilvl w:val="0"/>
                <w:numId w:val="9"/>
              </w:numPr>
              <w:ind w:left="320" w:hanging="142"/>
            </w:pPr>
            <w:r w:rsidRPr="00B6039A">
              <w:t>supports the Ministry of Social Development to continue to review and evaluate, with Māori, the services the Ministry delivers to ensure they are effective in improving outcomes for Māori</w:t>
            </w:r>
          </w:p>
          <w:p w14:paraId="4FB77EE1" w14:textId="77777777" w:rsidR="002203FB" w:rsidRPr="00B6039A" w:rsidRDefault="002203FB" w:rsidP="003E2F74">
            <w:pPr>
              <w:pStyle w:val="ListParagraph"/>
              <w:numPr>
                <w:ilvl w:val="0"/>
                <w:numId w:val="9"/>
              </w:numPr>
              <w:ind w:left="320" w:hanging="142"/>
            </w:pPr>
            <w:r w:rsidRPr="00B6039A">
              <w:t xml:space="preserve">works with Māori to consider other effective ways of delivering welfare services and funding that are informed by </w:t>
            </w:r>
            <w:proofErr w:type="spellStart"/>
            <w:r w:rsidRPr="00B6039A">
              <w:t>Te</w:t>
            </w:r>
            <w:proofErr w:type="spellEnd"/>
            <w:r w:rsidRPr="00B6039A">
              <w:t xml:space="preserve"> </w:t>
            </w:r>
            <w:proofErr w:type="spellStart"/>
            <w:r w:rsidRPr="00B6039A">
              <w:t>Ao</w:t>
            </w:r>
            <w:proofErr w:type="spellEnd"/>
            <w:r w:rsidRPr="00B6039A">
              <w:t xml:space="preserve"> Māori, including longer-term, </w:t>
            </w:r>
            <w:proofErr w:type="spellStart"/>
            <w:r w:rsidRPr="00B6039A">
              <w:t>whānau</w:t>
            </w:r>
            <w:proofErr w:type="spellEnd"/>
            <w:r w:rsidRPr="00B6039A">
              <w:t>-centred, strengths-based initiatives.</w:t>
            </w:r>
          </w:p>
        </w:tc>
        <w:tc>
          <w:tcPr>
            <w:tcW w:w="1260" w:type="dxa"/>
          </w:tcPr>
          <w:p w14:paraId="4D8B528E" w14:textId="77777777" w:rsidR="002203FB" w:rsidRPr="00B6039A" w:rsidRDefault="002203FB" w:rsidP="00520EBB">
            <w:r w:rsidRPr="00B6039A">
              <w:t>Nil</w:t>
            </w:r>
          </w:p>
        </w:tc>
        <w:tc>
          <w:tcPr>
            <w:tcW w:w="4230" w:type="dxa"/>
          </w:tcPr>
          <w:p w14:paraId="74EB0319" w14:textId="77777777" w:rsidR="002203FB" w:rsidRPr="00B6039A" w:rsidRDefault="002203FB" w:rsidP="00684575">
            <w:pPr>
              <w:ind w:left="178" w:firstLine="0"/>
            </w:pPr>
            <w:r w:rsidRPr="00B6039A">
              <w:t>The Government has stated that work is ‘already underway’ to address Key Recommendation 9.</w:t>
            </w:r>
            <w:r w:rsidRPr="00B6039A">
              <w:rPr>
                <w:rStyle w:val="FootnoteReference"/>
              </w:rPr>
              <w:footnoteReference w:id="42"/>
            </w:r>
            <w:r w:rsidRPr="00B6039A">
              <w:t xml:space="preserve"> They have stated that “the notion of </w:t>
            </w:r>
            <w:proofErr w:type="spellStart"/>
            <w:r w:rsidRPr="00B6039A">
              <w:t>whakamana</w:t>
            </w:r>
            <w:proofErr w:type="spellEnd"/>
            <w:r w:rsidRPr="00B6039A">
              <w:t xml:space="preserve"> </w:t>
            </w:r>
            <w:proofErr w:type="spellStart"/>
            <w:r w:rsidRPr="00B6039A">
              <w:t>tāngata</w:t>
            </w:r>
            <w:proofErr w:type="spellEnd"/>
            <w:r w:rsidRPr="00B6039A">
              <w:t xml:space="preserve"> is built into the working policy framework for the welfare overhaul programme”, and that “innovative partnerships between MSD and </w:t>
            </w:r>
            <w:proofErr w:type="spellStart"/>
            <w:r w:rsidRPr="00B6039A">
              <w:t>whānau</w:t>
            </w:r>
            <w:proofErr w:type="spellEnd"/>
            <w:r w:rsidRPr="00B6039A">
              <w:t xml:space="preserve">, </w:t>
            </w:r>
            <w:proofErr w:type="spellStart"/>
            <w:r w:rsidRPr="00B6039A">
              <w:t>hapū</w:t>
            </w:r>
            <w:proofErr w:type="spellEnd"/>
            <w:r w:rsidRPr="00B6039A">
              <w:t>, iwi, Māori are being explored through the Treaty settlement process as well as locally-led initiatives”.</w:t>
            </w:r>
            <w:r w:rsidRPr="00B6039A">
              <w:rPr>
                <w:rStyle w:val="FootnoteReference"/>
              </w:rPr>
              <w:footnoteReference w:id="43"/>
            </w:r>
            <w:r w:rsidRPr="00B6039A">
              <w:t xml:space="preserve"> They have stated that this work is also being undertaken through </w:t>
            </w:r>
            <w:proofErr w:type="spellStart"/>
            <w:r w:rsidRPr="00B6039A">
              <w:t>Te</w:t>
            </w:r>
            <w:proofErr w:type="spellEnd"/>
            <w:r w:rsidRPr="00B6039A">
              <w:t xml:space="preserve"> </w:t>
            </w:r>
            <w:proofErr w:type="spellStart"/>
            <w:r w:rsidRPr="00B6039A">
              <w:t>Pae</w:t>
            </w:r>
            <w:proofErr w:type="spellEnd"/>
            <w:r w:rsidRPr="00B6039A">
              <w:t xml:space="preserve"> Tata, </w:t>
            </w:r>
            <w:proofErr w:type="spellStart"/>
            <w:r w:rsidRPr="00B6039A">
              <w:t>Te</w:t>
            </w:r>
            <w:proofErr w:type="spellEnd"/>
            <w:r w:rsidRPr="00B6039A">
              <w:t xml:space="preserve"> </w:t>
            </w:r>
            <w:proofErr w:type="spellStart"/>
            <w:r w:rsidRPr="00B6039A">
              <w:t>Pae</w:t>
            </w:r>
            <w:proofErr w:type="spellEnd"/>
            <w:r w:rsidRPr="00B6039A">
              <w:t xml:space="preserve"> </w:t>
            </w:r>
            <w:proofErr w:type="spellStart"/>
            <w:r w:rsidRPr="00B6039A">
              <w:t>Tawhiti</w:t>
            </w:r>
            <w:proofErr w:type="spellEnd"/>
            <w:r w:rsidRPr="00B6039A">
              <w:t xml:space="preserve">, </w:t>
            </w:r>
            <w:proofErr w:type="spellStart"/>
            <w:r w:rsidRPr="00B6039A">
              <w:t>Te</w:t>
            </w:r>
            <w:proofErr w:type="spellEnd"/>
            <w:r w:rsidRPr="00B6039A">
              <w:t xml:space="preserve"> </w:t>
            </w:r>
            <w:proofErr w:type="spellStart"/>
            <w:r w:rsidRPr="00B6039A">
              <w:t>Mahere</w:t>
            </w:r>
            <w:proofErr w:type="spellEnd"/>
            <w:r w:rsidRPr="00B6039A">
              <w:t xml:space="preserve"> </w:t>
            </w:r>
            <w:proofErr w:type="spellStart"/>
            <w:r w:rsidRPr="00B6039A">
              <w:t>Reo</w:t>
            </w:r>
            <w:proofErr w:type="spellEnd"/>
            <w:r w:rsidRPr="00B6039A">
              <w:t xml:space="preserve"> and </w:t>
            </w:r>
            <w:proofErr w:type="spellStart"/>
            <w:r w:rsidRPr="00B6039A">
              <w:t>Te</w:t>
            </w:r>
            <w:proofErr w:type="spellEnd"/>
            <w:r w:rsidRPr="00B6039A">
              <w:t xml:space="preserve"> </w:t>
            </w:r>
            <w:proofErr w:type="spellStart"/>
            <w:r w:rsidRPr="00B6039A">
              <w:t>Matapihi</w:t>
            </w:r>
            <w:proofErr w:type="spellEnd"/>
            <w:r w:rsidRPr="00B6039A">
              <w:t xml:space="preserve">. </w:t>
            </w:r>
          </w:p>
        </w:tc>
        <w:tc>
          <w:tcPr>
            <w:tcW w:w="3826" w:type="dxa"/>
            <w:shd w:val="clear" w:color="auto" w:fill="FFE599" w:themeFill="accent4" w:themeFillTint="66"/>
          </w:tcPr>
          <w:p w14:paraId="76E2DD66" w14:textId="77777777" w:rsidR="002203FB" w:rsidRPr="00B6039A" w:rsidRDefault="002203FB" w:rsidP="00684575">
            <w:pPr>
              <w:spacing w:before="120" w:after="120"/>
              <w:ind w:left="178" w:firstLine="0"/>
            </w:pPr>
            <w:r w:rsidRPr="00B6039A">
              <w:t xml:space="preserve">Partial implementation through the </w:t>
            </w:r>
            <w:proofErr w:type="spellStart"/>
            <w:r w:rsidRPr="00B6039A">
              <w:t>Te</w:t>
            </w:r>
            <w:proofErr w:type="spellEnd"/>
            <w:r w:rsidRPr="00B6039A">
              <w:t xml:space="preserve"> </w:t>
            </w:r>
            <w:proofErr w:type="spellStart"/>
            <w:r w:rsidRPr="00B6039A">
              <w:t>Pae</w:t>
            </w:r>
            <w:proofErr w:type="spellEnd"/>
            <w:r w:rsidRPr="00B6039A">
              <w:t xml:space="preserve"> </w:t>
            </w:r>
            <w:proofErr w:type="spellStart"/>
            <w:r w:rsidRPr="00B6039A">
              <w:t>Tawhiti</w:t>
            </w:r>
            <w:proofErr w:type="spellEnd"/>
            <w:r w:rsidRPr="00B6039A">
              <w:t xml:space="preserve"> and </w:t>
            </w:r>
            <w:proofErr w:type="spellStart"/>
            <w:r w:rsidRPr="00B6039A">
              <w:t>Te</w:t>
            </w:r>
            <w:proofErr w:type="spellEnd"/>
            <w:r w:rsidRPr="00B6039A">
              <w:t xml:space="preserve"> </w:t>
            </w:r>
            <w:proofErr w:type="spellStart"/>
            <w:r w:rsidRPr="00B6039A">
              <w:t>Pae</w:t>
            </w:r>
            <w:proofErr w:type="spellEnd"/>
            <w:r w:rsidRPr="00B6039A">
              <w:t xml:space="preserve"> Tata workstreams.</w:t>
            </w:r>
          </w:p>
          <w:p w14:paraId="7854940D" w14:textId="77777777" w:rsidR="002203FB" w:rsidRPr="00B6039A" w:rsidRDefault="002203FB" w:rsidP="00684575">
            <w:pPr>
              <w:spacing w:before="120" w:after="120"/>
              <w:ind w:left="178" w:firstLine="0"/>
            </w:pPr>
          </w:p>
        </w:tc>
      </w:tr>
      <w:tr w:rsidR="002203FB" w:rsidRPr="00B6039A" w14:paraId="48F7CA31" w14:textId="77777777" w:rsidTr="00520EBB">
        <w:trPr>
          <w:trHeight w:val="310"/>
        </w:trPr>
        <w:tc>
          <w:tcPr>
            <w:tcW w:w="846" w:type="dxa"/>
          </w:tcPr>
          <w:p w14:paraId="0010EA05" w14:textId="77777777" w:rsidR="002203FB" w:rsidRPr="00B6039A" w:rsidRDefault="002203FB" w:rsidP="00520EBB">
            <w:pPr>
              <w:pStyle w:val="ListParagraph"/>
              <w:numPr>
                <w:ilvl w:val="0"/>
                <w:numId w:val="6"/>
              </w:numPr>
            </w:pPr>
          </w:p>
        </w:tc>
        <w:tc>
          <w:tcPr>
            <w:tcW w:w="4833" w:type="dxa"/>
          </w:tcPr>
          <w:p w14:paraId="23EE7585" w14:textId="77777777" w:rsidR="002203FB" w:rsidRPr="00B6039A" w:rsidRDefault="002203FB" w:rsidP="00684575">
            <w:pPr>
              <w:ind w:left="178" w:firstLine="0"/>
            </w:pPr>
            <w:r w:rsidRPr="00B6039A">
              <w:t>Develop a mutual expectations framework to govern interactions between the Ministry of Social Development and those who interact with the welfare system.</w:t>
            </w:r>
          </w:p>
        </w:tc>
        <w:tc>
          <w:tcPr>
            <w:tcW w:w="1260" w:type="dxa"/>
          </w:tcPr>
          <w:p w14:paraId="0E1F2F89" w14:textId="77777777" w:rsidR="002203FB" w:rsidRPr="00B6039A" w:rsidRDefault="002203FB" w:rsidP="00520EBB">
            <w:r w:rsidRPr="00B6039A">
              <w:t>Nil</w:t>
            </w:r>
          </w:p>
        </w:tc>
        <w:tc>
          <w:tcPr>
            <w:tcW w:w="4230" w:type="dxa"/>
          </w:tcPr>
          <w:p w14:paraId="5D6F4F11" w14:textId="5C8E58CF" w:rsidR="002203FB" w:rsidRPr="00B6039A" w:rsidRDefault="002203FB" w:rsidP="00684575">
            <w:pPr>
              <w:spacing w:before="120" w:after="120"/>
              <w:ind w:left="176" w:firstLine="0"/>
            </w:pPr>
            <w:r w:rsidRPr="00B6039A">
              <w:t>The Government stated that Key Recommendation 10 had been ‘partial implemented’ in Nov 2019.</w:t>
            </w:r>
            <w:r w:rsidR="003E2F74" w:rsidRPr="00B6039A">
              <w:rPr>
                <w:vertAlign w:val="superscript"/>
              </w:rPr>
              <w:t xml:space="preserve">41 </w:t>
            </w:r>
            <w:r w:rsidRPr="00B6039A">
              <w:t xml:space="preserve">It has stated that it “supports the principle of mutual expectations in the relationship between MSD and its clients”, and that it has “already started work to ensure clients are </w:t>
            </w:r>
            <w:r w:rsidRPr="00B6039A">
              <w:lastRenderedPageBreak/>
              <w:t>treated with dignity and respect, and this work will continue”.</w:t>
            </w:r>
          </w:p>
        </w:tc>
        <w:tc>
          <w:tcPr>
            <w:tcW w:w="3826" w:type="dxa"/>
            <w:shd w:val="clear" w:color="auto" w:fill="FFA5A5"/>
          </w:tcPr>
          <w:p w14:paraId="12393724" w14:textId="403C7395" w:rsidR="002203FB" w:rsidRPr="00B6039A" w:rsidRDefault="005E1481" w:rsidP="00684575">
            <w:pPr>
              <w:ind w:left="178" w:firstLine="0"/>
            </w:pPr>
            <w:r w:rsidRPr="00B6039A">
              <w:lastRenderedPageBreak/>
              <w:t>No evidence of implementation.</w:t>
            </w:r>
          </w:p>
          <w:p w14:paraId="38050C23" w14:textId="77777777" w:rsidR="002203FB" w:rsidRPr="00B6039A" w:rsidRDefault="002203FB" w:rsidP="00684575">
            <w:pPr>
              <w:ind w:left="178" w:firstLine="0"/>
            </w:pPr>
          </w:p>
          <w:p w14:paraId="34AF6D10" w14:textId="764FC5B0" w:rsidR="002203FB" w:rsidRPr="00B6039A" w:rsidRDefault="002203FB" w:rsidP="00684575">
            <w:pPr>
              <w:ind w:left="178" w:firstLine="0"/>
            </w:pPr>
            <w:r w:rsidRPr="00B6039A">
              <w:t>No evidence that a mutual expectations framework has been developed.</w:t>
            </w:r>
            <w:r w:rsidR="00F47B97" w:rsidRPr="00B6039A">
              <w:t xml:space="preserve"> However, the number of sanctions imposed on benefit recipients decreased by 28% between 2017 and 2019, and due to the lifting </w:t>
            </w:r>
            <w:r w:rsidR="00F47B97" w:rsidRPr="00B6039A">
              <w:lastRenderedPageBreak/>
              <w:t>of work-related obligations during lockdown, this figure dropped 98 percent to 160 in the June 2020 quarter.</w:t>
            </w:r>
            <w:r w:rsidR="00F47B97" w:rsidRPr="00B6039A">
              <w:rPr>
                <w:rStyle w:val="FootnoteReference"/>
              </w:rPr>
              <w:footnoteReference w:id="44"/>
            </w:r>
            <w:r w:rsidR="00F47B97" w:rsidRPr="00B6039A">
              <w:t xml:space="preserve"> This decrease resulted in reduced stress and anxiety for benefit recipients as reported in a recent survey.</w:t>
            </w:r>
            <w:r w:rsidR="00F47B97" w:rsidRPr="00B6039A">
              <w:rPr>
                <w:rStyle w:val="FootnoteReference"/>
              </w:rPr>
              <w:footnoteReference w:id="45"/>
            </w:r>
            <w:r w:rsidR="00F47B97" w:rsidRPr="00B6039A">
              <w:t xml:space="preserve"> However</w:t>
            </w:r>
            <w:r w:rsidR="004E4C64" w:rsidRPr="00B6039A">
              <w:t xml:space="preserve"> this reprieve is temporary:</w:t>
            </w:r>
            <w:r w:rsidR="00F47B97" w:rsidRPr="00B6039A">
              <w:t xml:space="preserve"> in the September </w:t>
            </w:r>
            <w:r w:rsidR="004E4C64" w:rsidRPr="00B6039A">
              <w:t xml:space="preserve">2020 </w:t>
            </w:r>
            <w:r w:rsidR="00F47B97" w:rsidRPr="00B6039A">
              <w:t xml:space="preserve">quarter, the number of sanctions </w:t>
            </w:r>
            <w:r w:rsidR="004E4C64" w:rsidRPr="00B6039A">
              <w:t>again started to increase.</w:t>
            </w:r>
            <w:r w:rsidR="00F47B97" w:rsidRPr="00B6039A">
              <w:t xml:space="preserve"> </w:t>
            </w:r>
          </w:p>
        </w:tc>
      </w:tr>
      <w:tr w:rsidR="002203FB" w:rsidRPr="00B6039A" w14:paraId="0C0323DD" w14:textId="77777777" w:rsidTr="00520EBB">
        <w:trPr>
          <w:trHeight w:val="310"/>
        </w:trPr>
        <w:tc>
          <w:tcPr>
            <w:tcW w:w="846" w:type="dxa"/>
          </w:tcPr>
          <w:p w14:paraId="6514894C" w14:textId="77777777" w:rsidR="002203FB" w:rsidRPr="00B6039A" w:rsidRDefault="002203FB" w:rsidP="00520EBB">
            <w:pPr>
              <w:pStyle w:val="ListParagraph"/>
              <w:numPr>
                <w:ilvl w:val="0"/>
                <w:numId w:val="6"/>
              </w:numPr>
            </w:pPr>
          </w:p>
        </w:tc>
        <w:tc>
          <w:tcPr>
            <w:tcW w:w="4833" w:type="dxa"/>
          </w:tcPr>
          <w:p w14:paraId="5FE41E18" w14:textId="77777777" w:rsidR="002203FB" w:rsidRPr="00B6039A" w:rsidRDefault="002203FB" w:rsidP="00684575">
            <w:pPr>
              <w:ind w:left="178" w:firstLine="0"/>
            </w:pPr>
            <w:r w:rsidRPr="00B6039A">
              <w:t>Remove some obligations and sanctions (for example, pre-benefit activities, warrants to arrest sanctions, social obligations, drug-testing sanctions, 52-week reapplication requirements, sanctions for not naming the other parent, the subsequent child work obligation, and the mandatory work ability assessment for people with health conditions or disabilities).</w:t>
            </w:r>
          </w:p>
        </w:tc>
        <w:tc>
          <w:tcPr>
            <w:tcW w:w="1260" w:type="dxa"/>
          </w:tcPr>
          <w:p w14:paraId="4D6377BA" w14:textId="7A9923AB" w:rsidR="002203FB" w:rsidRPr="00B6039A" w:rsidRDefault="00684575" w:rsidP="00684575">
            <w:pPr>
              <w:ind w:left="163" w:hanging="77"/>
            </w:pPr>
            <w:r w:rsidRPr="00B6039A">
              <w:t>Detailed Recs</w:t>
            </w:r>
            <w:r w:rsidR="002203FB" w:rsidRPr="00B6039A">
              <w:t xml:space="preserve"> 2-9 (see </w:t>
            </w:r>
            <w:r w:rsidR="0029286F" w:rsidRPr="00B6039A">
              <w:t>Table 4</w:t>
            </w:r>
            <w:r w:rsidR="002203FB" w:rsidRPr="00B6039A">
              <w:t>)</w:t>
            </w:r>
          </w:p>
        </w:tc>
        <w:tc>
          <w:tcPr>
            <w:tcW w:w="4230" w:type="dxa"/>
          </w:tcPr>
          <w:p w14:paraId="7BF501D1" w14:textId="77777777" w:rsidR="002203FB" w:rsidRPr="00B6039A" w:rsidRDefault="002203FB" w:rsidP="00684575">
            <w:pPr>
              <w:spacing w:before="120" w:after="120"/>
              <w:ind w:left="176" w:firstLine="0"/>
            </w:pPr>
            <w:r w:rsidRPr="00B6039A">
              <w:t>The Government stated that Key Recommendation 11 had been ‘partial implemented’ in Nov 2019.</w:t>
            </w:r>
            <w:r w:rsidRPr="00B6039A">
              <w:rPr>
                <w:rStyle w:val="FootnoteReference"/>
              </w:rPr>
              <w:footnoteReference w:id="46"/>
            </w:r>
            <w:r w:rsidRPr="00B6039A">
              <w:t xml:space="preserve"> It removed Section 192 (sanctions for not naming the other parent), and committed to removing the subsequent child sanction in Nov 2021.</w:t>
            </w:r>
            <w:r w:rsidRPr="00B6039A">
              <w:rPr>
                <w:rStyle w:val="FootnoteReference"/>
              </w:rPr>
              <w:footnoteReference w:id="47"/>
            </w:r>
            <w:r w:rsidRPr="00B6039A">
              <w:t xml:space="preserve"> It has stated that “further advice will be sought on the 52 week reapplication and the drug-testing sanction”, and “further exploration of other sanctions and obligations suggested by the WEAG for removal will continue in the short-term.”</w:t>
            </w:r>
            <w:r w:rsidRPr="00B6039A">
              <w:rPr>
                <w:rStyle w:val="FootnoteReference"/>
              </w:rPr>
              <w:footnoteReference w:id="48"/>
            </w:r>
          </w:p>
        </w:tc>
        <w:tc>
          <w:tcPr>
            <w:tcW w:w="3826" w:type="dxa"/>
            <w:shd w:val="clear" w:color="auto" w:fill="F8CA9C"/>
          </w:tcPr>
          <w:p w14:paraId="0153BAAC" w14:textId="77777777" w:rsidR="002203FB" w:rsidRPr="00B6039A" w:rsidRDefault="002203FB" w:rsidP="00684575">
            <w:pPr>
              <w:ind w:left="178" w:firstLine="0"/>
            </w:pPr>
            <w:r w:rsidRPr="00B6039A">
              <w:t>Minimal implementation.</w:t>
            </w:r>
          </w:p>
          <w:p w14:paraId="042D02D3" w14:textId="77777777" w:rsidR="002203FB" w:rsidRPr="00B6039A" w:rsidRDefault="002203FB" w:rsidP="00684575">
            <w:pPr>
              <w:ind w:left="178" w:firstLine="0"/>
            </w:pPr>
          </w:p>
          <w:p w14:paraId="4DD1FDD1" w14:textId="77777777" w:rsidR="002203FB" w:rsidRPr="00B6039A" w:rsidRDefault="002203FB" w:rsidP="00684575">
            <w:pPr>
              <w:ind w:left="178" w:firstLine="0"/>
            </w:pPr>
            <w:r w:rsidRPr="00B6039A">
              <w:t>One of eight sanctions and obligations recommended for removal by the WEAG has been removed at the time of writing (Nov 2020), with one further scheduled for removal in Nov 2021. No progress on the remaining six sanctions and obligations.</w:t>
            </w:r>
          </w:p>
        </w:tc>
      </w:tr>
      <w:tr w:rsidR="002203FB" w:rsidRPr="00B6039A" w14:paraId="1DBE50F8" w14:textId="77777777" w:rsidTr="00520EBB">
        <w:trPr>
          <w:trHeight w:val="310"/>
        </w:trPr>
        <w:tc>
          <w:tcPr>
            <w:tcW w:w="846" w:type="dxa"/>
          </w:tcPr>
          <w:p w14:paraId="6F837CD8" w14:textId="77777777" w:rsidR="002203FB" w:rsidRPr="00B6039A" w:rsidRDefault="002203FB" w:rsidP="00520EBB">
            <w:pPr>
              <w:pStyle w:val="ListParagraph"/>
              <w:numPr>
                <w:ilvl w:val="0"/>
                <w:numId w:val="6"/>
              </w:numPr>
            </w:pPr>
          </w:p>
        </w:tc>
        <w:tc>
          <w:tcPr>
            <w:tcW w:w="4833" w:type="dxa"/>
          </w:tcPr>
          <w:p w14:paraId="22596714" w14:textId="77777777" w:rsidR="002203FB" w:rsidRPr="00B6039A" w:rsidRDefault="002203FB" w:rsidP="00684575">
            <w:pPr>
              <w:ind w:left="178" w:firstLine="0"/>
            </w:pPr>
            <w:r w:rsidRPr="00B6039A">
              <w:t xml:space="preserve">Improve outcomes by ensuring the public-facing, frontline service is consistent with the new purpose and principles through sufficient resourcing (for example, staffing, support and </w:t>
            </w:r>
            <w:r w:rsidRPr="00B6039A">
              <w:lastRenderedPageBreak/>
              <w:t>services), an appropriate performance framework, and complaints and disputes processes.</w:t>
            </w:r>
          </w:p>
        </w:tc>
        <w:tc>
          <w:tcPr>
            <w:tcW w:w="1260" w:type="dxa"/>
          </w:tcPr>
          <w:p w14:paraId="5AD42070" w14:textId="070BAFFF" w:rsidR="002203FB" w:rsidRPr="00B6039A" w:rsidRDefault="00684575" w:rsidP="00684575">
            <w:pPr>
              <w:ind w:left="163" w:hanging="77"/>
            </w:pPr>
            <w:r w:rsidRPr="00B6039A">
              <w:lastRenderedPageBreak/>
              <w:t>Detailed Recs</w:t>
            </w:r>
            <w:r w:rsidR="002203FB" w:rsidRPr="00B6039A">
              <w:t xml:space="preserve"> 10-19 (see </w:t>
            </w:r>
            <w:r w:rsidR="0029286F" w:rsidRPr="00B6039A">
              <w:t>Table 4</w:t>
            </w:r>
            <w:r w:rsidR="002203FB" w:rsidRPr="00B6039A">
              <w:t>)</w:t>
            </w:r>
          </w:p>
        </w:tc>
        <w:tc>
          <w:tcPr>
            <w:tcW w:w="4230" w:type="dxa"/>
          </w:tcPr>
          <w:p w14:paraId="16ED4F0B" w14:textId="77777777" w:rsidR="002203FB" w:rsidRPr="00B6039A" w:rsidRDefault="002203FB" w:rsidP="003E2F74">
            <w:pPr>
              <w:spacing w:before="120" w:after="120"/>
              <w:ind w:left="176" w:firstLine="0"/>
            </w:pPr>
            <w:r w:rsidRPr="00B6039A">
              <w:t xml:space="preserve">The Government stated that Key Recommendation 12 had been ‘partially </w:t>
            </w:r>
            <w:r w:rsidRPr="00B6039A">
              <w:lastRenderedPageBreak/>
              <w:t>implemented’ in November 2019.</w:t>
            </w:r>
            <w:r w:rsidRPr="00B6039A">
              <w:rPr>
                <w:rStyle w:val="FootnoteReference"/>
              </w:rPr>
              <w:footnoteReference w:id="49"/>
            </w:r>
            <w:r w:rsidRPr="00B6039A">
              <w:t xml:space="preserve">  In Budget 2019, the Government announced 263 new frontline staff to focus on ‘helping more people into meaningful and sustainable work’ as part of its pre-budget announcements following the release of the WEAG report. </w:t>
            </w:r>
          </w:p>
          <w:p w14:paraId="28FE111E" w14:textId="77777777" w:rsidR="002203FB" w:rsidRPr="00B6039A" w:rsidRDefault="002203FB" w:rsidP="003E2F74">
            <w:pPr>
              <w:spacing w:before="120" w:after="120"/>
              <w:ind w:left="176" w:firstLine="0"/>
            </w:pPr>
          </w:p>
          <w:p w14:paraId="35E3879D" w14:textId="77777777" w:rsidR="002203FB" w:rsidRPr="00B6039A" w:rsidRDefault="002203FB" w:rsidP="003E2F74">
            <w:pPr>
              <w:spacing w:before="120" w:after="120"/>
              <w:ind w:left="176" w:firstLine="0"/>
            </w:pPr>
            <w:r w:rsidRPr="00B6039A">
              <w:t>The Government has also stated that this work “will be progressed as the work on purposes and principles develops”, and that “further work is underway to realign MSD’s frontline services”.</w:t>
            </w:r>
          </w:p>
        </w:tc>
        <w:tc>
          <w:tcPr>
            <w:tcW w:w="3826" w:type="dxa"/>
            <w:shd w:val="clear" w:color="auto" w:fill="F8CA9C"/>
          </w:tcPr>
          <w:p w14:paraId="5D186E89" w14:textId="3112F2C9" w:rsidR="002203FB" w:rsidRPr="00B6039A" w:rsidRDefault="002203FB" w:rsidP="007B0171">
            <w:pPr>
              <w:spacing w:before="120" w:after="120"/>
              <w:ind w:left="176" w:firstLine="0"/>
            </w:pPr>
            <w:r w:rsidRPr="00B6039A">
              <w:lastRenderedPageBreak/>
              <w:t xml:space="preserve">Minimal implementation. </w:t>
            </w:r>
          </w:p>
          <w:p w14:paraId="0D555584" w14:textId="1A08665D" w:rsidR="002203FB" w:rsidRPr="00B6039A" w:rsidRDefault="002203FB" w:rsidP="003E2F74">
            <w:pPr>
              <w:spacing w:before="120" w:after="120"/>
              <w:ind w:left="176" w:firstLine="0"/>
            </w:pPr>
            <w:r w:rsidRPr="00B6039A">
              <w:t xml:space="preserve">The announcement of new work-focussed frontline staff in Budget </w:t>
            </w:r>
            <w:r w:rsidRPr="00B6039A">
              <w:lastRenderedPageBreak/>
              <w:t xml:space="preserve">2019 is positive; however, given that the WEAG reported </w:t>
            </w:r>
            <w:r w:rsidR="003E2F74" w:rsidRPr="00B6039A">
              <w:t xml:space="preserve">(after </w:t>
            </w:r>
            <w:r w:rsidRPr="00B6039A">
              <w:t>consultation with staff and welfare recipients</w:t>
            </w:r>
            <w:r w:rsidR="003E2F74" w:rsidRPr="00B6039A">
              <w:t>)</w:t>
            </w:r>
            <w:r w:rsidRPr="00B6039A">
              <w:t xml:space="preserve"> that MSD has a “severely under-resourced workforce”,</w:t>
            </w:r>
            <w:r w:rsidRPr="00B6039A">
              <w:rPr>
                <w:rStyle w:val="FootnoteReference"/>
              </w:rPr>
              <w:footnoteReference w:id="50"/>
            </w:r>
            <w:r w:rsidRPr="00B6039A">
              <w:t xml:space="preserve"> significant work remains to ensure frontline services have sufficient time with clients and have access to skills and systems training. Further, there have been no observable improvements to complaints or disputes processes. </w:t>
            </w:r>
          </w:p>
        </w:tc>
      </w:tr>
      <w:tr w:rsidR="002203FB" w:rsidRPr="00B6039A" w14:paraId="4A890CBF" w14:textId="77777777" w:rsidTr="00520EBB">
        <w:trPr>
          <w:trHeight w:val="310"/>
        </w:trPr>
        <w:tc>
          <w:tcPr>
            <w:tcW w:w="846" w:type="dxa"/>
          </w:tcPr>
          <w:p w14:paraId="2934ED6C" w14:textId="77777777" w:rsidR="002203FB" w:rsidRPr="00B6039A" w:rsidRDefault="002203FB" w:rsidP="00520EBB">
            <w:pPr>
              <w:pStyle w:val="ListParagraph"/>
              <w:numPr>
                <w:ilvl w:val="0"/>
                <w:numId w:val="6"/>
              </w:numPr>
            </w:pPr>
          </w:p>
        </w:tc>
        <w:tc>
          <w:tcPr>
            <w:tcW w:w="4833" w:type="dxa"/>
          </w:tcPr>
          <w:p w14:paraId="6E850BF8" w14:textId="77777777" w:rsidR="002203FB" w:rsidRPr="00B6039A" w:rsidRDefault="002203FB" w:rsidP="003E2F74">
            <w:pPr>
              <w:ind w:left="178" w:hanging="92"/>
            </w:pPr>
            <w:r w:rsidRPr="00B6039A">
              <w:t>Assist recipients of Sole Parent Support to return to part-time work when their youngest child is 6 years old (subject to supports being available, such as good quality childcare) instead of the current 3 years. Support but not require all sole parents to return to work when their youngest child is under 6 years old.</w:t>
            </w:r>
          </w:p>
        </w:tc>
        <w:tc>
          <w:tcPr>
            <w:tcW w:w="1260" w:type="dxa"/>
          </w:tcPr>
          <w:p w14:paraId="01290ABB" w14:textId="77777777" w:rsidR="002203FB" w:rsidRPr="00B6039A" w:rsidRDefault="002203FB" w:rsidP="00684575">
            <w:pPr>
              <w:ind w:left="163" w:hanging="77"/>
            </w:pPr>
            <w:r w:rsidRPr="00B6039A">
              <w:t xml:space="preserve">Nil </w:t>
            </w:r>
          </w:p>
        </w:tc>
        <w:tc>
          <w:tcPr>
            <w:tcW w:w="4230" w:type="dxa"/>
          </w:tcPr>
          <w:p w14:paraId="1E8D4F20" w14:textId="77777777" w:rsidR="002203FB" w:rsidRPr="00B6039A" w:rsidRDefault="002203FB" w:rsidP="003E2F74">
            <w:pPr>
              <w:spacing w:before="120" w:after="120"/>
              <w:ind w:left="176" w:firstLine="0"/>
            </w:pPr>
            <w:r w:rsidRPr="00B6039A">
              <w:t>The Government has reported that Key Recommendation 13 is part of its ‘medium and longer-term work programme’.</w:t>
            </w:r>
            <w:r w:rsidRPr="00B6039A">
              <w:rPr>
                <w:rStyle w:val="FootnoteReference"/>
              </w:rPr>
              <w:footnoteReference w:id="51"/>
            </w:r>
            <w:r w:rsidRPr="00B6039A">
              <w:t xml:space="preserve"> It has stated that “further work on supports and obligations on sole parents needs to be considered alongside work on mutual expectations.”</w:t>
            </w:r>
          </w:p>
        </w:tc>
        <w:tc>
          <w:tcPr>
            <w:tcW w:w="3826" w:type="dxa"/>
            <w:shd w:val="clear" w:color="auto" w:fill="FFA5A5"/>
          </w:tcPr>
          <w:p w14:paraId="2E213207" w14:textId="0A0DC1E9" w:rsidR="002203FB" w:rsidRPr="00B6039A" w:rsidRDefault="005E1481" w:rsidP="003E2F74">
            <w:pPr>
              <w:spacing w:before="120" w:after="120"/>
              <w:ind w:left="176" w:firstLine="0"/>
            </w:pPr>
            <w:r w:rsidRPr="00B6039A">
              <w:t>No evidence of implementation.</w:t>
            </w:r>
          </w:p>
        </w:tc>
      </w:tr>
      <w:tr w:rsidR="002203FB" w:rsidRPr="00B6039A" w14:paraId="16B06EA5" w14:textId="77777777" w:rsidTr="00520EBB">
        <w:trPr>
          <w:trHeight w:val="310"/>
        </w:trPr>
        <w:tc>
          <w:tcPr>
            <w:tcW w:w="846" w:type="dxa"/>
          </w:tcPr>
          <w:p w14:paraId="06BAE78D" w14:textId="77777777" w:rsidR="002203FB" w:rsidRPr="00B6039A" w:rsidRDefault="002203FB" w:rsidP="00520EBB">
            <w:pPr>
              <w:pStyle w:val="ListParagraph"/>
              <w:numPr>
                <w:ilvl w:val="0"/>
                <w:numId w:val="6"/>
              </w:numPr>
            </w:pPr>
          </w:p>
        </w:tc>
        <w:tc>
          <w:tcPr>
            <w:tcW w:w="4833" w:type="dxa"/>
          </w:tcPr>
          <w:p w14:paraId="4B51B416" w14:textId="77777777" w:rsidR="002203FB" w:rsidRPr="00B6039A" w:rsidRDefault="002203FB" w:rsidP="003E2F74">
            <w:pPr>
              <w:ind w:left="178" w:hanging="92"/>
            </w:pPr>
            <w:r w:rsidRPr="00B6039A">
              <w:t xml:space="preserve">Continue to prioritise a reduction in outstanding benefit debt through sustainable repayments, and minimise the creation of overpayments, including reviewing recoverable hardship assistance and current practice, to be more consistent with </w:t>
            </w:r>
            <w:proofErr w:type="spellStart"/>
            <w:r w:rsidRPr="00B6039A">
              <w:t>whakamana</w:t>
            </w:r>
            <w:proofErr w:type="spellEnd"/>
            <w:r w:rsidRPr="00B6039A">
              <w:t xml:space="preserve"> </w:t>
            </w:r>
            <w:proofErr w:type="spellStart"/>
            <w:r w:rsidRPr="00B6039A">
              <w:t>tāngata</w:t>
            </w:r>
            <w:proofErr w:type="spellEnd"/>
            <w:r w:rsidRPr="00B6039A">
              <w:t>.</w:t>
            </w:r>
          </w:p>
        </w:tc>
        <w:tc>
          <w:tcPr>
            <w:tcW w:w="1260" w:type="dxa"/>
          </w:tcPr>
          <w:p w14:paraId="18767BBF" w14:textId="44133A10" w:rsidR="002203FB" w:rsidRPr="00B6039A" w:rsidRDefault="00684575" w:rsidP="00684575">
            <w:pPr>
              <w:ind w:left="163" w:hanging="77"/>
            </w:pPr>
            <w:r w:rsidRPr="00B6039A">
              <w:t>Detailed Recs</w:t>
            </w:r>
            <w:r w:rsidR="002203FB" w:rsidRPr="00B6039A">
              <w:t xml:space="preserve"> 20-24 (see </w:t>
            </w:r>
            <w:r w:rsidR="0029286F" w:rsidRPr="00B6039A">
              <w:t>Table 4</w:t>
            </w:r>
            <w:r w:rsidR="002203FB" w:rsidRPr="00B6039A">
              <w:t>)</w:t>
            </w:r>
          </w:p>
        </w:tc>
        <w:tc>
          <w:tcPr>
            <w:tcW w:w="4230" w:type="dxa"/>
          </w:tcPr>
          <w:p w14:paraId="14761A5E" w14:textId="4CF636F0" w:rsidR="002203FB" w:rsidRPr="00B6039A" w:rsidRDefault="002203FB" w:rsidP="003E2F74">
            <w:pPr>
              <w:spacing w:before="120" w:after="120"/>
              <w:ind w:left="176" w:firstLine="0"/>
            </w:pPr>
            <w:r w:rsidRPr="00B6039A">
              <w:t xml:space="preserve">The Government stated that Key Recommendation 14 had been partially implemented, reporting that work is ‘already underway’ to address a reduction in outstanding beneficiary debt at MSD </w:t>
            </w:r>
            <w:r w:rsidRPr="00B6039A">
              <w:lastRenderedPageBreak/>
              <w:t>and alongside cross-government work on debt.</w:t>
            </w:r>
            <w:r w:rsidR="009412BF" w:rsidRPr="00B6039A">
              <w:rPr>
                <w:vertAlign w:val="superscript"/>
              </w:rPr>
              <w:t>47</w:t>
            </w:r>
          </w:p>
        </w:tc>
        <w:tc>
          <w:tcPr>
            <w:tcW w:w="3826" w:type="dxa"/>
            <w:shd w:val="clear" w:color="auto" w:fill="FFA5A5"/>
          </w:tcPr>
          <w:p w14:paraId="11DE42AC" w14:textId="1A1B0EEB" w:rsidR="002203FB" w:rsidRPr="00B6039A" w:rsidRDefault="005E1481" w:rsidP="003E2F74">
            <w:pPr>
              <w:spacing w:before="120" w:after="120"/>
              <w:ind w:left="176" w:firstLine="0"/>
            </w:pPr>
            <w:r w:rsidRPr="00B6039A">
              <w:lastRenderedPageBreak/>
              <w:t>No evidence of implementation.</w:t>
            </w:r>
          </w:p>
        </w:tc>
      </w:tr>
      <w:tr w:rsidR="002203FB" w:rsidRPr="00B6039A" w14:paraId="6552F04D" w14:textId="77777777" w:rsidTr="00520EBB">
        <w:trPr>
          <w:trHeight w:val="310"/>
        </w:trPr>
        <w:tc>
          <w:tcPr>
            <w:tcW w:w="846" w:type="dxa"/>
          </w:tcPr>
          <w:p w14:paraId="09915F3A" w14:textId="77777777" w:rsidR="002203FB" w:rsidRPr="00B6039A" w:rsidRDefault="002203FB" w:rsidP="00520EBB">
            <w:pPr>
              <w:pStyle w:val="ListParagraph"/>
              <w:numPr>
                <w:ilvl w:val="0"/>
                <w:numId w:val="6"/>
              </w:numPr>
            </w:pPr>
          </w:p>
        </w:tc>
        <w:tc>
          <w:tcPr>
            <w:tcW w:w="4833" w:type="dxa"/>
          </w:tcPr>
          <w:p w14:paraId="28FED8C9" w14:textId="77777777" w:rsidR="002203FB" w:rsidRPr="00B6039A" w:rsidRDefault="002203FB" w:rsidP="003E2F74">
            <w:pPr>
              <w:ind w:left="178" w:hanging="92"/>
            </w:pPr>
            <w:r w:rsidRPr="00B6039A">
              <w:t>Align the regulations and practice around benefit debt so that it is treated in substantially the same way as Inland Revenue treats taxpayer debt.</w:t>
            </w:r>
          </w:p>
        </w:tc>
        <w:tc>
          <w:tcPr>
            <w:tcW w:w="1260" w:type="dxa"/>
          </w:tcPr>
          <w:p w14:paraId="53CF7102" w14:textId="1C1FBA6C" w:rsidR="002203FB" w:rsidRPr="00B6039A" w:rsidRDefault="00684575" w:rsidP="00684575">
            <w:pPr>
              <w:ind w:left="163" w:hanging="77"/>
            </w:pPr>
            <w:r w:rsidRPr="00B6039A">
              <w:t>Detailed Recs</w:t>
            </w:r>
            <w:r w:rsidR="002203FB" w:rsidRPr="00B6039A">
              <w:t xml:space="preserve"> 20-24 (see </w:t>
            </w:r>
            <w:r w:rsidR="0029286F" w:rsidRPr="00B6039A">
              <w:t>Table 4</w:t>
            </w:r>
            <w:r w:rsidR="002203FB" w:rsidRPr="00B6039A">
              <w:t>)</w:t>
            </w:r>
          </w:p>
        </w:tc>
        <w:tc>
          <w:tcPr>
            <w:tcW w:w="4230" w:type="dxa"/>
          </w:tcPr>
          <w:p w14:paraId="582F3955" w14:textId="02233153" w:rsidR="002203FB" w:rsidRPr="00B6039A" w:rsidRDefault="002203FB" w:rsidP="003E2F74">
            <w:pPr>
              <w:spacing w:before="120" w:after="120"/>
              <w:ind w:left="176" w:firstLine="0"/>
            </w:pPr>
            <w:r w:rsidRPr="00B6039A">
              <w:t>The Government has reported that Key Recommendation 15 aligns with an ongoing cross-government review which looks to streamline approaches to debt across government.</w:t>
            </w:r>
            <w:r w:rsidR="009412BF" w:rsidRPr="00B6039A">
              <w:rPr>
                <w:vertAlign w:val="superscript"/>
              </w:rPr>
              <w:t>47</w:t>
            </w:r>
            <w:r w:rsidR="009412BF" w:rsidRPr="00B6039A">
              <w:t xml:space="preserve"> </w:t>
            </w:r>
            <w:r w:rsidRPr="00B6039A">
              <w:t xml:space="preserve">It stated that over the ‘longer-term’, officials will consider seeking alignment of approaches to interest and penalty rates, as well as approaches to write-off, across agencies. </w:t>
            </w:r>
          </w:p>
        </w:tc>
        <w:tc>
          <w:tcPr>
            <w:tcW w:w="3826" w:type="dxa"/>
            <w:shd w:val="clear" w:color="auto" w:fill="FFA5A5"/>
          </w:tcPr>
          <w:p w14:paraId="26B76964" w14:textId="0221DF4D" w:rsidR="002203FB" w:rsidRPr="00B6039A" w:rsidRDefault="005E1481" w:rsidP="003E2F74">
            <w:pPr>
              <w:spacing w:before="120" w:after="120"/>
              <w:ind w:left="176" w:firstLine="0"/>
            </w:pPr>
            <w:r w:rsidRPr="00B6039A">
              <w:t>No evidence of implementation.</w:t>
            </w:r>
          </w:p>
        </w:tc>
      </w:tr>
      <w:tr w:rsidR="002203FB" w:rsidRPr="00B6039A" w14:paraId="75DD1316" w14:textId="77777777" w:rsidTr="00520EBB">
        <w:trPr>
          <w:trHeight w:val="310"/>
        </w:trPr>
        <w:tc>
          <w:tcPr>
            <w:tcW w:w="846" w:type="dxa"/>
          </w:tcPr>
          <w:p w14:paraId="39D9A50C" w14:textId="77777777" w:rsidR="002203FB" w:rsidRPr="00B6039A" w:rsidRDefault="002203FB" w:rsidP="00520EBB">
            <w:pPr>
              <w:pStyle w:val="ListParagraph"/>
              <w:numPr>
                <w:ilvl w:val="0"/>
                <w:numId w:val="6"/>
              </w:numPr>
            </w:pPr>
          </w:p>
        </w:tc>
        <w:tc>
          <w:tcPr>
            <w:tcW w:w="4833" w:type="dxa"/>
          </w:tcPr>
          <w:p w14:paraId="6D9D867D" w14:textId="77777777" w:rsidR="002203FB" w:rsidRPr="00B6039A" w:rsidRDefault="002203FB" w:rsidP="003E2F74">
            <w:pPr>
              <w:ind w:left="178" w:hanging="92"/>
            </w:pPr>
            <w:r w:rsidRPr="00B6039A">
              <w:t>Instigate a cross-government approach to managing debt to government agencies.</w:t>
            </w:r>
          </w:p>
        </w:tc>
        <w:tc>
          <w:tcPr>
            <w:tcW w:w="1260" w:type="dxa"/>
          </w:tcPr>
          <w:p w14:paraId="4F3D4E0A" w14:textId="084A3AD1" w:rsidR="002203FB" w:rsidRPr="00B6039A" w:rsidRDefault="00684575" w:rsidP="00684575">
            <w:pPr>
              <w:ind w:left="163" w:hanging="77"/>
            </w:pPr>
            <w:r w:rsidRPr="00B6039A">
              <w:t>Detailed Recs</w:t>
            </w:r>
            <w:r w:rsidR="002203FB" w:rsidRPr="00B6039A">
              <w:t xml:space="preserve"> 20-24 (see </w:t>
            </w:r>
            <w:r w:rsidR="0029286F" w:rsidRPr="00B6039A">
              <w:t>Table 4</w:t>
            </w:r>
            <w:r w:rsidR="002203FB" w:rsidRPr="00B6039A">
              <w:t>)</w:t>
            </w:r>
          </w:p>
        </w:tc>
        <w:tc>
          <w:tcPr>
            <w:tcW w:w="4230" w:type="dxa"/>
          </w:tcPr>
          <w:p w14:paraId="7DE7AD5F" w14:textId="77777777" w:rsidR="002203FB" w:rsidRPr="00B6039A" w:rsidRDefault="002203FB" w:rsidP="00684575">
            <w:pPr>
              <w:ind w:left="178" w:firstLine="0"/>
            </w:pPr>
            <w:r w:rsidRPr="00B6039A">
              <w:t>The Government has stated that Key Recommendation 16 aligns with an ongoing a cross-government review which looks to streamline approaches to debt across government.</w:t>
            </w:r>
            <w:r w:rsidRPr="00B6039A">
              <w:rPr>
                <w:rStyle w:val="FootnoteReference"/>
              </w:rPr>
              <w:footnoteReference w:id="52"/>
            </w:r>
            <w:r w:rsidRPr="00B6039A">
              <w:t xml:space="preserve"> It stated that over the ‘longer-term’, officials will consider seeking alignment of approaches to interest and penalty rates, as well as approaches to write-off, across agencies.</w:t>
            </w:r>
          </w:p>
        </w:tc>
        <w:tc>
          <w:tcPr>
            <w:tcW w:w="3826" w:type="dxa"/>
            <w:shd w:val="clear" w:color="auto" w:fill="FFA5A5"/>
          </w:tcPr>
          <w:p w14:paraId="3BF30A40" w14:textId="1CE47A0E" w:rsidR="002203FB" w:rsidRPr="00B6039A" w:rsidRDefault="005E1481" w:rsidP="00684575">
            <w:pPr>
              <w:ind w:left="178" w:firstLine="0"/>
            </w:pPr>
            <w:r w:rsidRPr="00B6039A">
              <w:t>No evidence of implementation.</w:t>
            </w:r>
          </w:p>
        </w:tc>
      </w:tr>
      <w:tr w:rsidR="002203FB" w:rsidRPr="00B6039A" w14:paraId="7857AE32" w14:textId="77777777" w:rsidTr="00520EBB">
        <w:trPr>
          <w:trHeight w:val="310"/>
        </w:trPr>
        <w:tc>
          <w:tcPr>
            <w:tcW w:w="846" w:type="dxa"/>
          </w:tcPr>
          <w:p w14:paraId="3D322B07" w14:textId="77777777" w:rsidR="002203FB" w:rsidRPr="00B6039A" w:rsidRDefault="002203FB" w:rsidP="00520EBB">
            <w:pPr>
              <w:pStyle w:val="ListParagraph"/>
              <w:numPr>
                <w:ilvl w:val="0"/>
                <w:numId w:val="6"/>
              </w:numPr>
            </w:pPr>
          </w:p>
        </w:tc>
        <w:tc>
          <w:tcPr>
            <w:tcW w:w="4833" w:type="dxa"/>
          </w:tcPr>
          <w:p w14:paraId="48A98515" w14:textId="77777777" w:rsidR="002203FB" w:rsidRPr="00B6039A" w:rsidRDefault="002203FB" w:rsidP="009412BF">
            <w:pPr>
              <w:ind w:left="178" w:hanging="92"/>
            </w:pPr>
            <w:r w:rsidRPr="00B6039A">
              <w:t>Endorse the Ministry of Social Development’s three-tiered approach to responding to fraud allegation: intervene, facilitate and, as a last resort, investigate. Apply the principles of natural justice in all steps, and, if the outcome is disputed, permit a review independent of the Ministry of Social Development.</w:t>
            </w:r>
          </w:p>
        </w:tc>
        <w:tc>
          <w:tcPr>
            <w:tcW w:w="1260" w:type="dxa"/>
          </w:tcPr>
          <w:p w14:paraId="2A6352CB" w14:textId="159E96DD" w:rsidR="002203FB" w:rsidRPr="00B6039A" w:rsidRDefault="00684575" w:rsidP="00684575">
            <w:pPr>
              <w:ind w:left="163" w:hanging="77"/>
            </w:pPr>
            <w:r w:rsidRPr="00B6039A">
              <w:t>Detailed Recs</w:t>
            </w:r>
            <w:r w:rsidR="002203FB" w:rsidRPr="00B6039A">
              <w:t xml:space="preserve"> 25-27 (see </w:t>
            </w:r>
            <w:r w:rsidR="0029286F" w:rsidRPr="00B6039A">
              <w:t>Table 4</w:t>
            </w:r>
            <w:r w:rsidR="002203FB" w:rsidRPr="00B6039A">
              <w:t xml:space="preserve">). </w:t>
            </w:r>
          </w:p>
        </w:tc>
        <w:tc>
          <w:tcPr>
            <w:tcW w:w="4230" w:type="dxa"/>
          </w:tcPr>
          <w:p w14:paraId="3F6BF942" w14:textId="77777777" w:rsidR="002203FB" w:rsidRPr="00B6039A" w:rsidRDefault="002203FB" w:rsidP="00684575">
            <w:pPr>
              <w:ind w:left="178" w:firstLine="0"/>
            </w:pPr>
            <w:r w:rsidRPr="00B6039A">
              <w:t>The Government claims that ‘work is underway’ to implement Key Recommendation 17.</w:t>
            </w:r>
            <w:r w:rsidRPr="00B6039A">
              <w:rPr>
                <w:rStyle w:val="FootnoteReference"/>
              </w:rPr>
              <w:footnoteReference w:id="53"/>
            </w:r>
            <w:r w:rsidRPr="00B6039A">
              <w:t xml:space="preserve"> It has stated that “the Government endorses MSD’s approach to fraud as suggested here and will continue to ensure fraud is handled appropriately.”</w:t>
            </w:r>
          </w:p>
        </w:tc>
        <w:tc>
          <w:tcPr>
            <w:tcW w:w="3826" w:type="dxa"/>
            <w:shd w:val="clear" w:color="auto" w:fill="F8CA9C"/>
          </w:tcPr>
          <w:p w14:paraId="2C4625B4" w14:textId="77777777" w:rsidR="002203FB" w:rsidRPr="00B6039A" w:rsidRDefault="002203FB" w:rsidP="00684575">
            <w:pPr>
              <w:ind w:left="178" w:firstLine="0"/>
            </w:pPr>
            <w:r w:rsidRPr="00B6039A">
              <w:t>Minimal implementation.</w:t>
            </w:r>
          </w:p>
          <w:p w14:paraId="1A21443B" w14:textId="77777777" w:rsidR="002203FB" w:rsidRPr="00B6039A" w:rsidRDefault="002203FB" w:rsidP="00684575">
            <w:pPr>
              <w:ind w:left="178" w:firstLine="0"/>
            </w:pPr>
          </w:p>
          <w:p w14:paraId="09435D1C" w14:textId="77777777" w:rsidR="002203FB" w:rsidRPr="00B6039A" w:rsidRDefault="002203FB" w:rsidP="00684575">
            <w:pPr>
              <w:ind w:left="178" w:firstLine="0"/>
            </w:pPr>
            <w:r w:rsidRPr="00B6039A">
              <w:t>The three-tiered approach to managing fraud activity was implemented between November 2018 and February 2019 and remains in place,</w:t>
            </w:r>
            <w:r w:rsidRPr="00B6039A">
              <w:rPr>
                <w:vertAlign w:val="superscript"/>
              </w:rPr>
              <w:footnoteReference w:id="54"/>
            </w:r>
            <w:r w:rsidRPr="00B6039A">
              <w:t xml:space="preserve"> and the Government has stated that it endorses MSD’s </w:t>
            </w:r>
            <w:r w:rsidRPr="00B6039A">
              <w:lastRenderedPageBreak/>
              <w:t>approach.</w:t>
            </w:r>
            <w:r w:rsidRPr="00B6039A">
              <w:rPr>
                <w:vertAlign w:val="superscript"/>
              </w:rPr>
              <w:footnoteReference w:id="55"/>
            </w:r>
            <w:r w:rsidRPr="00B6039A">
              <w:t xml:space="preserve"> However, appeals continue to be referred to the Benefits Review Committee, which is not independent of MSD and thus contravenes the principles of natural justice.</w:t>
            </w:r>
          </w:p>
        </w:tc>
      </w:tr>
      <w:tr w:rsidR="002203FB" w:rsidRPr="00B6039A" w14:paraId="64C048C1" w14:textId="77777777" w:rsidTr="00520EBB">
        <w:trPr>
          <w:trHeight w:val="310"/>
        </w:trPr>
        <w:tc>
          <w:tcPr>
            <w:tcW w:w="846" w:type="dxa"/>
          </w:tcPr>
          <w:p w14:paraId="56C2A8C0" w14:textId="77777777" w:rsidR="002203FB" w:rsidRPr="00B6039A" w:rsidRDefault="002203FB" w:rsidP="00520EBB">
            <w:pPr>
              <w:pStyle w:val="ListParagraph"/>
              <w:numPr>
                <w:ilvl w:val="0"/>
                <w:numId w:val="6"/>
              </w:numPr>
            </w:pPr>
          </w:p>
        </w:tc>
        <w:tc>
          <w:tcPr>
            <w:tcW w:w="4833" w:type="dxa"/>
          </w:tcPr>
          <w:p w14:paraId="04D0BFDF" w14:textId="77777777" w:rsidR="002203FB" w:rsidRPr="00B6039A" w:rsidRDefault="002203FB" w:rsidP="009412BF">
            <w:pPr>
              <w:ind w:left="178" w:hanging="92"/>
            </w:pPr>
            <w:r w:rsidRPr="00B6039A">
              <w:t>Enhance and improve the support for people exiting prisons, including increasing the Steps to Freedom grant, and ensuring that any person who leaves prison has appropriate identification and is engaged with specialised care and supportive housing initiatives. Move practices around prisoner integration out of the ‘pilot’ stage and draw on evaluation data to embed integrated support for these individuals.</w:t>
            </w:r>
          </w:p>
        </w:tc>
        <w:tc>
          <w:tcPr>
            <w:tcW w:w="1260" w:type="dxa"/>
          </w:tcPr>
          <w:p w14:paraId="575D73A0" w14:textId="41614EA4" w:rsidR="002203FB" w:rsidRPr="00B6039A" w:rsidRDefault="00684575" w:rsidP="00684575">
            <w:pPr>
              <w:ind w:left="163" w:hanging="77"/>
            </w:pPr>
            <w:r w:rsidRPr="00B6039A">
              <w:t>Detailed Recs</w:t>
            </w:r>
            <w:r w:rsidR="002203FB" w:rsidRPr="00B6039A">
              <w:t xml:space="preserve"> 28-32 (see </w:t>
            </w:r>
            <w:r w:rsidR="0029286F" w:rsidRPr="00B6039A">
              <w:t>Table 4</w:t>
            </w:r>
            <w:r w:rsidR="002203FB" w:rsidRPr="00B6039A">
              <w:t xml:space="preserve">). </w:t>
            </w:r>
          </w:p>
          <w:p w14:paraId="3729A202" w14:textId="77777777" w:rsidR="002203FB" w:rsidRPr="00B6039A" w:rsidRDefault="002203FB" w:rsidP="00684575">
            <w:pPr>
              <w:ind w:left="163" w:hanging="77"/>
            </w:pPr>
          </w:p>
          <w:p w14:paraId="5338FB3F" w14:textId="77777777" w:rsidR="002203FB" w:rsidRPr="00B6039A" w:rsidRDefault="002203FB" w:rsidP="00684575">
            <w:pPr>
              <w:ind w:left="163" w:hanging="77"/>
            </w:pPr>
          </w:p>
        </w:tc>
        <w:tc>
          <w:tcPr>
            <w:tcW w:w="4230" w:type="dxa"/>
          </w:tcPr>
          <w:p w14:paraId="4C0B7588" w14:textId="77777777" w:rsidR="002203FB" w:rsidRPr="00B6039A" w:rsidRDefault="002203FB" w:rsidP="00684575">
            <w:pPr>
              <w:ind w:left="178" w:firstLine="0"/>
            </w:pPr>
            <w:r w:rsidRPr="00B6039A">
              <w:t>The Government claims that work is underway to partially implement Key Recommendation 18.</w:t>
            </w:r>
            <w:r w:rsidRPr="00B6039A">
              <w:rPr>
                <w:rStyle w:val="FootnoteReference"/>
              </w:rPr>
              <w:footnoteReference w:id="56"/>
            </w:r>
            <w:r w:rsidRPr="00B6039A">
              <w:t xml:space="preserve"> They state that they are “working towards improving the support for people exiting prisons”, with work “underway between MSD and Corrections to progress specific proposals."</w:t>
            </w:r>
          </w:p>
        </w:tc>
        <w:tc>
          <w:tcPr>
            <w:tcW w:w="3826" w:type="dxa"/>
            <w:shd w:val="clear" w:color="auto" w:fill="FFA5A5"/>
          </w:tcPr>
          <w:p w14:paraId="6EA8AD7B" w14:textId="07FACC90" w:rsidR="002203FB" w:rsidRPr="00B6039A" w:rsidRDefault="005E1481" w:rsidP="00684575">
            <w:pPr>
              <w:ind w:left="178" w:firstLine="0"/>
            </w:pPr>
            <w:r w:rsidRPr="00B6039A">
              <w:t>No evidence of implementation.</w:t>
            </w:r>
          </w:p>
          <w:p w14:paraId="58144809" w14:textId="77777777" w:rsidR="002203FB" w:rsidRPr="00B6039A" w:rsidRDefault="002203FB" w:rsidP="00684575">
            <w:pPr>
              <w:ind w:left="178" w:firstLine="0"/>
            </w:pPr>
          </w:p>
          <w:p w14:paraId="1D1C60F5" w14:textId="77777777" w:rsidR="002203FB" w:rsidRPr="00B6039A" w:rsidRDefault="002203FB" w:rsidP="00684575">
            <w:pPr>
              <w:ind w:left="178" w:firstLine="0"/>
            </w:pPr>
            <w:r w:rsidRPr="00B6039A">
              <w:t>The Government’s announcements on this in May 2019 emphasised pre-existing work on the Supporting Offenders into Employment scheme.</w:t>
            </w:r>
            <w:r w:rsidRPr="00B6039A">
              <w:rPr>
                <w:rStyle w:val="FootnoteReference"/>
              </w:rPr>
              <w:footnoteReference w:id="57"/>
            </w:r>
          </w:p>
        </w:tc>
      </w:tr>
      <w:tr w:rsidR="002203FB" w:rsidRPr="00B6039A" w14:paraId="1B44D11E" w14:textId="77777777" w:rsidTr="00520EBB">
        <w:trPr>
          <w:trHeight w:val="310"/>
        </w:trPr>
        <w:tc>
          <w:tcPr>
            <w:tcW w:w="846" w:type="dxa"/>
          </w:tcPr>
          <w:p w14:paraId="3FB40555" w14:textId="77777777" w:rsidR="002203FB" w:rsidRPr="00B6039A" w:rsidRDefault="002203FB" w:rsidP="00520EBB">
            <w:pPr>
              <w:pStyle w:val="ListParagraph"/>
              <w:numPr>
                <w:ilvl w:val="0"/>
                <w:numId w:val="6"/>
              </w:numPr>
            </w:pPr>
          </w:p>
        </w:tc>
        <w:tc>
          <w:tcPr>
            <w:tcW w:w="4833" w:type="dxa"/>
          </w:tcPr>
          <w:p w14:paraId="783D52F6" w14:textId="77777777" w:rsidR="002203FB" w:rsidRPr="00B6039A" w:rsidRDefault="002203FB" w:rsidP="00520EBB">
            <w:r w:rsidRPr="00B6039A">
              <w:t>Adopt the following 10 principles to redesign the income support system.</w:t>
            </w:r>
          </w:p>
          <w:p w14:paraId="63A49356" w14:textId="77777777" w:rsidR="002203FB" w:rsidRPr="00B6039A" w:rsidRDefault="002203FB" w:rsidP="00520EBB">
            <w:pPr>
              <w:pStyle w:val="ListParagraph"/>
              <w:numPr>
                <w:ilvl w:val="0"/>
                <w:numId w:val="9"/>
              </w:numPr>
            </w:pPr>
            <w:r w:rsidRPr="00B6039A">
              <w:t>Income support is adequate for meaningful participation in the community, and this support is maintained over time.</w:t>
            </w:r>
          </w:p>
          <w:p w14:paraId="3BB540B4" w14:textId="77777777" w:rsidR="002203FB" w:rsidRPr="00B6039A" w:rsidRDefault="002203FB" w:rsidP="00520EBB">
            <w:pPr>
              <w:pStyle w:val="ListParagraph"/>
              <w:numPr>
                <w:ilvl w:val="0"/>
                <w:numId w:val="10"/>
              </w:numPr>
            </w:pPr>
            <w:r w:rsidRPr="00B6039A">
              <w:t>Income support ensures people are always better off in paid work and high effective marginal tax rates are avoided as much as possible.</w:t>
            </w:r>
          </w:p>
          <w:p w14:paraId="338019E6" w14:textId="77777777" w:rsidR="002203FB" w:rsidRPr="00B6039A" w:rsidRDefault="002203FB" w:rsidP="00520EBB">
            <w:pPr>
              <w:pStyle w:val="ListParagraph"/>
              <w:numPr>
                <w:ilvl w:val="0"/>
                <w:numId w:val="10"/>
              </w:numPr>
            </w:pPr>
            <w:r w:rsidRPr="00B6039A">
              <w:t>Main benefits cover a larger proportion of people’s living costs than they do currently (reducing reliance on other assistance).</w:t>
            </w:r>
          </w:p>
          <w:p w14:paraId="546E6498" w14:textId="77777777" w:rsidR="002203FB" w:rsidRPr="00B6039A" w:rsidRDefault="002203FB" w:rsidP="00520EBB">
            <w:pPr>
              <w:pStyle w:val="ListParagraph"/>
              <w:numPr>
                <w:ilvl w:val="0"/>
                <w:numId w:val="10"/>
              </w:numPr>
            </w:pPr>
            <w:r w:rsidRPr="00B6039A">
              <w:lastRenderedPageBreak/>
              <w:t>Child-related payments follow the child and can be apportioned with shared care.</w:t>
            </w:r>
          </w:p>
          <w:p w14:paraId="2A160578" w14:textId="77777777" w:rsidR="002203FB" w:rsidRPr="00B6039A" w:rsidRDefault="002203FB" w:rsidP="00520EBB">
            <w:pPr>
              <w:pStyle w:val="ListParagraph"/>
              <w:numPr>
                <w:ilvl w:val="0"/>
                <w:numId w:val="10"/>
              </w:numPr>
            </w:pPr>
            <w:r w:rsidRPr="00B6039A">
              <w:t>Payments for specific costs provide support that is adequate, appropriately designed and easy to access.</w:t>
            </w:r>
          </w:p>
          <w:p w14:paraId="29DC95CD" w14:textId="77777777" w:rsidR="002203FB" w:rsidRPr="00B6039A" w:rsidRDefault="002203FB" w:rsidP="00520EBB">
            <w:pPr>
              <w:pStyle w:val="ListParagraph"/>
              <w:numPr>
                <w:ilvl w:val="0"/>
                <w:numId w:val="10"/>
              </w:numPr>
            </w:pPr>
            <w:r w:rsidRPr="00B6039A">
              <w:t>Changes to income support reduce disincentives to form relationships.</w:t>
            </w:r>
          </w:p>
          <w:p w14:paraId="0E6B9EB6" w14:textId="77777777" w:rsidR="002203FB" w:rsidRPr="00B6039A" w:rsidRDefault="002203FB" w:rsidP="00520EBB">
            <w:pPr>
              <w:pStyle w:val="ListParagraph"/>
              <w:numPr>
                <w:ilvl w:val="0"/>
                <w:numId w:val="10"/>
              </w:numPr>
            </w:pPr>
            <w:r w:rsidRPr="00B6039A">
              <w:t>The income support system proactively supports people to access their full and correct entitlements and promotes these entitlements to the broader population.</w:t>
            </w:r>
          </w:p>
          <w:p w14:paraId="51B4594C" w14:textId="77777777" w:rsidR="002203FB" w:rsidRPr="00B6039A" w:rsidRDefault="002203FB" w:rsidP="00520EBB">
            <w:pPr>
              <w:pStyle w:val="ListParagraph"/>
              <w:numPr>
                <w:ilvl w:val="0"/>
                <w:numId w:val="10"/>
              </w:numPr>
            </w:pPr>
            <w:r w:rsidRPr="00B6039A">
              <w:t>The income support system is easy to access and provides timely support, including to people transitioning in and out of the system.</w:t>
            </w:r>
          </w:p>
          <w:p w14:paraId="0ED2A6C2" w14:textId="77777777" w:rsidR="002203FB" w:rsidRPr="00B6039A" w:rsidRDefault="002203FB" w:rsidP="00520EBB">
            <w:pPr>
              <w:pStyle w:val="ListParagraph"/>
              <w:numPr>
                <w:ilvl w:val="0"/>
                <w:numId w:val="10"/>
              </w:numPr>
            </w:pPr>
            <w:r w:rsidRPr="00B6039A">
              <w:t>The income support system is as simple as possible balanced against the need to provide adequate support for people in a variety of circumstances at a reasonable cost to government.</w:t>
            </w:r>
          </w:p>
          <w:p w14:paraId="42541467" w14:textId="77777777" w:rsidR="002203FB" w:rsidRPr="00B6039A" w:rsidRDefault="002203FB" w:rsidP="00520EBB">
            <w:pPr>
              <w:pStyle w:val="ListParagraph"/>
              <w:numPr>
                <w:ilvl w:val="0"/>
                <w:numId w:val="10"/>
              </w:numPr>
            </w:pPr>
            <w:r w:rsidRPr="00B6039A">
              <w:t>People are treated with dignity and respect when accessing this support.</w:t>
            </w:r>
          </w:p>
        </w:tc>
        <w:tc>
          <w:tcPr>
            <w:tcW w:w="1260" w:type="dxa"/>
          </w:tcPr>
          <w:p w14:paraId="2E9F888A" w14:textId="61C6375D" w:rsidR="002203FB" w:rsidRPr="00B6039A" w:rsidRDefault="00684575" w:rsidP="00684575">
            <w:pPr>
              <w:ind w:left="163" w:hanging="77"/>
            </w:pPr>
            <w:r w:rsidRPr="00B6039A">
              <w:lastRenderedPageBreak/>
              <w:t>Detailed Recs</w:t>
            </w:r>
            <w:r w:rsidR="002203FB" w:rsidRPr="00B6039A">
              <w:t xml:space="preserve"> 33-39 (see </w:t>
            </w:r>
            <w:r w:rsidR="0029286F" w:rsidRPr="00B6039A">
              <w:t>Table 4</w:t>
            </w:r>
            <w:r w:rsidR="002203FB" w:rsidRPr="00B6039A">
              <w:t>).</w:t>
            </w:r>
          </w:p>
        </w:tc>
        <w:tc>
          <w:tcPr>
            <w:tcW w:w="4230" w:type="dxa"/>
          </w:tcPr>
          <w:p w14:paraId="3945D6CC" w14:textId="77777777" w:rsidR="002203FB" w:rsidRPr="00B6039A" w:rsidRDefault="002203FB" w:rsidP="00684575">
            <w:pPr>
              <w:ind w:left="178" w:firstLine="0"/>
            </w:pPr>
            <w:r w:rsidRPr="00B6039A">
              <w:t xml:space="preserve">The Government has stated that implementation of Key Recommendation 19 is part of its medium and longer-term work programme. </w:t>
            </w:r>
            <w:r w:rsidRPr="00B6039A">
              <w:rPr>
                <w:vertAlign w:val="superscript"/>
              </w:rPr>
              <w:footnoteReference w:id="58"/>
            </w:r>
            <w:r w:rsidRPr="00B6039A">
              <w:t xml:space="preserve"> It stated that “improving financial support will continue to be a key focus throughout the welfare overhaul work programme”, and that the “10 principles proposed by the WEAG will provide a starting point for advice around income support settings.”</w:t>
            </w:r>
          </w:p>
        </w:tc>
        <w:tc>
          <w:tcPr>
            <w:tcW w:w="3826" w:type="dxa"/>
            <w:shd w:val="clear" w:color="auto" w:fill="FFA5A5"/>
          </w:tcPr>
          <w:p w14:paraId="474E2095" w14:textId="2D0575B0" w:rsidR="002203FB" w:rsidRPr="00B6039A" w:rsidRDefault="005E1481" w:rsidP="00684575">
            <w:pPr>
              <w:ind w:left="178" w:firstLine="0"/>
            </w:pPr>
            <w:r w:rsidRPr="00B6039A">
              <w:t>No evidence of implementation.</w:t>
            </w:r>
          </w:p>
        </w:tc>
      </w:tr>
      <w:tr w:rsidR="002203FB" w:rsidRPr="00B6039A" w14:paraId="68A2A8F2" w14:textId="77777777" w:rsidTr="00520EBB">
        <w:trPr>
          <w:trHeight w:val="310"/>
        </w:trPr>
        <w:tc>
          <w:tcPr>
            <w:tcW w:w="846" w:type="dxa"/>
          </w:tcPr>
          <w:p w14:paraId="3A172F56" w14:textId="77777777" w:rsidR="002203FB" w:rsidRPr="00B6039A" w:rsidRDefault="002203FB" w:rsidP="00520EBB">
            <w:pPr>
              <w:pStyle w:val="ListParagraph"/>
              <w:numPr>
                <w:ilvl w:val="0"/>
                <w:numId w:val="6"/>
              </w:numPr>
            </w:pPr>
          </w:p>
        </w:tc>
        <w:tc>
          <w:tcPr>
            <w:tcW w:w="4833" w:type="dxa"/>
          </w:tcPr>
          <w:p w14:paraId="267FBC01" w14:textId="77777777" w:rsidR="002203FB" w:rsidRPr="00B6039A" w:rsidRDefault="002203FB" w:rsidP="00520EBB">
            <w:r w:rsidRPr="00B6039A">
              <w:t>Reform main benefits by:</w:t>
            </w:r>
          </w:p>
          <w:p w14:paraId="0D5C29F7" w14:textId="636954E1" w:rsidR="002203FB" w:rsidRPr="00B6039A" w:rsidRDefault="002203FB" w:rsidP="00520EBB">
            <w:pPr>
              <w:pStyle w:val="ListParagraph"/>
              <w:numPr>
                <w:ilvl w:val="0"/>
                <w:numId w:val="10"/>
              </w:numPr>
            </w:pPr>
            <w:r w:rsidRPr="00B6039A">
              <w:t>increasing main benefits by between 12% and 47% as set out in Chapter 7, Table 2, page 99</w:t>
            </w:r>
          </w:p>
          <w:p w14:paraId="23C293AB" w14:textId="77777777" w:rsidR="002203FB" w:rsidRPr="00B6039A" w:rsidRDefault="002203FB" w:rsidP="00520EBB">
            <w:pPr>
              <w:pStyle w:val="ListParagraph"/>
              <w:numPr>
                <w:ilvl w:val="0"/>
                <w:numId w:val="10"/>
              </w:numPr>
            </w:pPr>
            <w:r w:rsidRPr="00B6039A">
              <w:t>increasing the abatement thresholds for:</w:t>
            </w:r>
          </w:p>
          <w:p w14:paraId="7AA7BDAA" w14:textId="77777777" w:rsidR="002203FB" w:rsidRPr="00B6039A" w:rsidRDefault="002203FB" w:rsidP="00520EBB">
            <w:pPr>
              <w:pStyle w:val="ListParagraph"/>
              <w:numPr>
                <w:ilvl w:val="0"/>
                <w:numId w:val="11"/>
              </w:numPr>
            </w:pPr>
            <w:r w:rsidRPr="00B6039A">
              <w:t>Jobseeker Support to $150 a week</w:t>
            </w:r>
          </w:p>
          <w:p w14:paraId="10242BF4" w14:textId="77777777" w:rsidR="002203FB" w:rsidRPr="00B6039A" w:rsidRDefault="002203FB" w:rsidP="00520EBB">
            <w:pPr>
              <w:pStyle w:val="ListParagraph"/>
              <w:numPr>
                <w:ilvl w:val="0"/>
                <w:numId w:val="11"/>
              </w:numPr>
            </w:pPr>
            <w:r w:rsidRPr="00B6039A">
              <w:t>Sole Parent Support and Supported Living Payment to $150 a week and $250 a week.</w:t>
            </w:r>
          </w:p>
        </w:tc>
        <w:tc>
          <w:tcPr>
            <w:tcW w:w="1260" w:type="dxa"/>
          </w:tcPr>
          <w:p w14:paraId="56B6F998" w14:textId="77777777" w:rsidR="002203FB" w:rsidRPr="00B6039A" w:rsidRDefault="002203FB" w:rsidP="00684575">
            <w:pPr>
              <w:ind w:left="163" w:hanging="77"/>
            </w:pPr>
            <w:r w:rsidRPr="00B6039A">
              <w:t xml:space="preserve">Nil </w:t>
            </w:r>
          </w:p>
          <w:p w14:paraId="449220C6" w14:textId="77777777" w:rsidR="002203FB" w:rsidRPr="00B6039A" w:rsidRDefault="002203FB" w:rsidP="00684575">
            <w:pPr>
              <w:ind w:left="163" w:hanging="77"/>
            </w:pPr>
          </w:p>
          <w:p w14:paraId="35001CA1" w14:textId="77777777" w:rsidR="002203FB" w:rsidRPr="00B6039A" w:rsidRDefault="002203FB" w:rsidP="00684575">
            <w:pPr>
              <w:ind w:left="163" w:hanging="77"/>
            </w:pPr>
          </w:p>
        </w:tc>
        <w:tc>
          <w:tcPr>
            <w:tcW w:w="4230" w:type="dxa"/>
          </w:tcPr>
          <w:p w14:paraId="60571804" w14:textId="77777777" w:rsidR="002203FB" w:rsidRPr="00B6039A" w:rsidRDefault="002203FB" w:rsidP="00684575">
            <w:pPr>
              <w:ind w:left="178" w:firstLine="0"/>
            </w:pPr>
            <w:r w:rsidRPr="00B6039A">
              <w:t>A Nov 2019 cabinet paper stated that this Key Recommendation had been fully implemented, or would be fully implemented through the Budget 2019 initiatives.</w:t>
            </w:r>
            <w:r w:rsidRPr="00B6039A">
              <w:rPr>
                <w:rStyle w:val="FootnoteReference"/>
              </w:rPr>
              <w:footnoteReference w:id="59"/>
            </w:r>
            <w:r w:rsidRPr="00B6039A">
              <w:t xml:space="preserve"> The Government stated that it had “announced an increase in the abatement threshold”, and “further </w:t>
            </w:r>
            <w:r w:rsidRPr="00B6039A">
              <w:lastRenderedPageBreak/>
              <w:t>consideration is required regarding main benefit levels and abatement thresholds”.</w:t>
            </w:r>
          </w:p>
        </w:tc>
        <w:tc>
          <w:tcPr>
            <w:tcW w:w="3826" w:type="dxa"/>
            <w:shd w:val="clear" w:color="auto" w:fill="F8CA9C"/>
          </w:tcPr>
          <w:p w14:paraId="08412EE4" w14:textId="77777777" w:rsidR="002203FB" w:rsidRPr="00B6039A" w:rsidRDefault="002203FB" w:rsidP="009412BF">
            <w:pPr>
              <w:spacing w:after="120"/>
              <w:ind w:left="176" w:firstLine="0"/>
            </w:pPr>
            <w:r w:rsidRPr="00B6039A">
              <w:lastRenderedPageBreak/>
              <w:t>Minimal implementation.</w:t>
            </w:r>
          </w:p>
          <w:p w14:paraId="5F1EC483" w14:textId="77777777" w:rsidR="002203FB" w:rsidRPr="00B6039A" w:rsidRDefault="002203FB" w:rsidP="009412BF">
            <w:pPr>
              <w:spacing w:after="120"/>
              <w:ind w:left="176" w:firstLine="0"/>
            </w:pPr>
            <w:r w:rsidRPr="00B6039A">
              <w:t>While a $25 increase to benefit levels (shared for couples) was announced in response to the initial March 2020 Covid-19 lockdown,</w:t>
            </w:r>
            <w:r w:rsidRPr="00B6039A">
              <w:rPr>
                <w:rStyle w:val="FootnoteReference"/>
              </w:rPr>
              <w:t xml:space="preserve"> </w:t>
            </w:r>
            <w:r w:rsidRPr="00B6039A">
              <w:rPr>
                <w:rStyle w:val="FootnoteReference"/>
              </w:rPr>
              <w:footnoteReference w:id="60"/>
            </w:r>
            <w:r w:rsidRPr="00B6039A">
              <w:t xml:space="preserve"> effective 1 April 2020, this increase falls far short of the WEAG’s recommendations. According to Michael Fletcher, the </w:t>
            </w:r>
            <w:r w:rsidRPr="00B6039A">
              <w:lastRenderedPageBreak/>
              <w:t>$25 March increase reflected between a 6.4 and 10 percent increase.</w:t>
            </w:r>
            <w:r w:rsidRPr="00B6039A">
              <w:rPr>
                <w:rStyle w:val="FootnoteReference"/>
              </w:rPr>
              <w:footnoteReference w:id="61"/>
            </w:r>
          </w:p>
          <w:p w14:paraId="6AFC35A3" w14:textId="07C1AFAA" w:rsidR="002203FB" w:rsidRPr="00B6039A" w:rsidRDefault="002203FB" w:rsidP="00684575">
            <w:pPr>
              <w:ind w:left="178" w:firstLine="0"/>
            </w:pPr>
            <w:r w:rsidRPr="00B6039A">
              <w:t>While Budget 2019 included an announcement of graduated increases to abatement thresholds, these similarly fall short of the WEAG’s recommendations. As of 1 April 2020, the abatement threshold for Jobseeker Support was $90, and the two threshold for Sole Parents and Supported Living Payment were $115 and $215.</w:t>
            </w:r>
            <w:r w:rsidRPr="00B6039A">
              <w:rPr>
                <w:rStyle w:val="FootnoteReference"/>
              </w:rPr>
              <w:footnoteReference w:id="62"/>
            </w:r>
            <w:r w:rsidRPr="00B6039A">
              <w:t xml:space="preserve"> By 1 April 2023, these </w:t>
            </w:r>
            <w:r w:rsidR="009412BF" w:rsidRPr="00B6039A">
              <w:t xml:space="preserve">are </w:t>
            </w:r>
            <w:r w:rsidRPr="00B6039A">
              <w:t xml:space="preserve">still </w:t>
            </w:r>
            <w:r w:rsidR="009412BF" w:rsidRPr="00B6039A">
              <w:t xml:space="preserve">set to </w:t>
            </w:r>
            <w:r w:rsidRPr="00B6039A">
              <w:t>only be $105, $130 and $230 respectively, short of what the WEAG has recommended.</w:t>
            </w:r>
            <w:r w:rsidR="00AE04F5" w:rsidRPr="00B6039A">
              <w:t xml:space="preserve"> The Labour Party made a </w:t>
            </w:r>
            <w:r w:rsidR="009412BF" w:rsidRPr="00B6039A">
              <w:t xml:space="preserve">2020 </w:t>
            </w:r>
            <w:r w:rsidR="00AE04F5" w:rsidRPr="00B6039A">
              <w:t xml:space="preserve">pre-election promise to raise abatement thresholds to $160 a week for </w:t>
            </w:r>
            <w:r w:rsidR="001F3346" w:rsidRPr="00B6039A">
              <w:t>J</w:t>
            </w:r>
            <w:r w:rsidR="00AE04F5" w:rsidRPr="00B6039A">
              <w:t xml:space="preserve">obseeker and </w:t>
            </w:r>
            <w:r w:rsidR="001F3346" w:rsidRPr="00B6039A">
              <w:t>$250 for Sole Parent Support and Supported Living Payment; however, these have not yet been scheduled with a timeline.</w:t>
            </w:r>
            <w:r w:rsidR="001F3346" w:rsidRPr="00B6039A">
              <w:rPr>
                <w:rStyle w:val="FootnoteReference"/>
              </w:rPr>
              <w:footnoteReference w:id="63"/>
            </w:r>
          </w:p>
        </w:tc>
      </w:tr>
      <w:tr w:rsidR="002203FB" w:rsidRPr="00B6039A" w14:paraId="3B599066" w14:textId="77777777" w:rsidTr="00520EBB">
        <w:trPr>
          <w:trHeight w:val="310"/>
        </w:trPr>
        <w:tc>
          <w:tcPr>
            <w:tcW w:w="846" w:type="dxa"/>
          </w:tcPr>
          <w:p w14:paraId="43383A22" w14:textId="77777777" w:rsidR="002203FB" w:rsidRPr="00B6039A" w:rsidRDefault="002203FB" w:rsidP="00520EBB">
            <w:pPr>
              <w:pStyle w:val="ListParagraph"/>
              <w:numPr>
                <w:ilvl w:val="0"/>
                <w:numId w:val="6"/>
              </w:numPr>
            </w:pPr>
          </w:p>
        </w:tc>
        <w:tc>
          <w:tcPr>
            <w:tcW w:w="4833" w:type="dxa"/>
          </w:tcPr>
          <w:p w14:paraId="5F1B0B9B" w14:textId="77777777" w:rsidR="002203FB" w:rsidRPr="00B6039A" w:rsidRDefault="002203FB" w:rsidP="00520EBB">
            <w:r w:rsidRPr="00B6039A">
              <w:t>Fully index all income support payments and thresholds annually to movements in average wages or prices, whichever is the greater. Index Accommodation Supplement rates to movements in housing costs.</w:t>
            </w:r>
          </w:p>
        </w:tc>
        <w:tc>
          <w:tcPr>
            <w:tcW w:w="1260" w:type="dxa"/>
          </w:tcPr>
          <w:p w14:paraId="2B9930AC" w14:textId="77777777" w:rsidR="002203FB" w:rsidRPr="00B6039A" w:rsidRDefault="002203FB" w:rsidP="00684575">
            <w:pPr>
              <w:ind w:left="163" w:hanging="77"/>
            </w:pPr>
            <w:r w:rsidRPr="00B6039A">
              <w:t>Nil</w:t>
            </w:r>
          </w:p>
        </w:tc>
        <w:tc>
          <w:tcPr>
            <w:tcW w:w="4230" w:type="dxa"/>
          </w:tcPr>
          <w:p w14:paraId="2EECF786" w14:textId="77777777" w:rsidR="002203FB" w:rsidRPr="00B6039A" w:rsidRDefault="002203FB" w:rsidP="00684575">
            <w:pPr>
              <w:ind w:left="178" w:firstLine="0"/>
            </w:pPr>
            <w:r w:rsidRPr="00B6039A">
              <w:t xml:space="preserve">The Government stated that Key Recommendation 21 had been partially implemented, reporting that it “announced in Budget 2019 that main benefits would be indexed to increases in average wages from 1 April 2020. This </w:t>
            </w:r>
            <w:r w:rsidRPr="00B6039A">
              <w:lastRenderedPageBreak/>
              <w:t>implements the intent of this recommendation.”</w:t>
            </w:r>
            <w:r w:rsidRPr="00B6039A">
              <w:rPr>
                <w:rStyle w:val="FootnoteReference"/>
              </w:rPr>
              <w:footnoteReference w:id="64"/>
            </w:r>
            <w:r w:rsidRPr="00B6039A">
              <w:t xml:space="preserve">  They have also stated that “further consideration of indexation of income support payments is required.”</w:t>
            </w:r>
          </w:p>
        </w:tc>
        <w:tc>
          <w:tcPr>
            <w:tcW w:w="3826" w:type="dxa"/>
            <w:shd w:val="clear" w:color="auto" w:fill="FFE599" w:themeFill="accent4" w:themeFillTint="66"/>
          </w:tcPr>
          <w:p w14:paraId="53E09CA1" w14:textId="77777777" w:rsidR="002203FB" w:rsidRPr="00B6039A" w:rsidRDefault="002203FB" w:rsidP="00684575">
            <w:pPr>
              <w:ind w:left="178" w:firstLine="0"/>
            </w:pPr>
            <w:r w:rsidRPr="00B6039A">
              <w:lastRenderedPageBreak/>
              <w:t xml:space="preserve">Partially implemented. </w:t>
            </w:r>
          </w:p>
          <w:p w14:paraId="3C7F0A4B" w14:textId="78CEF37C" w:rsidR="00E05E3B" w:rsidRPr="00B6039A" w:rsidRDefault="002203FB" w:rsidP="00684575">
            <w:pPr>
              <w:ind w:left="178" w:firstLine="0"/>
            </w:pPr>
            <w:r w:rsidRPr="00B6039A">
              <w:t>Main benefits have been indexed to wages</w:t>
            </w:r>
            <w:r w:rsidR="00E05E3B" w:rsidRPr="00B6039A">
              <w:t>, which is a welcome and important structural change.</w:t>
            </w:r>
          </w:p>
          <w:p w14:paraId="2133F6ED" w14:textId="5BEC822E" w:rsidR="00E05E3B" w:rsidRPr="00B6039A" w:rsidRDefault="00E05E3B" w:rsidP="00684575">
            <w:pPr>
              <w:ind w:left="178" w:firstLine="0"/>
            </w:pPr>
            <w:r w:rsidRPr="00B6039A">
              <w:lastRenderedPageBreak/>
              <w:t>However no parts of Working For Families have been indexed to wages – all are “income support payments”</w:t>
            </w:r>
            <w:r w:rsidR="00DD3C7E" w:rsidRPr="00B6039A">
              <w:t>.</w:t>
            </w:r>
          </w:p>
          <w:p w14:paraId="7F49E944" w14:textId="663FA518" w:rsidR="002203FB" w:rsidRPr="00B6039A" w:rsidRDefault="002203FB" w:rsidP="00684575">
            <w:pPr>
              <w:ind w:left="178" w:firstLine="0"/>
            </w:pPr>
            <w:r w:rsidRPr="00B6039A">
              <w:t>Accommodation Supplement rates have not been indexed to movements in housing costs</w:t>
            </w:r>
            <w:r w:rsidR="009412BF" w:rsidRPr="00B6039A">
              <w:t xml:space="preserve"> (In CPAG’s view, indexing the AS to movements in housing costs may exacerbate rising rents and therefore needs further consideration.)</w:t>
            </w:r>
          </w:p>
          <w:p w14:paraId="0A4CB21C" w14:textId="509414BD" w:rsidR="00862CE9" w:rsidRPr="00B6039A" w:rsidRDefault="00862CE9" w:rsidP="00684575">
            <w:pPr>
              <w:ind w:left="178" w:firstLine="0"/>
            </w:pPr>
          </w:p>
        </w:tc>
      </w:tr>
      <w:tr w:rsidR="002203FB" w:rsidRPr="00B6039A" w14:paraId="77A2C133" w14:textId="77777777" w:rsidTr="00520EBB">
        <w:trPr>
          <w:trHeight w:val="310"/>
        </w:trPr>
        <w:tc>
          <w:tcPr>
            <w:tcW w:w="846" w:type="dxa"/>
          </w:tcPr>
          <w:p w14:paraId="760563AE" w14:textId="77777777" w:rsidR="002203FB" w:rsidRPr="00B6039A" w:rsidRDefault="002203FB" w:rsidP="00520EBB">
            <w:pPr>
              <w:pStyle w:val="ListParagraph"/>
              <w:numPr>
                <w:ilvl w:val="0"/>
                <w:numId w:val="6"/>
              </w:numPr>
            </w:pPr>
          </w:p>
        </w:tc>
        <w:tc>
          <w:tcPr>
            <w:tcW w:w="4833" w:type="dxa"/>
          </w:tcPr>
          <w:p w14:paraId="47CE071E" w14:textId="77777777" w:rsidR="002203FB" w:rsidRPr="00B6039A" w:rsidRDefault="002203FB" w:rsidP="009412BF">
            <w:pPr>
              <w:spacing w:before="120"/>
            </w:pPr>
            <w:r w:rsidRPr="00B6039A">
              <w:t>Consider introducing a Living Alone Payment that contributes to the additional costs of adults living alone (without another adult) on a low income.</w:t>
            </w:r>
          </w:p>
        </w:tc>
        <w:tc>
          <w:tcPr>
            <w:tcW w:w="1260" w:type="dxa"/>
          </w:tcPr>
          <w:p w14:paraId="45F3DBF2" w14:textId="77777777" w:rsidR="002203FB" w:rsidRPr="00B6039A" w:rsidRDefault="002203FB" w:rsidP="009412BF">
            <w:pPr>
              <w:spacing w:before="120"/>
              <w:ind w:left="163" w:hanging="77"/>
            </w:pPr>
            <w:r w:rsidRPr="00B6039A">
              <w:t>Nil</w:t>
            </w:r>
          </w:p>
        </w:tc>
        <w:tc>
          <w:tcPr>
            <w:tcW w:w="4230" w:type="dxa"/>
          </w:tcPr>
          <w:p w14:paraId="3749A8C8" w14:textId="77777777" w:rsidR="002203FB" w:rsidRPr="00B6039A" w:rsidRDefault="002203FB" w:rsidP="009412BF">
            <w:pPr>
              <w:spacing w:before="120" w:after="120"/>
              <w:ind w:left="176" w:firstLine="0"/>
            </w:pPr>
            <w:r w:rsidRPr="00B6039A">
              <w:t>The Government has reported that Key Recommendation 22 is part of its ‘medium to longer-term work programme’. In response to this recommendation, it has stated that “further consideration of the income support system is required”.</w:t>
            </w:r>
            <w:r w:rsidRPr="00B6039A">
              <w:rPr>
                <w:rStyle w:val="FootnoteReference"/>
              </w:rPr>
              <w:footnoteReference w:id="65"/>
            </w:r>
          </w:p>
        </w:tc>
        <w:tc>
          <w:tcPr>
            <w:tcW w:w="3826" w:type="dxa"/>
            <w:shd w:val="clear" w:color="auto" w:fill="FFA5A5"/>
          </w:tcPr>
          <w:p w14:paraId="04C5DF74" w14:textId="77777777" w:rsidR="002203FB" w:rsidRPr="00B6039A" w:rsidRDefault="005E1481" w:rsidP="009412BF">
            <w:pPr>
              <w:spacing w:before="120"/>
              <w:ind w:left="176" w:firstLine="0"/>
            </w:pPr>
            <w:r w:rsidRPr="00B6039A">
              <w:t>No evidence of implementation.</w:t>
            </w:r>
          </w:p>
          <w:p w14:paraId="361A18FE" w14:textId="77777777" w:rsidR="002B12B3" w:rsidRPr="00B6039A" w:rsidRDefault="002B12B3" w:rsidP="00684575">
            <w:pPr>
              <w:ind w:left="178" w:firstLine="0"/>
            </w:pPr>
          </w:p>
          <w:p w14:paraId="1FDCE0A4" w14:textId="37A70459" w:rsidR="002B12B3" w:rsidRPr="00B6039A" w:rsidRDefault="009412BF" w:rsidP="00684575">
            <w:pPr>
              <w:ind w:left="178" w:firstLine="0"/>
            </w:pPr>
            <w:r w:rsidRPr="00B6039A">
              <w:t xml:space="preserve">In </w:t>
            </w:r>
            <w:r w:rsidR="002B12B3" w:rsidRPr="00B6039A">
              <w:t>CPAG</w:t>
            </w:r>
            <w:r w:rsidRPr="00B6039A">
              <w:t xml:space="preserve">’s view, the introduction of </w:t>
            </w:r>
            <w:r w:rsidR="002B12B3" w:rsidRPr="00B6039A">
              <w:t xml:space="preserve">a Living Alone Payment </w:t>
            </w:r>
            <w:r w:rsidR="001562C2" w:rsidRPr="00B6039A">
              <w:t>i</w:t>
            </w:r>
            <w:r w:rsidR="002B12B3" w:rsidRPr="00B6039A">
              <w:t xml:space="preserve">s </w:t>
            </w:r>
            <w:r w:rsidRPr="00B6039A">
              <w:t xml:space="preserve">not </w:t>
            </w:r>
            <w:r w:rsidR="002B12B3" w:rsidRPr="00B6039A">
              <w:t>a priority for children in poverty.</w:t>
            </w:r>
          </w:p>
        </w:tc>
      </w:tr>
      <w:tr w:rsidR="002203FB" w:rsidRPr="00B6039A" w14:paraId="75D4668B" w14:textId="77777777" w:rsidTr="00520EBB">
        <w:trPr>
          <w:trHeight w:val="310"/>
        </w:trPr>
        <w:tc>
          <w:tcPr>
            <w:tcW w:w="846" w:type="dxa"/>
          </w:tcPr>
          <w:p w14:paraId="39DAC8A0" w14:textId="77777777" w:rsidR="002203FB" w:rsidRPr="00B6039A" w:rsidRDefault="002203FB" w:rsidP="00520EBB">
            <w:pPr>
              <w:pStyle w:val="ListParagraph"/>
              <w:numPr>
                <w:ilvl w:val="0"/>
                <w:numId w:val="6"/>
              </w:numPr>
            </w:pPr>
          </w:p>
        </w:tc>
        <w:tc>
          <w:tcPr>
            <w:tcW w:w="4833" w:type="dxa"/>
          </w:tcPr>
          <w:p w14:paraId="194F68C9" w14:textId="77777777" w:rsidR="002203FB" w:rsidRPr="00B6039A" w:rsidRDefault="002203FB" w:rsidP="00520EBB">
            <w:r w:rsidRPr="00B6039A">
              <w:t>Reform Working for Families and other tax credits by:</w:t>
            </w:r>
          </w:p>
          <w:p w14:paraId="1673A583" w14:textId="77777777" w:rsidR="002203FB" w:rsidRPr="00B6039A" w:rsidRDefault="002203FB" w:rsidP="009412BF">
            <w:pPr>
              <w:pStyle w:val="ListParagraph"/>
              <w:numPr>
                <w:ilvl w:val="0"/>
                <w:numId w:val="10"/>
              </w:numPr>
              <w:ind w:left="462"/>
            </w:pPr>
            <w:r w:rsidRPr="00B6039A">
              <w:t>increasing the Family Tax Credit to $170 a week for the eldest child and to $120 a week for subsequent children</w:t>
            </w:r>
          </w:p>
          <w:p w14:paraId="6DA158CC" w14:textId="77777777" w:rsidR="002203FB" w:rsidRPr="00B6039A" w:rsidRDefault="002203FB" w:rsidP="009412BF">
            <w:pPr>
              <w:pStyle w:val="ListParagraph"/>
              <w:numPr>
                <w:ilvl w:val="0"/>
                <w:numId w:val="10"/>
              </w:numPr>
              <w:ind w:left="462"/>
            </w:pPr>
            <w:r w:rsidRPr="00B6039A">
              <w:t>increasing the abatement threshold for the Family Tax Credit and changing the abatement rate to:</w:t>
            </w:r>
          </w:p>
          <w:p w14:paraId="61D86B84" w14:textId="77777777" w:rsidR="002203FB" w:rsidRPr="00B6039A" w:rsidRDefault="002203FB" w:rsidP="009412BF">
            <w:pPr>
              <w:pStyle w:val="ListParagraph"/>
              <w:numPr>
                <w:ilvl w:val="0"/>
                <w:numId w:val="12"/>
              </w:numPr>
              <w:ind w:left="887"/>
            </w:pPr>
            <w:r w:rsidRPr="00B6039A">
              <w:t>10% on family annual incomes between $48,000 and $65,000</w:t>
            </w:r>
          </w:p>
          <w:p w14:paraId="46A185E3" w14:textId="77777777" w:rsidR="002203FB" w:rsidRPr="00B6039A" w:rsidRDefault="002203FB" w:rsidP="009412BF">
            <w:pPr>
              <w:pStyle w:val="ListParagraph"/>
              <w:numPr>
                <w:ilvl w:val="0"/>
                <w:numId w:val="12"/>
              </w:numPr>
              <w:ind w:left="887"/>
            </w:pPr>
            <w:r w:rsidRPr="00B6039A">
              <w:t>15% on family annual incomes between $65,000 and $160,000</w:t>
            </w:r>
          </w:p>
          <w:p w14:paraId="3D9A34A0" w14:textId="77777777" w:rsidR="002203FB" w:rsidRPr="00B6039A" w:rsidRDefault="002203FB" w:rsidP="009412BF">
            <w:pPr>
              <w:pStyle w:val="ListParagraph"/>
              <w:numPr>
                <w:ilvl w:val="0"/>
                <w:numId w:val="12"/>
              </w:numPr>
              <w:ind w:left="887"/>
            </w:pPr>
            <w:r w:rsidRPr="00B6039A">
              <w:lastRenderedPageBreak/>
              <w:t>50% on family annual incomes in excess of $160,000</w:t>
            </w:r>
          </w:p>
          <w:p w14:paraId="5FE1ABD3" w14:textId="77777777" w:rsidR="002203FB" w:rsidRPr="00B6039A" w:rsidRDefault="002203FB" w:rsidP="009412BF">
            <w:pPr>
              <w:pStyle w:val="ListParagraph"/>
              <w:numPr>
                <w:ilvl w:val="0"/>
                <w:numId w:val="10"/>
              </w:numPr>
              <w:ind w:left="462"/>
            </w:pPr>
            <w:r w:rsidRPr="00B6039A">
              <w:t>replacing the In-Work Tax Credit, Minimum Family Tax Credit and Independent Earner Tax Credit with a new Earned Income Tax Credit</w:t>
            </w:r>
          </w:p>
          <w:p w14:paraId="6F89A55A" w14:textId="77777777" w:rsidR="002203FB" w:rsidRPr="00B6039A" w:rsidRDefault="002203FB" w:rsidP="009412BF">
            <w:pPr>
              <w:pStyle w:val="ListParagraph"/>
              <w:numPr>
                <w:ilvl w:val="0"/>
                <w:numId w:val="10"/>
              </w:numPr>
              <w:ind w:left="462"/>
            </w:pPr>
            <w:r w:rsidRPr="00B6039A">
              <w:t>introducing an Earned Income Tax Credit of up to $50 a week for people with and without children and with a couple-based income test</w:t>
            </w:r>
          </w:p>
          <w:p w14:paraId="0E995686" w14:textId="77777777" w:rsidR="002203FB" w:rsidRPr="00B6039A" w:rsidRDefault="002203FB" w:rsidP="009412BF">
            <w:pPr>
              <w:pStyle w:val="ListParagraph"/>
              <w:numPr>
                <w:ilvl w:val="0"/>
                <w:numId w:val="13"/>
              </w:numPr>
              <w:ind w:left="462"/>
            </w:pPr>
            <w:r w:rsidRPr="00B6039A">
              <w:t>making the Best Start Tax Credit universal for all children aged under 3 years.</w:t>
            </w:r>
          </w:p>
        </w:tc>
        <w:tc>
          <w:tcPr>
            <w:tcW w:w="1260" w:type="dxa"/>
          </w:tcPr>
          <w:p w14:paraId="2B990AA7" w14:textId="77777777" w:rsidR="002203FB" w:rsidRPr="00B6039A" w:rsidRDefault="002203FB" w:rsidP="00684575">
            <w:pPr>
              <w:ind w:left="163" w:hanging="77"/>
            </w:pPr>
            <w:r w:rsidRPr="00B6039A">
              <w:lastRenderedPageBreak/>
              <w:t>Nil</w:t>
            </w:r>
          </w:p>
        </w:tc>
        <w:tc>
          <w:tcPr>
            <w:tcW w:w="4230" w:type="dxa"/>
          </w:tcPr>
          <w:p w14:paraId="293A7672" w14:textId="77777777" w:rsidR="002203FB" w:rsidRPr="00B6039A" w:rsidRDefault="002203FB" w:rsidP="00684575">
            <w:pPr>
              <w:ind w:left="178" w:firstLine="0"/>
            </w:pPr>
            <w:r w:rsidRPr="00B6039A">
              <w:t xml:space="preserve">The Government has reported that Key Recommendation 23 is part of its ‘medium to longer-term work programme’. In response to this recommendation, it stated that it “has invested significantly in families, with $5.5 billion of investment through the Families Package targeted at low- and middle-income families. … Work will continue on Working for Families, as an integral part of the income support system, its potential to reduce child </w:t>
            </w:r>
            <w:r w:rsidRPr="00B6039A">
              <w:lastRenderedPageBreak/>
              <w:t>poverty and reflect the value this Government sees in caregiving.”</w:t>
            </w:r>
            <w:r w:rsidRPr="00B6039A">
              <w:rPr>
                <w:rStyle w:val="FootnoteReference"/>
              </w:rPr>
              <w:footnoteReference w:id="66"/>
            </w:r>
          </w:p>
        </w:tc>
        <w:tc>
          <w:tcPr>
            <w:tcW w:w="3826" w:type="dxa"/>
            <w:shd w:val="clear" w:color="auto" w:fill="FFA5A5"/>
          </w:tcPr>
          <w:p w14:paraId="36CD2EF4" w14:textId="1ED458E7" w:rsidR="002203FB" w:rsidRPr="00B6039A" w:rsidRDefault="005E1481" w:rsidP="00684575">
            <w:pPr>
              <w:ind w:left="178" w:firstLine="0"/>
            </w:pPr>
            <w:r w:rsidRPr="00B6039A">
              <w:lastRenderedPageBreak/>
              <w:t>No evidence of implementation.</w:t>
            </w:r>
          </w:p>
          <w:p w14:paraId="53634B7E" w14:textId="3E038372" w:rsidR="00E05E3B" w:rsidRPr="00B6039A" w:rsidRDefault="00E05E3B" w:rsidP="00684575">
            <w:pPr>
              <w:ind w:left="178" w:firstLine="0"/>
            </w:pPr>
          </w:p>
          <w:p w14:paraId="27D694CA" w14:textId="0A6D0AC6" w:rsidR="00E05E3B" w:rsidRPr="00B6039A" w:rsidRDefault="00E05E3B" w:rsidP="00684575">
            <w:pPr>
              <w:ind w:left="178" w:firstLine="0"/>
            </w:pPr>
            <w:r w:rsidRPr="00B6039A">
              <w:t xml:space="preserve">While the Families Package reached those supported by a benefit, the WEAG </w:t>
            </w:r>
            <w:r w:rsidR="009412BF" w:rsidRPr="00B6039A">
              <w:t>recommendations</w:t>
            </w:r>
            <w:r w:rsidRPr="00B6039A">
              <w:t xml:space="preserve"> post-date the Families Package implementation.</w:t>
            </w:r>
          </w:p>
          <w:p w14:paraId="6A2C59D9" w14:textId="77777777" w:rsidR="00B55DC1" w:rsidRPr="00B6039A" w:rsidRDefault="00B55DC1" w:rsidP="00684575">
            <w:pPr>
              <w:ind w:left="178" w:firstLine="0"/>
            </w:pPr>
          </w:p>
          <w:p w14:paraId="49A54718" w14:textId="5182C7CD" w:rsidR="00B55DC1" w:rsidRPr="00B6039A" w:rsidRDefault="00B55DC1" w:rsidP="00684575">
            <w:pPr>
              <w:ind w:left="178" w:firstLine="0"/>
            </w:pPr>
            <w:r w:rsidRPr="00B6039A">
              <w:t xml:space="preserve">The increased Family Tax Credit recommended by WEAG would go to all families for their children, whether they are in, or not in, paid work, </w:t>
            </w:r>
            <w:r w:rsidR="000C2E6B" w:rsidRPr="00B6039A">
              <w:t>at the same time the I</w:t>
            </w:r>
            <w:r w:rsidR="009412BF" w:rsidRPr="00B6039A">
              <w:t xml:space="preserve">n-Work Tax Credit </w:t>
            </w:r>
            <w:r w:rsidR="000C2E6B" w:rsidRPr="00B6039A">
              <w:lastRenderedPageBreak/>
              <w:t xml:space="preserve">is removed, </w:t>
            </w:r>
            <w:r w:rsidRPr="00B6039A">
              <w:t>a change long sought by CPAG.</w:t>
            </w:r>
          </w:p>
          <w:p w14:paraId="7DFE3FC3" w14:textId="77777777" w:rsidR="00E2020C" w:rsidRPr="00B6039A" w:rsidRDefault="00E2020C" w:rsidP="00684575">
            <w:pPr>
              <w:ind w:left="178" w:firstLine="0"/>
            </w:pPr>
          </w:p>
          <w:p w14:paraId="22D00389" w14:textId="78A3C53F" w:rsidR="00862CE9" w:rsidRPr="00B6039A" w:rsidRDefault="00E2020C" w:rsidP="00684575">
            <w:pPr>
              <w:ind w:left="178" w:firstLine="0"/>
            </w:pPr>
            <w:r w:rsidRPr="00B6039A">
              <w:t xml:space="preserve">CPAG does not </w:t>
            </w:r>
            <w:r w:rsidR="009412BF" w:rsidRPr="00B6039A">
              <w:t xml:space="preserve">view the establishment of </w:t>
            </w:r>
            <w:r w:rsidRPr="00B6039A">
              <w:t xml:space="preserve">an Earned Income Tax Credit </w:t>
            </w:r>
            <w:r w:rsidR="009412BF" w:rsidRPr="00B6039A">
              <w:t xml:space="preserve">as </w:t>
            </w:r>
            <w:r w:rsidRPr="00B6039A">
              <w:t>a priority for children in poverty.</w:t>
            </w:r>
          </w:p>
          <w:p w14:paraId="42DEBBB8" w14:textId="2958974D" w:rsidR="00862CE9" w:rsidRPr="00B6039A" w:rsidRDefault="00862CE9" w:rsidP="00684575">
            <w:pPr>
              <w:ind w:left="178" w:firstLine="0"/>
            </w:pPr>
          </w:p>
        </w:tc>
      </w:tr>
      <w:tr w:rsidR="002203FB" w:rsidRPr="00B6039A" w14:paraId="0EA72A4F" w14:textId="77777777" w:rsidTr="00520EBB">
        <w:trPr>
          <w:trHeight w:val="310"/>
        </w:trPr>
        <w:tc>
          <w:tcPr>
            <w:tcW w:w="846" w:type="dxa"/>
          </w:tcPr>
          <w:p w14:paraId="706EE77E" w14:textId="77777777" w:rsidR="002203FB" w:rsidRPr="00B6039A" w:rsidRDefault="002203FB" w:rsidP="00520EBB">
            <w:pPr>
              <w:pStyle w:val="ListParagraph"/>
              <w:numPr>
                <w:ilvl w:val="0"/>
                <w:numId w:val="6"/>
              </w:numPr>
            </w:pPr>
          </w:p>
        </w:tc>
        <w:tc>
          <w:tcPr>
            <w:tcW w:w="4833" w:type="dxa"/>
          </w:tcPr>
          <w:p w14:paraId="69B3B67F" w14:textId="77777777" w:rsidR="002203FB" w:rsidRPr="00B6039A" w:rsidRDefault="002203FB" w:rsidP="00E512B8">
            <w:pPr>
              <w:ind w:left="178" w:hanging="92"/>
            </w:pPr>
            <w:r w:rsidRPr="00B6039A">
              <w:t>Reform supplementary assistance and hardship assistance so they are adequate, appropriately designed and easy to access.</w:t>
            </w:r>
          </w:p>
        </w:tc>
        <w:tc>
          <w:tcPr>
            <w:tcW w:w="1260" w:type="dxa"/>
          </w:tcPr>
          <w:p w14:paraId="2E6D0B5E" w14:textId="12B856E0" w:rsidR="002203FB" w:rsidRPr="00B6039A" w:rsidRDefault="00684575" w:rsidP="00684575">
            <w:pPr>
              <w:ind w:left="163" w:hanging="77"/>
            </w:pPr>
            <w:r w:rsidRPr="00B6039A">
              <w:t>Detailed Recs</w:t>
            </w:r>
            <w:r w:rsidR="002203FB" w:rsidRPr="00B6039A">
              <w:t xml:space="preserve"> 40-43 (see </w:t>
            </w:r>
            <w:r w:rsidR="0029286F" w:rsidRPr="00B6039A">
              <w:t>Table 4</w:t>
            </w:r>
            <w:r w:rsidR="002203FB" w:rsidRPr="00B6039A">
              <w:t>).</w:t>
            </w:r>
          </w:p>
        </w:tc>
        <w:tc>
          <w:tcPr>
            <w:tcW w:w="4230" w:type="dxa"/>
          </w:tcPr>
          <w:p w14:paraId="2859D7D6" w14:textId="77777777" w:rsidR="002203FB" w:rsidRPr="00B6039A" w:rsidRDefault="002203FB" w:rsidP="00684575">
            <w:pPr>
              <w:ind w:left="178" w:firstLine="0"/>
            </w:pPr>
            <w:r w:rsidRPr="00B6039A">
              <w:t>The Government has reported that implementation of Key Recommendation 24 is part of its ‘medium and longer-term work programme’, stating that “further consideration of supplementary report is required”.</w:t>
            </w:r>
            <w:r w:rsidRPr="00B6039A">
              <w:rPr>
                <w:vertAlign w:val="superscript"/>
              </w:rPr>
              <w:footnoteReference w:id="67"/>
            </w:r>
          </w:p>
        </w:tc>
        <w:tc>
          <w:tcPr>
            <w:tcW w:w="3826" w:type="dxa"/>
            <w:shd w:val="clear" w:color="auto" w:fill="FFA5A5"/>
          </w:tcPr>
          <w:p w14:paraId="19B9F98C" w14:textId="2724D884" w:rsidR="002203FB" w:rsidRPr="00B6039A" w:rsidRDefault="005E1481" w:rsidP="00684575">
            <w:pPr>
              <w:ind w:left="178" w:firstLine="0"/>
            </w:pPr>
            <w:r w:rsidRPr="00B6039A">
              <w:t>No evidence of implementation.</w:t>
            </w:r>
          </w:p>
        </w:tc>
      </w:tr>
      <w:tr w:rsidR="002203FB" w:rsidRPr="00B6039A" w14:paraId="01132A03" w14:textId="77777777" w:rsidTr="00520EBB">
        <w:trPr>
          <w:trHeight w:val="310"/>
        </w:trPr>
        <w:tc>
          <w:tcPr>
            <w:tcW w:w="846" w:type="dxa"/>
          </w:tcPr>
          <w:p w14:paraId="3E0EBFE3" w14:textId="77777777" w:rsidR="002203FB" w:rsidRPr="00B6039A" w:rsidRDefault="002203FB" w:rsidP="00520EBB">
            <w:pPr>
              <w:pStyle w:val="ListParagraph"/>
              <w:numPr>
                <w:ilvl w:val="0"/>
                <w:numId w:val="6"/>
              </w:numPr>
            </w:pPr>
          </w:p>
        </w:tc>
        <w:tc>
          <w:tcPr>
            <w:tcW w:w="4833" w:type="dxa"/>
          </w:tcPr>
          <w:p w14:paraId="56E4413A" w14:textId="77777777" w:rsidR="002203FB" w:rsidRPr="00B6039A" w:rsidRDefault="002203FB" w:rsidP="00E512B8">
            <w:pPr>
              <w:ind w:left="178" w:hanging="92"/>
            </w:pPr>
            <w:r w:rsidRPr="00B6039A">
              <w:t>Require the Ministry of Social Development to, within 2 years, complete work, including commissioning independent research and focus groups, to establish a minimum income standard for New Zealand (with 5-year reviews).</w:t>
            </w:r>
          </w:p>
        </w:tc>
        <w:tc>
          <w:tcPr>
            <w:tcW w:w="1260" w:type="dxa"/>
          </w:tcPr>
          <w:p w14:paraId="0DA73F24" w14:textId="77777777" w:rsidR="002203FB" w:rsidRPr="00B6039A" w:rsidRDefault="002203FB" w:rsidP="00684575">
            <w:pPr>
              <w:ind w:left="163" w:hanging="77"/>
            </w:pPr>
          </w:p>
        </w:tc>
        <w:tc>
          <w:tcPr>
            <w:tcW w:w="4230" w:type="dxa"/>
          </w:tcPr>
          <w:p w14:paraId="642DFF39" w14:textId="77777777" w:rsidR="002203FB" w:rsidRPr="00B6039A" w:rsidRDefault="002203FB" w:rsidP="00684575">
            <w:pPr>
              <w:ind w:left="178" w:firstLine="0"/>
            </w:pPr>
            <w:r w:rsidRPr="00B6039A">
              <w:t>The Government has reported that implementation of Key Recommendation 25 is part of its ‘medium and longer-term work programme’, stating that “further consideration of a minimum income standard is required”.</w:t>
            </w:r>
            <w:r w:rsidRPr="00B6039A">
              <w:rPr>
                <w:rStyle w:val="FootnoteReference"/>
              </w:rPr>
              <w:footnoteReference w:id="68"/>
            </w:r>
          </w:p>
        </w:tc>
        <w:tc>
          <w:tcPr>
            <w:tcW w:w="3826" w:type="dxa"/>
            <w:shd w:val="clear" w:color="auto" w:fill="FFA5A5"/>
          </w:tcPr>
          <w:p w14:paraId="53A521EC" w14:textId="6182DE42" w:rsidR="002203FB" w:rsidRPr="00B6039A" w:rsidRDefault="005E1481" w:rsidP="00684575">
            <w:pPr>
              <w:ind w:left="178" w:firstLine="0"/>
            </w:pPr>
            <w:r w:rsidRPr="00B6039A">
              <w:t>No evidence of implementation.</w:t>
            </w:r>
          </w:p>
        </w:tc>
      </w:tr>
      <w:tr w:rsidR="002203FB" w:rsidRPr="00B6039A" w14:paraId="03F7B3DA" w14:textId="77777777" w:rsidTr="00520EBB">
        <w:trPr>
          <w:trHeight w:val="310"/>
        </w:trPr>
        <w:tc>
          <w:tcPr>
            <w:tcW w:w="846" w:type="dxa"/>
          </w:tcPr>
          <w:p w14:paraId="573F6F4F" w14:textId="77777777" w:rsidR="002203FB" w:rsidRPr="00B6039A" w:rsidRDefault="002203FB" w:rsidP="00520EBB">
            <w:pPr>
              <w:pStyle w:val="ListParagraph"/>
              <w:numPr>
                <w:ilvl w:val="0"/>
                <w:numId w:val="6"/>
              </w:numPr>
            </w:pPr>
          </w:p>
        </w:tc>
        <w:tc>
          <w:tcPr>
            <w:tcW w:w="4833" w:type="dxa"/>
          </w:tcPr>
          <w:p w14:paraId="379E08B6" w14:textId="77777777" w:rsidR="002203FB" w:rsidRPr="00B6039A" w:rsidRDefault="002203FB" w:rsidP="00E512B8">
            <w:pPr>
              <w:ind w:left="178" w:hanging="92"/>
            </w:pPr>
            <w:r w:rsidRPr="00B6039A">
              <w:t xml:space="preserve">Increase, as soon as possible, overall income support to levels adequate for meaningful participation in the community, as defined by the minimum income standard (which reflects different family circumstances, for example, children, disabilities and regional area) and </w:t>
            </w:r>
            <w:r w:rsidRPr="00B6039A">
              <w:lastRenderedPageBreak/>
              <w:t>maintain this level of support through appropriate indexation.</w:t>
            </w:r>
          </w:p>
        </w:tc>
        <w:tc>
          <w:tcPr>
            <w:tcW w:w="1260" w:type="dxa"/>
          </w:tcPr>
          <w:p w14:paraId="44C0F958" w14:textId="77777777" w:rsidR="002203FB" w:rsidRPr="00B6039A" w:rsidRDefault="002203FB" w:rsidP="00684575">
            <w:pPr>
              <w:ind w:left="163" w:hanging="77"/>
            </w:pPr>
            <w:r w:rsidRPr="00B6039A">
              <w:lastRenderedPageBreak/>
              <w:t>Nil</w:t>
            </w:r>
          </w:p>
        </w:tc>
        <w:tc>
          <w:tcPr>
            <w:tcW w:w="4230" w:type="dxa"/>
          </w:tcPr>
          <w:p w14:paraId="3A2A8CE5" w14:textId="77777777" w:rsidR="002203FB" w:rsidRPr="00B6039A" w:rsidRDefault="002203FB" w:rsidP="00684575">
            <w:pPr>
              <w:ind w:left="178" w:firstLine="0"/>
            </w:pPr>
            <w:r w:rsidRPr="00B6039A">
              <w:t>The Government has reported that implementation of Key Recommendation 26 is part of its ‘medium and longer-term work programme’, stating that “further consideration of income support levels and indexation is required.”</w:t>
            </w:r>
            <w:r w:rsidRPr="00B6039A">
              <w:rPr>
                <w:rStyle w:val="FootnoteReference"/>
              </w:rPr>
              <w:footnoteReference w:id="69"/>
            </w:r>
          </w:p>
        </w:tc>
        <w:tc>
          <w:tcPr>
            <w:tcW w:w="3826" w:type="dxa"/>
            <w:shd w:val="clear" w:color="auto" w:fill="FFA5A5"/>
          </w:tcPr>
          <w:p w14:paraId="0D6C0490" w14:textId="24761FD4" w:rsidR="002203FB" w:rsidRPr="00B6039A" w:rsidRDefault="005E1481" w:rsidP="00684575">
            <w:pPr>
              <w:ind w:left="178" w:firstLine="0"/>
            </w:pPr>
            <w:r w:rsidRPr="00B6039A">
              <w:t>No evidence of implementation.</w:t>
            </w:r>
          </w:p>
        </w:tc>
      </w:tr>
      <w:tr w:rsidR="002203FB" w:rsidRPr="00B6039A" w14:paraId="68F2EE99" w14:textId="77777777" w:rsidTr="00520EBB">
        <w:trPr>
          <w:trHeight w:val="310"/>
        </w:trPr>
        <w:tc>
          <w:tcPr>
            <w:tcW w:w="846" w:type="dxa"/>
          </w:tcPr>
          <w:p w14:paraId="50BB53C3" w14:textId="77777777" w:rsidR="002203FB" w:rsidRPr="00B6039A" w:rsidRDefault="002203FB" w:rsidP="00520EBB">
            <w:pPr>
              <w:pStyle w:val="ListParagraph"/>
              <w:numPr>
                <w:ilvl w:val="0"/>
                <w:numId w:val="6"/>
              </w:numPr>
            </w:pPr>
          </w:p>
        </w:tc>
        <w:tc>
          <w:tcPr>
            <w:tcW w:w="4833" w:type="dxa"/>
          </w:tcPr>
          <w:p w14:paraId="3D894811" w14:textId="77777777" w:rsidR="002203FB" w:rsidRPr="00B6039A" w:rsidRDefault="002203FB" w:rsidP="00E512B8">
            <w:pPr>
              <w:ind w:left="178" w:hanging="92"/>
            </w:pPr>
            <w:r w:rsidRPr="00B6039A">
              <w:t>Pass on all child support collected to receiving carers, including for recipients of Unsupported Child’s Benefit.</w:t>
            </w:r>
          </w:p>
        </w:tc>
        <w:tc>
          <w:tcPr>
            <w:tcW w:w="1260" w:type="dxa"/>
          </w:tcPr>
          <w:p w14:paraId="569E810D" w14:textId="77777777" w:rsidR="002203FB" w:rsidRPr="00B6039A" w:rsidRDefault="002203FB" w:rsidP="00684575">
            <w:pPr>
              <w:ind w:left="163" w:hanging="77"/>
            </w:pPr>
            <w:r w:rsidRPr="00B6039A">
              <w:t>Nil</w:t>
            </w:r>
          </w:p>
        </w:tc>
        <w:tc>
          <w:tcPr>
            <w:tcW w:w="4230" w:type="dxa"/>
          </w:tcPr>
          <w:p w14:paraId="19C9B780" w14:textId="77777777" w:rsidR="002203FB" w:rsidRPr="00B6039A" w:rsidRDefault="002203FB" w:rsidP="00684575">
            <w:pPr>
              <w:ind w:left="178" w:firstLine="0"/>
            </w:pPr>
            <w:r w:rsidRPr="00B6039A">
              <w:t>The Government stated that “work is already underway on the inequity around child support for parents depending on whether or not they receive a main benefit”.</w:t>
            </w:r>
            <w:r w:rsidRPr="00B6039A">
              <w:rPr>
                <w:rStyle w:val="FootnoteReference"/>
              </w:rPr>
              <w:footnoteReference w:id="70"/>
            </w:r>
          </w:p>
        </w:tc>
        <w:tc>
          <w:tcPr>
            <w:tcW w:w="3826" w:type="dxa"/>
            <w:shd w:val="clear" w:color="auto" w:fill="FFA5A5"/>
          </w:tcPr>
          <w:p w14:paraId="6A9172ED" w14:textId="0F0E3087" w:rsidR="002203FB" w:rsidRPr="00B6039A" w:rsidRDefault="005E1481" w:rsidP="00684575">
            <w:pPr>
              <w:ind w:left="178" w:firstLine="0"/>
            </w:pPr>
            <w:r w:rsidRPr="00B6039A">
              <w:t>No evidence of implementation.</w:t>
            </w:r>
          </w:p>
        </w:tc>
      </w:tr>
      <w:tr w:rsidR="002203FB" w:rsidRPr="00B6039A" w14:paraId="637EDE62" w14:textId="77777777" w:rsidTr="00520EBB">
        <w:trPr>
          <w:trHeight w:val="310"/>
        </w:trPr>
        <w:tc>
          <w:tcPr>
            <w:tcW w:w="846" w:type="dxa"/>
          </w:tcPr>
          <w:p w14:paraId="4AB85120" w14:textId="77777777" w:rsidR="002203FB" w:rsidRPr="00B6039A" w:rsidRDefault="002203FB" w:rsidP="00520EBB">
            <w:pPr>
              <w:pStyle w:val="ListParagraph"/>
              <w:numPr>
                <w:ilvl w:val="0"/>
                <w:numId w:val="6"/>
              </w:numPr>
            </w:pPr>
          </w:p>
        </w:tc>
        <w:tc>
          <w:tcPr>
            <w:tcW w:w="4833" w:type="dxa"/>
          </w:tcPr>
          <w:p w14:paraId="1C0D27E5" w14:textId="77777777" w:rsidR="002203FB" w:rsidRPr="00B6039A" w:rsidRDefault="002203FB" w:rsidP="00E512B8">
            <w:pPr>
              <w:ind w:left="178" w:hanging="92"/>
            </w:pPr>
            <w:r w:rsidRPr="00B6039A">
              <w:t>Move income support settings over time to be more neutral on the impact of being in a relationship in the nature of marriage.</w:t>
            </w:r>
          </w:p>
        </w:tc>
        <w:tc>
          <w:tcPr>
            <w:tcW w:w="1260" w:type="dxa"/>
          </w:tcPr>
          <w:p w14:paraId="3FC04BEA" w14:textId="509DB0B7" w:rsidR="002203FB" w:rsidRPr="00B6039A" w:rsidRDefault="00684575" w:rsidP="00684575">
            <w:pPr>
              <w:ind w:left="163" w:hanging="77"/>
            </w:pPr>
            <w:r w:rsidRPr="00B6039A">
              <w:t>Detailed Recs</w:t>
            </w:r>
            <w:r w:rsidR="002203FB" w:rsidRPr="00B6039A">
              <w:t xml:space="preserve"> 62-65 (see </w:t>
            </w:r>
            <w:r w:rsidR="0029286F" w:rsidRPr="00B6039A">
              <w:t>Table 4</w:t>
            </w:r>
            <w:r w:rsidR="002203FB" w:rsidRPr="00B6039A">
              <w:t>).</w:t>
            </w:r>
          </w:p>
        </w:tc>
        <w:tc>
          <w:tcPr>
            <w:tcW w:w="4230" w:type="dxa"/>
          </w:tcPr>
          <w:p w14:paraId="4F2D3409" w14:textId="77777777" w:rsidR="002203FB" w:rsidRPr="00B6039A" w:rsidRDefault="002203FB" w:rsidP="00684575">
            <w:pPr>
              <w:ind w:left="178" w:firstLine="0"/>
            </w:pPr>
            <w:r w:rsidRPr="00B6039A">
              <w:t>The Government has reported that implementation of Key Recommendation 28 is part of its ‘medium and longer-term work programme’, stating that “this will be considered as part of the further advice on income support settings”.</w:t>
            </w:r>
            <w:r w:rsidRPr="00B6039A">
              <w:rPr>
                <w:rStyle w:val="FootnoteReference"/>
              </w:rPr>
              <w:footnoteReference w:id="71"/>
            </w:r>
          </w:p>
        </w:tc>
        <w:tc>
          <w:tcPr>
            <w:tcW w:w="3826" w:type="dxa"/>
            <w:shd w:val="clear" w:color="auto" w:fill="FFA5A5"/>
          </w:tcPr>
          <w:p w14:paraId="143229EB" w14:textId="78014353" w:rsidR="002203FB" w:rsidRPr="00B6039A" w:rsidRDefault="005E1481" w:rsidP="00684575">
            <w:pPr>
              <w:ind w:left="178" w:firstLine="0"/>
            </w:pPr>
            <w:r w:rsidRPr="00B6039A">
              <w:t>No evidence of implementation.</w:t>
            </w:r>
          </w:p>
        </w:tc>
      </w:tr>
      <w:tr w:rsidR="002203FB" w:rsidRPr="00B6039A" w14:paraId="3DDC7957" w14:textId="77777777" w:rsidTr="00520EBB">
        <w:trPr>
          <w:trHeight w:val="310"/>
        </w:trPr>
        <w:tc>
          <w:tcPr>
            <w:tcW w:w="846" w:type="dxa"/>
          </w:tcPr>
          <w:p w14:paraId="1526306B" w14:textId="77777777" w:rsidR="002203FB" w:rsidRPr="00B6039A" w:rsidRDefault="002203FB" w:rsidP="00520EBB">
            <w:pPr>
              <w:pStyle w:val="ListParagraph"/>
              <w:numPr>
                <w:ilvl w:val="0"/>
                <w:numId w:val="6"/>
              </w:numPr>
            </w:pPr>
          </w:p>
        </w:tc>
        <w:tc>
          <w:tcPr>
            <w:tcW w:w="4833" w:type="dxa"/>
          </w:tcPr>
          <w:p w14:paraId="751C320A" w14:textId="77777777" w:rsidR="002203FB" w:rsidRPr="00B6039A" w:rsidRDefault="002203FB" w:rsidP="00520EBB">
            <w:r w:rsidRPr="00B6039A">
              <w:t>Urgently expand and accelerate Government efforts to substantially increase public housing on an industrial scale and continue urgent efforts to end homelessness.</w:t>
            </w:r>
          </w:p>
        </w:tc>
        <w:tc>
          <w:tcPr>
            <w:tcW w:w="1260" w:type="dxa"/>
          </w:tcPr>
          <w:p w14:paraId="55B89A2D" w14:textId="77777777" w:rsidR="002203FB" w:rsidRPr="00B6039A" w:rsidRDefault="002203FB" w:rsidP="00684575">
            <w:pPr>
              <w:ind w:left="163" w:hanging="77"/>
            </w:pPr>
            <w:r w:rsidRPr="00B6039A">
              <w:t>Nil</w:t>
            </w:r>
          </w:p>
        </w:tc>
        <w:tc>
          <w:tcPr>
            <w:tcW w:w="4230" w:type="dxa"/>
          </w:tcPr>
          <w:p w14:paraId="25FF8398" w14:textId="77777777" w:rsidR="002203FB" w:rsidRPr="00B6039A" w:rsidRDefault="002203FB" w:rsidP="00684575">
            <w:pPr>
              <w:ind w:left="178" w:firstLine="0"/>
            </w:pPr>
            <w:r w:rsidRPr="00B6039A">
              <w:t>The Government has stated that work is ‘already underway’ to address Key Recommendation 29.</w:t>
            </w:r>
            <w:r w:rsidRPr="00B6039A">
              <w:rPr>
                <w:rStyle w:val="FootnoteReference"/>
              </w:rPr>
              <w:footnoteReference w:id="72"/>
            </w:r>
            <w:r w:rsidRPr="00B6039A">
              <w:t xml:space="preserve"> It stated, “There have been a range of initiatives implemented to begin to address housing need in our communities, including more public housing, expanding and strengthening the Housing First programme, more Transitional Housing places throughout New Zealand, and initiatives to fill urgent gaps in our current system of support to prevent and respond to homelessness.”</w:t>
            </w:r>
            <w:r w:rsidRPr="00B6039A">
              <w:rPr>
                <w:rStyle w:val="FootnoteReference"/>
              </w:rPr>
              <w:footnoteReference w:id="73"/>
            </w:r>
          </w:p>
        </w:tc>
        <w:tc>
          <w:tcPr>
            <w:tcW w:w="3826" w:type="dxa"/>
            <w:shd w:val="clear" w:color="auto" w:fill="FFE599" w:themeFill="accent4" w:themeFillTint="66"/>
          </w:tcPr>
          <w:p w14:paraId="5668307D" w14:textId="77777777" w:rsidR="002203FB" w:rsidRPr="00B6039A" w:rsidRDefault="002203FB" w:rsidP="00E512B8">
            <w:pPr>
              <w:spacing w:after="120"/>
              <w:ind w:left="176" w:firstLine="0"/>
            </w:pPr>
            <w:r w:rsidRPr="00B6039A">
              <w:t xml:space="preserve">Partially implemented. </w:t>
            </w:r>
          </w:p>
          <w:p w14:paraId="1A1B0C5F" w14:textId="4F23C96D" w:rsidR="00C35B4C" w:rsidRPr="00B6039A" w:rsidRDefault="002203FB" w:rsidP="00E512B8">
            <w:pPr>
              <w:spacing w:after="120"/>
              <w:ind w:left="176" w:firstLine="0"/>
            </w:pPr>
            <w:r w:rsidRPr="00B6039A">
              <w:t xml:space="preserve">The Government has </w:t>
            </w:r>
            <w:r w:rsidR="00C35B4C" w:rsidRPr="00B6039A">
              <w:t>urgently expanded and accelerat</w:t>
            </w:r>
            <w:r w:rsidR="00DD3C7E" w:rsidRPr="00B6039A">
              <w:t>ed the building of state houses</w:t>
            </w:r>
            <w:r w:rsidR="00C35B4C" w:rsidRPr="00B6039A">
              <w:t>:</w:t>
            </w:r>
            <w:r w:rsidRPr="00B6039A">
              <w:t xml:space="preserve"> 3,558 state houses </w:t>
            </w:r>
            <w:r w:rsidR="00C35B4C" w:rsidRPr="00B6039A">
              <w:t xml:space="preserve">built </w:t>
            </w:r>
            <w:r w:rsidRPr="00B6039A">
              <w:t>since June 2018,</w:t>
            </w:r>
            <w:r w:rsidRPr="00B6039A">
              <w:rPr>
                <w:rStyle w:val="FootnoteReference"/>
              </w:rPr>
              <w:t xml:space="preserve"> </w:t>
            </w:r>
            <w:r w:rsidRPr="00B6039A">
              <w:rPr>
                <w:rStyle w:val="FootnoteReference"/>
              </w:rPr>
              <w:footnoteReference w:id="74"/>
            </w:r>
            <w:r w:rsidRPr="00B6039A">
              <w:t xml:space="preserve"> which places it on track to meet its target of 6,400 in four years.</w:t>
            </w:r>
            <w:r w:rsidRPr="00B6039A">
              <w:rPr>
                <w:rStyle w:val="FootnoteReference"/>
              </w:rPr>
              <w:footnoteReference w:id="75"/>
            </w:r>
            <w:r w:rsidRPr="00B6039A">
              <w:t xml:space="preserve"> </w:t>
            </w:r>
          </w:p>
          <w:p w14:paraId="3B74DCB2" w14:textId="6E2EF287" w:rsidR="002203FB" w:rsidRPr="00B6039A" w:rsidRDefault="002203FB" w:rsidP="00E512B8">
            <w:pPr>
              <w:spacing w:after="120"/>
              <w:ind w:left="176" w:firstLine="0"/>
            </w:pPr>
            <w:r w:rsidRPr="00B6039A">
              <w:t>However, given that the public housing wait list was at 19,438 at the end of July 2020,</w:t>
            </w:r>
            <w:r w:rsidRPr="00B6039A">
              <w:rPr>
                <w:rStyle w:val="FootnoteReference"/>
              </w:rPr>
              <w:footnoteReference w:id="76"/>
            </w:r>
            <w:r w:rsidRPr="00B6039A">
              <w:t xml:space="preserve"> the scale of </w:t>
            </w:r>
            <w:r w:rsidRPr="00B6039A">
              <w:lastRenderedPageBreak/>
              <w:t>building is disproportionately low compared to the scale of need.</w:t>
            </w:r>
          </w:p>
          <w:p w14:paraId="6DE323AC" w14:textId="77777777" w:rsidR="002203FB" w:rsidRPr="00B6039A" w:rsidRDefault="002203FB" w:rsidP="00E512B8">
            <w:pPr>
              <w:spacing w:after="120"/>
              <w:ind w:left="176" w:firstLine="0"/>
            </w:pPr>
            <w:r w:rsidRPr="00B6039A">
              <w:t>The Government released a cross-agency Homelessness Action Plan backed by $300 million of new government funding.</w:t>
            </w:r>
            <w:r w:rsidRPr="00B6039A">
              <w:rPr>
                <w:rStyle w:val="FootnoteReference"/>
              </w:rPr>
              <w:footnoteReference w:id="77"/>
            </w:r>
            <w:r w:rsidRPr="00B6039A">
              <w:t xml:space="preserve"> This includes 1,000 additional transitional housing places by the end of 2020 and funding housing supply delivered by Māori. However, as the Plan itself highlights, preventing homelessness also requires efforts to improve the ability of individuals and </w:t>
            </w:r>
            <w:proofErr w:type="spellStart"/>
            <w:r w:rsidRPr="00B6039A">
              <w:t>whānau</w:t>
            </w:r>
            <w:proofErr w:type="spellEnd"/>
            <w:r w:rsidRPr="00B6039A">
              <w:t xml:space="preserve"> to afford rents in the private market.</w:t>
            </w:r>
            <w:r w:rsidRPr="00B6039A">
              <w:rPr>
                <w:rStyle w:val="FootnoteReference"/>
              </w:rPr>
              <w:footnoteReference w:id="78"/>
            </w:r>
            <w:r w:rsidRPr="00B6039A">
              <w:t xml:space="preserve"> There is significant work yet to be done in ensuring private rentals are affordable.</w:t>
            </w:r>
          </w:p>
        </w:tc>
      </w:tr>
      <w:tr w:rsidR="002203FB" w:rsidRPr="00B6039A" w14:paraId="2E96C422" w14:textId="77777777" w:rsidTr="00520EBB">
        <w:trPr>
          <w:trHeight w:val="310"/>
        </w:trPr>
        <w:tc>
          <w:tcPr>
            <w:tcW w:w="846" w:type="dxa"/>
          </w:tcPr>
          <w:p w14:paraId="4E27E22F" w14:textId="77777777" w:rsidR="002203FB" w:rsidRPr="00B6039A" w:rsidRDefault="002203FB" w:rsidP="00520EBB">
            <w:pPr>
              <w:pStyle w:val="ListParagraph"/>
              <w:numPr>
                <w:ilvl w:val="0"/>
                <w:numId w:val="6"/>
              </w:numPr>
            </w:pPr>
          </w:p>
        </w:tc>
        <w:tc>
          <w:tcPr>
            <w:tcW w:w="4833" w:type="dxa"/>
          </w:tcPr>
          <w:p w14:paraId="6B1D0E45" w14:textId="77777777" w:rsidR="002203FB" w:rsidRPr="00B6039A" w:rsidRDefault="002203FB" w:rsidP="00520EBB">
            <w:r w:rsidRPr="00B6039A">
              <w:t>Increase the range of home ownership and tenure options for people on low and low–middle incomes.</w:t>
            </w:r>
          </w:p>
        </w:tc>
        <w:tc>
          <w:tcPr>
            <w:tcW w:w="1260" w:type="dxa"/>
          </w:tcPr>
          <w:p w14:paraId="54B96E2B" w14:textId="7B9585AC" w:rsidR="002203FB" w:rsidRPr="00B6039A" w:rsidRDefault="00684575" w:rsidP="00684575">
            <w:pPr>
              <w:ind w:left="163" w:hanging="77"/>
            </w:pPr>
            <w:r w:rsidRPr="00B6039A">
              <w:t>Detailed Recs</w:t>
            </w:r>
            <w:r w:rsidR="002203FB" w:rsidRPr="00B6039A">
              <w:t xml:space="preserve"> 85-87 (see </w:t>
            </w:r>
            <w:r w:rsidR="0029286F" w:rsidRPr="00B6039A">
              <w:t>Table 4</w:t>
            </w:r>
            <w:r w:rsidR="002203FB" w:rsidRPr="00B6039A">
              <w:t xml:space="preserve">). </w:t>
            </w:r>
          </w:p>
        </w:tc>
        <w:tc>
          <w:tcPr>
            <w:tcW w:w="4230" w:type="dxa"/>
          </w:tcPr>
          <w:p w14:paraId="68C44042" w14:textId="77777777" w:rsidR="002203FB" w:rsidRPr="00B6039A" w:rsidRDefault="002203FB" w:rsidP="00684575">
            <w:pPr>
              <w:ind w:left="178" w:firstLine="0"/>
            </w:pPr>
            <w:r w:rsidRPr="00B6039A">
              <w:t>The Government has stated that partial implementation of Key Recommendation 30 is being ‘actively considered’.</w:t>
            </w:r>
            <w:r w:rsidRPr="00B6039A">
              <w:rPr>
                <w:rStyle w:val="FootnoteReference"/>
              </w:rPr>
              <w:footnoteReference w:id="79"/>
            </w:r>
            <w:r w:rsidRPr="00B6039A">
              <w:t xml:space="preserve"> In Nov 2019 it stated that “the Government has recently announced the housing reset which includes new ways for people to become home owners”.</w:t>
            </w:r>
            <w:r w:rsidRPr="00B6039A">
              <w:rPr>
                <w:rStyle w:val="FootnoteReference"/>
              </w:rPr>
              <w:footnoteReference w:id="80"/>
            </w:r>
          </w:p>
        </w:tc>
        <w:tc>
          <w:tcPr>
            <w:tcW w:w="3826" w:type="dxa"/>
            <w:shd w:val="clear" w:color="auto" w:fill="F7CAAC" w:themeFill="accent2" w:themeFillTint="66"/>
          </w:tcPr>
          <w:p w14:paraId="4BE21F9C" w14:textId="42FF2E78" w:rsidR="002203FB" w:rsidRPr="00B6039A" w:rsidRDefault="007E21B5" w:rsidP="00684575">
            <w:pPr>
              <w:ind w:left="178" w:firstLine="0"/>
            </w:pPr>
            <w:r w:rsidRPr="00B6039A">
              <w:t>Minimally</w:t>
            </w:r>
            <w:r w:rsidR="002203FB" w:rsidRPr="00B6039A">
              <w:t xml:space="preserve"> implemented.</w:t>
            </w:r>
          </w:p>
          <w:p w14:paraId="3CE37246" w14:textId="77777777" w:rsidR="002203FB" w:rsidRPr="00B6039A" w:rsidRDefault="002203FB" w:rsidP="00684575">
            <w:pPr>
              <w:ind w:left="178" w:firstLine="0"/>
            </w:pPr>
          </w:p>
          <w:p w14:paraId="7CA3AFA8" w14:textId="1A41F9C8" w:rsidR="002203FB" w:rsidRPr="00B6039A" w:rsidRDefault="002203FB" w:rsidP="00E512B8">
            <w:pPr>
              <w:spacing w:after="120"/>
              <w:ind w:left="176" w:firstLine="0"/>
            </w:pPr>
            <w:r w:rsidRPr="00B6039A">
              <w:t>The Government expects that the Progressive Home Ownership scheme will help between 1,500 and 4,000 households, with priority given to Māori, Pacific peoples, and families with children.</w:t>
            </w:r>
            <w:r w:rsidRPr="00B6039A">
              <w:rPr>
                <w:rStyle w:val="FootnoteReference"/>
              </w:rPr>
              <w:footnoteReference w:id="81"/>
            </w:r>
            <w:r w:rsidRPr="00B6039A">
              <w:t xml:space="preserve"> </w:t>
            </w:r>
            <w:r w:rsidR="00C35B4C" w:rsidRPr="00B6039A">
              <w:t>However, this is inadequate g</w:t>
            </w:r>
            <w:r w:rsidRPr="00B6039A">
              <w:t xml:space="preserve">iven the scale of the housing crisis, </w:t>
            </w:r>
            <w:r w:rsidR="00C35B4C" w:rsidRPr="00B6039A">
              <w:t xml:space="preserve">and the extent of </w:t>
            </w:r>
            <w:r w:rsidR="00C35B4C" w:rsidRPr="00B6039A">
              <w:lastRenderedPageBreak/>
              <w:t>inequity for Māori and Pacific peoples</w:t>
            </w:r>
            <w:r w:rsidR="007E21B5" w:rsidRPr="00B6039A">
              <w:t>. S</w:t>
            </w:r>
            <w:r w:rsidRPr="00B6039A">
              <w:t xml:space="preserve">ignificant work remains </w:t>
            </w:r>
            <w:r w:rsidR="00C35B4C" w:rsidRPr="00B6039A">
              <w:t xml:space="preserve">to be done </w:t>
            </w:r>
            <w:r w:rsidRPr="00B6039A">
              <w:t xml:space="preserve">to ensure home ownership is affordable for more New Zealanders. </w:t>
            </w:r>
          </w:p>
        </w:tc>
      </w:tr>
      <w:tr w:rsidR="002203FB" w:rsidRPr="00B6039A" w14:paraId="2C85D91F" w14:textId="77777777" w:rsidTr="00520EBB">
        <w:trPr>
          <w:trHeight w:val="310"/>
        </w:trPr>
        <w:tc>
          <w:tcPr>
            <w:tcW w:w="846" w:type="dxa"/>
          </w:tcPr>
          <w:p w14:paraId="68EF08D1" w14:textId="77777777" w:rsidR="002203FB" w:rsidRPr="00B6039A" w:rsidRDefault="002203FB" w:rsidP="00520EBB">
            <w:pPr>
              <w:pStyle w:val="ListParagraph"/>
              <w:numPr>
                <w:ilvl w:val="0"/>
                <w:numId w:val="6"/>
              </w:numPr>
            </w:pPr>
          </w:p>
        </w:tc>
        <w:tc>
          <w:tcPr>
            <w:tcW w:w="4833" w:type="dxa"/>
          </w:tcPr>
          <w:p w14:paraId="35322A2B" w14:textId="77777777" w:rsidR="002203FB" w:rsidRPr="00B6039A" w:rsidRDefault="002203FB" w:rsidP="00520EBB">
            <w:r w:rsidRPr="00B6039A">
              <w:t>Increase the capacity of third-sector community-based housing providers.</w:t>
            </w:r>
          </w:p>
        </w:tc>
        <w:tc>
          <w:tcPr>
            <w:tcW w:w="1260" w:type="dxa"/>
          </w:tcPr>
          <w:p w14:paraId="60889134" w14:textId="77777777" w:rsidR="002203FB" w:rsidRPr="00B6039A" w:rsidRDefault="002203FB" w:rsidP="00684575">
            <w:pPr>
              <w:ind w:left="163" w:hanging="77"/>
            </w:pPr>
            <w:r w:rsidRPr="00B6039A">
              <w:t>Nil</w:t>
            </w:r>
          </w:p>
        </w:tc>
        <w:tc>
          <w:tcPr>
            <w:tcW w:w="4230" w:type="dxa"/>
          </w:tcPr>
          <w:p w14:paraId="72377312" w14:textId="77777777" w:rsidR="002203FB" w:rsidRPr="00B6039A" w:rsidRDefault="002203FB" w:rsidP="00E512B8">
            <w:pPr>
              <w:spacing w:after="120"/>
              <w:ind w:left="176" w:firstLine="0"/>
            </w:pPr>
            <w:r w:rsidRPr="00B6039A">
              <w:t>The Government has stated that consideration of Key Recommendation 31 is part of another government review or policy programme.</w:t>
            </w:r>
            <w:r w:rsidRPr="00B6039A">
              <w:rPr>
                <w:rStyle w:val="FootnoteReference"/>
              </w:rPr>
              <w:footnoteReference w:id="82"/>
            </w:r>
            <w:r w:rsidRPr="00B6039A">
              <w:t xml:space="preserve"> It stated that “there have been a range of initiatives implemented to begin to address housing need in our communities, including more public housing, expanding and strengthening the Housing First programme, more Transitional Housing places throughout New Zealand, and initiatives to fill urgent gaps in our current system of support to prevent and respond to homelessness.”</w:t>
            </w:r>
          </w:p>
        </w:tc>
        <w:tc>
          <w:tcPr>
            <w:tcW w:w="3826" w:type="dxa"/>
            <w:shd w:val="clear" w:color="auto" w:fill="FFA5A5"/>
          </w:tcPr>
          <w:p w14:paraId="54466B0E" w14:textId="5F91F29D" w:rsidR="002203FB" w:rsidRPr="00B6039A" w:rsidRDefault="005E1481" w:rsidP="00684575">
            <w:pPr>
              <w:ind w:left="178" w:firstLine="0"/>
            </w:pPr>
            <w:r w:rsidRPr="00B6039A">
              <w:t>No evidence of implementation.</w:t>
            </w:r>
          </w:p>
        </w:tc>
      </w:tr>
      <w:tr w:rsidR="002203FB" w:rsidRPr="00B6039A" w14:paraId="68C3BCA2" w14:textId="77777777" w:rsidTr="00520EBB">
        <w:trPr>
          <w:trHeight w:val="310"/>
        </w:trPr>
        <w:tc>
          <w:tcPr>
            <w:tcW w:w="846" w:type="dxa"/>
          </w:tcPr>
          <w:p w14:paraId="25E7365B" w14:textId="77777777" w:rsidR="002203FB" w:rsidRPr="00B6039A" w:rsidRDefault="002203FB" w:rsidP="00520EBB">
            <w:pPr>
              <w:pStyle w:val="ListParagraph"/>
              <w:numPr>
                <w:ilvl w:val="0"/>
                <w:numId w:val="6"/>
              </w:numPr>
            </w:pPr>
          </w:p>
        </w:tc>
        <w:tc>
          <w:tcPr>
            <w:tcW w:w="4833" w:type="dxa"/>
          </w:tcPr>
          <w:p w14:paraId="321D0E76" w14:textId="77777777" w:rsidR="002203FB" w:rsidRPr="00B6039A" w:rsidRDefault="002203FB" w:rsidP="00520EBB">
            <w:r w:rsidRPr="00B6039A">
              <w:t>Develop and enact laws and regulations to ensure healthy homes and housing security, decent standards of housing quality, universal design, and accessibility.</w:t>
            </w:r>
          </w:p>
        </w:tc>
        <w:tc>
          <w:tcPr>
            <w:tcW w:w="1260" w:type="dxa"/>
          </w:tcPr>
          <w:p w14:paraId="1FC090B2" w14:textId="77777777" w:rsidR="002203FB" w:rsidRPr="00B6039A" w:rsidRDefault="002203FB" w:rsidP="00684575">
            <w:pPr>
              <w:ind w:left="163" w:hanging="77"/>
            </w:pPr>
            <w:r w:rsidRPr="00B6039A">
              <w:t>Nil</w:t>
            </w:r>
          </w:p>
        </w:tc>
        <w:tc>
          <w:tcPr>
            <w:tcW w:w="4230" w:type="dxa"/>
          </w:tcPr>
          <w:p w14:paraId="397BCF9C" w14:textId="77777777" w:rsidR="002203FB" w:rsidRPr="00B6039A" w:rsidRDefault="002203FB" w:rsidP="00E512B8">
            <w:pPr>
              <w:spacing w:before="120"/>
              <w:ind w:left="176" w:firstLine="0"/>
            </w:pPr>
            <w:r w:rsidRPr="00B6039A">
              <w:t>The Government has stated that implementation of Key Recommendation 32 is underway.</w:t>
            </w:r>
            <w:r w:rsidRPr="00B6039A">
              <w:rPr>
                <w:rStyle w:val="FootnoteReference"/>
              </w:rPr>
              <w:footnoteReference w:id="83"/>
            </w:r>
            <w:r w:rsidRPr="00B6039A">
              <w:t xml:space="preserve"> It reported that “This Government introduced the Healthy Homes Guarantee Act 2017 and the Healthy Homes Standards and work is progressing on the Residential Tenancies Act 1986”.</w:t>
            </w:r>
            <w:r w:rsidRPr="00B6039A">
              <w:rPr>
                <w:rStyle w:val="FootnoteReference"/>
              </w:rPr>
              <w:footnoteReference w:id="84"/>
            </w:r>
          </w:p>
        </w:tc>
        <w:tc>
          <w:tcPr>
            <w:tcW w:w="3826" w:type="dxa"/>
            <w:shd w:val="clear" w:color="auto" w:fill="FFE599" w:themeFill="accent4" w:themeFillTint="66"/>
          </w:tcPr>
          <w:p w14:paraId="5DD8706E" w14:textId="77777777" w:rsidR="002203FB" w:rsidRPr="00B6039A" w:rsidRDefault="002203FB" w:rsidP="00684575">
            <w:pPr>
              <w:ind w:left="178" w:firstLine="0"/>
            </w:pPr>
            <w:r w:rsidRPr="00B6039A">
              <w:t>Partially implemented.</w:t>
            </w:r>
          </w:p>
          <w:p w14:paraId="535E2738" w14:textId="77777777" w:rsidR="002203FB" w:rsidRPr="00B6039A" w:rsidRDefault="002203FB" w:rsidP="00684575">
            <w:pPr>
              <w:ind w:left="178" w:firstLine="0"/>
            </w:pPr>
          </w:p>
          <w:p w14:paraId="5E136177" w14:textId="77777777" w:rsidR="002203FB" w:rsidRPr="00B6039A" w:rsidRDefault="002203FB" w:rsidP="00684575">
            <w:pPr>
              <w:ind w:left="178" w:firstLine="0"/>
            </w:pPr>
            <w:r w:rsidRPr="00B6039A">
              <w:t xml:space="preserve">Changes have made incremental improvements to protect tenants, however further work is needed to tighten regulations to ensure people have access to accessible, healthy homes. </w:t>
            </w:r>
          </w:p>
          <w:p w14:paraId="288EEF12" w14:textId="77777777" w:rsidR="002203FB" w:rsidRPr="00B6039A" w:rsidRDefault="002203FB" w:rsidP="00684575">
            <w:pPr>
              <w:ind w:left="178" w:firstLine="0"/>
            </w:pPr>
          </w:p>
          <w:p w14:paraId="0E763B0B" w14:textId="77777777" w:rsidR="002203FB" w:rsidRPr="00B6039A" w:rsidRDefault="002203FB" w:rsidP="00E512B8">
            <w:pPr>
              <w:spacing w:after="120"/>
              <w:ind w:left="176" w:firstLine="0"/>
            </w:pPr>
            <w:r w:rsidRPr="00B6039A">
              <w:lastRenderedPageBreak/>
              <w:t>The 2017 Healthy Homes Guarantee Act sets heating and insulation requirements. In August 2020 the Residential Tenancies Amendment Act came into force. This amendment means that rent increases are limited to once every 12 months.</w:t>
            </w:r>
            <w:r w:rsidRPr="00B6039A">
              <w:rPr>
                <w:rStyle w:val="FootnoteReference"/>
              </w:rPr>
              <w:footnoteReference w:id="85"/>
            </w:r>
            <w:r w:rsidRPr="00B6039A">
              <w:t xml:space="preserve"> Further changes apply from 11 February 2021, including preventing landlords from ending a periodic tenancy without 90 days’ notice, and banning rental bidding. A temporary rent increase freeze was applied in 2020 due to the Covid-19 outbreak, but was lifted on 25 September.</w:t>
            </w:r>
            <w:r w:rsidRPr="00B6039A">
              <w:rPr>
                <w:rStyle w:val="FootnoteReference"/>
              </w:rPr>
              <w:footnoteReference w:id="86"/>
            </w:r>
          </w:p>
        </w:tc>
      </w:tr>
      <w:tr w:rsidR="002203FB" w:rsidRPr="00B6039A" w14:paraId="1954CC08" w14:textId="77777777" w:rsidTr="00520EBB">
        <w:trPr>
          <w:trHeight w:val="310"/>
        </w:trPr>
        <w:tc>
          <w:tcPr>
            <w:tcW w:w="846" w:type="dxa"/>
          </w:tcPr>
          <w:p w14:paraId="38287010" w14:textId="77777777" w:rsidR="002203FB" w:rsidRPr="00B6039A" w:rsidRDefault="002203FB" w:rsidP="00520EBB">
            <w:pPr>
              <w:pStyle w:val="ListParagraph"/>
              <w:numPr>
                <w:ilvl w:val="0"/>
                <w:numId w:val="6"/>
              </w:numPr>
            </w:pPr>
          </w:p>
        </w:tc>
        <w:tc>
          <w:tcPr>
            <w:tcW w:w="4833" w:type="dxa"/>
          </w:tcPr>
          <w:p w14:paraId="025FEE28" w14:textId="77777777" w:rsidR="002203FB" w:rsidRPr="00B6039A" w:rsidRDefault="002203FB" w:rsidP="00E512B8">
            <w:pPr>
              <w:ind w:left="178" w:hanging="92"/>
            </w:pPr>
            <w:r w:rsidRPr="00B6039A">
              <w:t>Subsidise housing costs for people on low incomes (in addition to raising main benefit rates to provide an adequate income) and ensure the combination of changes to housing support and abatement rates make households better off.</w:t>
            </w:r>
          </w:p>
        </w:tc>
        <w:tc>
          <w:tcPr>
            <w:tcW w:w="1260" w:type="dxa"/>
          </w:tcPr>
          <w:p w14:paraId="35402DED" w14:textId="77777777" w:rsidR="002203FB" w:rsidRPr="00B6039A" w:rsidRDefault="002203FB" w:rsidP="00684575">
            <w:pPr>
              <w:ind w:left="163" w:hanging="77"/>
            </w:pPr>
            <w:r w:rsidRPr="00B6039A">
              <w:t>Nil</w:t>
            </w:r>
          </w:p>
        </w:tc>
        <w:tc>
          <w:tcPr>
            <w:tcW w:w="4230" w:type="dxa"/>
          </w:tcPr>
          <w:p w14:paraId="7A2EBC2E" w14:textId="77777777" w:rsidR="002203FB" w:rsidRPr="00B6039A" w:rsidRDefault="002203FB" w:rsidP="00E512B8">
            <w:pPr>
              <w:spacing w:before="120" w:after="120"/>
              <w:ind w:left="176" w:firstLine="0"/>
            </w:pPr>
            <w:r w:rsidRPr="00B6039A">
              <w:t>The Government has stated that Key Recommendation 33 is part of its ‘medium to longer-term work programme’.</w:t>
            </w:r>
            <w:r w:rsidRPr="00B6039A">
              <w:rPr>
                <w:rStyle w:val="FootnoteReference"/>
              </w:rPr>
              <w:footnoteReference w:id="87"/>
            </w:r>
            <w:r w:rsidRPr="00B6039A">
              <w:t xml:space="preserve"> It reported that “the Minister for Housing will be undertaking further work to consider the WEAG recommendations”.</w:t>
            </w:r>
            <w:r w:rsidRPr="00B6039A">
              <w:rPr>
                <w:rStyle w:val="FootnoteReference"/>
              </w:rPr>
              <w:footnoteReference w:id="88"/>
            </w:r>
          </w:p>
        </w:tc>
        <w:tc>
          <w:tcPr>
            <w:tcW w:w="3826" w:type="dxa"/>
            <w:shd w:val="clear" w:color="auto" w:fill="FFA5A5"/>
          </w:tcPr>
          <w:p w14:paraId="6DF634CF" w14:textId="361F96F4" w:rsidR="002203FB" w:rsidRPr="00B6039A" w:rsidRDefault="005E1481" w:rsidP="00684575">
            <w:pPr>
              <w:ind w:left="178" w:firstLine="0"/>
            </w:pPr>
            <w:r w:rsidRPr="00B6039A">
              <w:t>No evidence of implementation.</w:t>
            </w:r>
          </w:p>
        </w:tc>
      </w:tr>
      <w:tr w:rsidR="002203FB" w:rsidRPr="00B6039A" w14:paraId="1BFF4261" w14:textId="77777777" w:rsidTr="00520EBB">
        <w:trPr>
          <w:trHeight w:val="310"/>
        </w:trPr>
        <w:tc>
          <w:tcPr>
            <w:tcW w:w="846" w:type="dxa"/>
          </w:tcPr>
          <w:p w14:paraId="652418DC" w14:textId="77777777" w:rsidR="002203FB" w:rsidRPr="00B6039A" w:rsidRDefault="002203FB" w:rsidP="00520EBB">
            <w:pPr>
              <w:pStyle w:val="ListParagraph"/>
              <w:numPr>
                <w:ilvl w:val="0"/>
                <w:numId w:val="6"/>
              </w:numPr>
            </w:pPr>
          </w:p>
        </w:tc>
        <w:tc>
          <w:tcPr>
            <w:tcW w:w="4833" w:type="dxa"/>
          </w:tcPr>
          <w:p w14:paraId="34DA947A" w14:textId="77777777" w:rsidR="002203FB" w:rsidRPr="00B6039A" w:rsidRDefault="002203FB" w:rsidP="00E512B8">
            <w:pPr>
              <w:ind w:left="178" w:hanging="92"/>
            </w:pPr>
            <w:r w:rsidRPr="00B6039A">
              <w:t xml:space="preserve">Improve access to affordable, suitable housing support for people on low and low–middle incomes, including a range of affordable home-ownership products and </w:t>
            </w:r>
            <w:proofErr w:type="spellStart"/>
            <w:r w:rsidRPr="00B6039A">
              <w:t>papakāinga</w:t>
            </w:r>
            <w:proofErr w:type="spellEnd"/>
            <w:r w:rsidRPr="00B6039A">
              <w:t xml:space="preserve"> housing.</w:t>
            </w:r>
          </w:p>
        </w:tc>
        <w:tc>
          <w:tcPr>
            <w:tcW w:w="1260" w:type="dxa"/>
          </w:tcPr>
          <w:p w14:paraId="407EDD05" w14:textId="5DA54A60" w:rsidR="002203FB" w:rsidRPr="00B6039A" w:rsidRDefault="00684575" w:rsidP="00684575">
            <w:pPr>
              <w:ind w:left="163" w:hanging="77"/>
            </w:pPr>
            <w:r w:rsidRPr="00B6039A">
              <w:t>Detailed Recs</w:t>
            </w:r>
            <w:r w:rsidR="002203FB" w:rsidRPr="00B6039A">
              <w:t xml:space="preserve"> 88-92 (see </w:t>
            </w:r>
            <w:r w:rsidR="0029286F" w:rsidRPr="00B6039A">
              <w:t>Table 4</w:t>
            </w:r>
            <w:r w:rsidR="002203FB" w:rsidRPr="00B6039A">
              <w:t xml:space="preserve">) </w:t>
            </w:r>
          </w:p>
        </w:tc>
        <w:tc>
          <w:tcPr>
            <w:tcW w:w="4230" w:type="dxa"/>
          </w:tcPr>
          <w:p w14:paraId="5DF1D458" w14:textId="77777777" w:rsidR="002203FB" w:rsidRPr="00B6039A" w:rsidRDefault="002203FB" w:rsidP="00E512B8">
            <w:pPr>
              <w:spacing w:before="120" w:after="120"/>
              <w:ind w:left="176" w:firstLine="0"/>
            </w:pPr>
            <w:r w:rsidRPr="00B6039A">
              <w:t>In November 2019 the Government stated that Key Recommendation 34 was being “actively considered”.</w:t>
            </w:r>
            <w:r w:rsidRPr="00B6039A">
              <w:rPr>
                <w:rStyle w:val="FootnoteReference"/>
              </w:rPr>
              <w:footnoteReference w:id="89"/>
            </w:r>
            <w:r w:rsidRPr="00B6039A">
              <w:t xml:space="preserve"> It stated that “the Government has recently announced the </w:t>
            </w:r>
            <w:r w:rsidRPr="00B6039A">
              <w:lastRenderedPageBreak/>
              <w:t>housing reset which includes new ways for people to become home owners”.</w:t>
            </w:r>
          </w:p>
        </w:tc>
        <w:tc>
          <w:tcPr>
            <w:tcW w:w="3826" w:type="dxa"/>
            <w:shd w:val="clear" w:color="auto" w:fill="F7CAAC" w:themeFill="accent2" w:themeFillTint="66"/>
          </w:tcPr>
          <w:p w14:paraId="216C1168" w14:textId="07B23426" w:rsidR="002203FB" w:rsidRPr="00B6039A" w:rsidRDefault="00C35B4C" w:rsidP="00684575">
            <w:pPr>
              <w:ind w:left="178" w:firstLine="0"/>
            </w:pPr>
            <w:r w:rsidRPr="00B6039A">
              <w:lastRenderedPageBreak/>
              <w:t>Minimally</w:t>
            </w:r>
            <w:r w:rsidR="002203FB" w:rsidRPr="00B6039A">
              <w:t xml:space="preserve"> implemented.</w:t>
            </w:r>
          </w:p>
          <w:p w14:paraId="5F821227" w14:textId="436E9FB8" w:rsidR="002203FB" w:rsidRPr="00B6039A" w:rsidRDefault="00C35B4C" w:rsidP="00684575">
            <w:pPr>
              <w:ind w:left="178" w:firstLine="0"/>
            </w:pPr>
            <w:r w:rsidRPr="00B6039A">
              <w:t xml:space="preserve">The Government expects that the Progressive Home Ownership scheme will help between 1,500 and 4,000 households, with priority given to </w:t>
            </w:r>
            <w:r w:rsidRPr="00B6039A">
              <w:lastRenderedPageBreak/>
              <w:t>Māori, Pacific peoples, and families with children.</w:t>
            </w:r>
            <w:r w:rsidRPr="00B6039A">
              <w:rPr>
                <w:rStyle w:val="FootnoteReference"/>
              </w:rPr>
              <w:footnoteReference w:id="90"/>
            </w:r>
            <w:r w:rsidRPr="00B6039A">
              <w:t xml:space="preserve"> However, this is inadequate given the scale of the housing crisis, and the extent of inequity for Māori and Pacific peoples, significant work remains to be done to ensure home ownership is affordable for more New Zealanders.</w:t>
            </w:r>
          </w:p>
        </w:tc>
      </w:tr>
      <w:tr w:rsidR="002203FB" w:rsidRPr="00B6039A" w14:paraId="15BB7E93" w14:textId="77777777" w:rsidTr="00520EBB">
        <w:trPr>
          <w:trHeight w:val="310"/>
        </w:trPr>
        <w:tc>
          <w:tcPr>
            <w:tcW w:w="846" w:type="dxa"/>
          </w:tcPr>
          <w:p w14:paraId="2AA23F68" w14:textId="77777777" w:rsidR="002203FB" w:rsidRPr="00B6039A" w:rsidRDefault="002203FB" w:rsidP="00520EBB">
            <w:pPr>
              <w:pStyle w:val="ListParagraph"/>
              <w:numPr>
                <w:ilvl w:val="0"/>
                <w:numId w:val="6"/>
              </w:numPr>
            </w:pPr>
          </w:p>
        </w:tc>
        <w:tc>
          <w:tcPr>
            <w:tcW w:w="4833" w:type="dxa"/>
          </w:tcPr>
          <w:p w14:paraId="2D674D27" w14:textId="77777777" w:rsidR="002203FB" w:rsidRPr="00B6039A" w:rsidRDefault="002203FB" w:rsidP="00520EBB">
            <w:r w:rsidRPr="00B6039A">
              <w:t>Establish an effective employment service of the Ministry of Social Development so it is better able to assist people to obtain and keep good, sustainable work.</w:t>
            </w:r>
          </w:p>
        </w:tc>
        <w:tc>
          <w:tcPr>
            <w:tcW w:w="1260" w:type="dxa"/>
          </w:tcPr>
          <w:p w14:paraId="6F0798DF" w14:textId="43164763" w:rsidR="002203FB" w:rsidRPr="00B6039A" w:rsidRDefault="00684575" w:rsidP="00684575">
            <w:pPr>
              <w:ind w:left="163" w:hanging="77"/>
            </w:pPr>
            <w:r w:rsidRPr="00B6039A">
              <w:t>Detailed Recs</w:t>
            </w:r>
            <w:r w:rsidR="002203FB" w:rsidRPr="00B6039A">
              <w:t xml:space="preserve"> 88-92 (see </w:t>
            </w:r>
            <w:r w:rsidR="0029286F" w:rsidRPr="00B6039A">
              <w:t>Table 4</w:t>
            </w:r>
            <w:r w:rsidR="002203FB" w:rsidRPr="00B6039A">
              <w:t>)</w:t>
            </w:r>
          </w:p>
        </w:tc>
        <w:tc>
          <w:tcPr>
            <w:tcW w:w="4230" w:type="dxa"/>
          </w:tcPr>
          <w:p w14:paraId="11809CB3" w14:textId="77777777" w:rsidR="002203FB" w:rsidRPr="00B6039A" w:rsidRDefault="002203FB" w:rsidP="00684575">
            <w:pPr>
              <w:ind w:left="178" w:firstLine="0"/>
            </w:pPr>
            <w:r w:rsidRPr="00B6039A">
              <w:t>The Government is claiming partial implementation of Key Recommendation 35.</w:t>
            </w:r>
            <w:r w:rsidRPr="00B6039A">
              <w:rPr>
                <w:rStyle w:val="FootnoteReference"/>
              </w:rPr>
              <w:footnoteReference w:id="91"/>
            </w:r>
            <w:r w:rsidRPr="00B6039A">
              <w:t xml:space="preserve"> In response to this recommendation, they have highlighted the following Budget 2019 initiatives: “new frontline staff to help support people into meaningful work”, “boosting Mana in Mahi to extend places available for young people to access an apprenticeship or industry training qualification and be provided with pastoral care to support them to transition into and stay in work”, and “additional funding to support disabled people and people with health conditions into employment through </w:t>
            </w:r>
            <w:proofErr w:type="spellStart"/>
            <w:r w:rsidRPr="00B6039A">
              <w:t>Oranga</w:t>
            </w:r>
            <w:proofErr w:type="spellEnd"/>
            <w:r w:rsidRPr="00B6039A">
              <w:t xml:space="preserve"> Mahi, disability Employment Services and Support Funds”.</w:t>
            </w:r>
            <w:r w:rsidRPr="00B6039A">
              <w:rPr>
                <w:rStyle w:val="FootnoteReference"/>
              </w:rPr>
              <w:footnoteReference w:id="92"/>
            </w:r>
          </w:p>
        </w:tc>
        <w:tc>
          <w:tcPr>
            <w:tcW w:w="3826" w:type="dxa"/>
            <w:shd w:val="clear" w:color="auto" w:fill="F8CA9C"/>
          </w:tcPr>
          <w:p w14:paraId="0E0831E8" w14:textId="77777777" w:rsidR="002203FB" w:rsidRPr="00B6039A" w:rsidRDefault="002203FB" w:rsidP="00684575">
            <w:pPr>
              <w:ind w:left="178" w:firstLine="0"/>
            </w:pPr>
            <w:r w:rsidRPr="00B6039A">
              <w:t>Minimal implementation.</w:t>
            </w:r>
          </w:p>
          <w:p w14:paraId="6B6F5191" w14:textId="77777777" w:rsidR="002203FB" w:rsidRPr="00B6039A" w:rsidRDefault="002203FB" w:rsidP="00684575">
            <w:pPr>
              <w:ind w:left="178" w:firstLine="0"/>
            </w:pPr>
          </w:p>
          <w:p w14:paraId="28992209" w14:textId="77777777" w:rsidR="002203FB" w:rsidRPr="00B6039A" w:rsidRDefault="002203FB" w:rsidP="00684575">
            <w:pPr>
              <w:ind w:left="178" w:firstLine="0"/>
            </w:pPr>
            <w:r w:rsidRPr="00B6039A">
              <w:t>The announcement of 263 new work-focussed frontline staff in Budget 2019 is positive, however given longstanding under-resourcing of MSD’s frontline services,</w:t>
            </w:r>
            <w:r w:rsidRPr="00B6039A">
              <w:rPr>
                <w:vertAlign w:val="superscript"/>
              </w:rPr>
              <w:footnoteReference w:id="93"/>
            </w:r>
            <w:r w:rsidRPr="00B6039A">
              <w:t xml:space="preserve"> further investment will be required to develop a an effective employment service. The extension of places in the Mana in Mahi programme announced in Budget 2019, from 150 to 2,000 places, still falls short of the initial announcement of 4,000 places in 2018.</w:t>
            </w:r>
            <w:r w:rsidRPr="00B6039A">
              <w:rPr>
                <w:rStyle w:val="FootnoteReference"/>
              </w:rPr>
              <w:footnoteReference w:id="94"/>
            </w:r>
          </w:p>
        </w:tc>
      </w:tr>
      <w:tr w:rsidR="002203FB" w:rsidRPr="00B6039A" w14:paraId="65384C21" w14:textId="77777777" w:rsidTr="00520EBB">
        <w:trPr>
          <w:trHeight w:val="310"/>
        </w:trPr>
        <w:tc>
          <w:tcPr>
            <w:tcW w:w="846" w:type="dxa"/>
          </w:tcPr>
          <w:p w14:paraId="54F395EF" w14:textId="77777777" w:rsidR="002203FB" w:rsidRPr="00B6039A" w:rsidRDefault="002203FB" w:rsidP="00520EBB">
            <w:pPr>
              <w:pStyle w:val="ListParagraph"/>
              <w:numPr>
                <w:ilvl w:val="0"/>
                <w:numId w:val="6"/>
              </w:numPr>
            </w:pPr>
          </w:p>
        </w:tc>
        <w:tc>
          <w:tcPr>
            <w:tcW w:w="4833" w:type="dxa"/>
          </w:tcPr>
          <w:p w14:paraId="1FCBC512" w14:textId="41BAB97C" w:rsidR="002203FB" w:rsidRPr="00B6039A" w:rsidRDefault="002203FB" w:rsidP="00520EBB">
            <w:r w:rsidRPr="00B6039A">
              <w:t>Revamp activ</w:t>
            </w:r>
            <w:r w:rsidR="00FE6957" w:rsidRPr="00B6039A">
              <w:t xml:space="preserve">e labour market, labour market, </w:t>
            </w:r>
            <w:r w:rsidRPr="00B6039A">
              <w:t xml:space="preserve">employment and training policies across </w:t>
            </w:r>
            <w:r w:rsidRPr="00B6039A">
              <w:lastRenderedPageBreak/>
              <w:t>government to make them more coherent and effective.</w:t>
            </w:r>
          </w:p>
        </w:tc>
        <w:tc>
          <w:tcPr>
            <w:tcW w:w="1260" w:type="dxa"/>
          </w:tcPr>
          <w:p w14:paraId="675415CF" w14:textId="263CF81B" w:rsidR="002203FB" w:rsidRPr="00B6039A" w:rsidRDefault="00684575" w:rsidP="00684575">
            <w:pPr>
              <w:ind w:left="163" w:hanging="77"/>
            </w:pPr>
            <w:r w:rsidRPr="00B6039A">
              <w:lastRenderedPageBreak/>
              <w:t>Detailed Recs</w:t>
            </w:r>
            <w:r w:rsidR="002203FB" w:rsidRPr="00B6039A">
              <w:t xml:space="preserve"> 93-</w:t>
            </w:r>
            <w:r w:rsidR="002203FB" w:rsidRPr="00B6039A">
              <w:lastRenderedPageBreak/>
              <w:t xml:space="preserve">97 (see </w:t>
            </w:r>
            <w:r w:rsidR="0029286F" w:rsidRPr="00B6039A">
              <w:t>Table 4</w:t>
            </w:r>
            <w:r w:rsidR="002203FB" w:rsidRPr="00B6039A">
              <w:t>).</w:t>
            </w:r>
          </w:p>
        </w:tc>
        <w:tc>
          <w:tcPr>
            <w:tcW w:w="4230" w:type="dxa"/>
          </w:tcPr>
          <w:p w14:paraId="1FD590F9" w14:textId="77777777" w:rsidR="002203FB" w:rsidRPr="00B6039A" w:rsidRDefault="002203FB" w:rsidP="00684575">
            <w:pPr>
              <w:ind w:left="178" w:firstLine="0"/>
            </w:pPr>
            <w:r w:rsidRPr="00B6039A">
              <w:lastRenderedPageBreak/>
              <w:t xml:space="preserve">The Government has stated that work is ‘already underway’ to address Key </w:t>
            </w:r>
            <w:r w:rsidRPr="00B6039A">
              <w:lastRenderedPageBreak/>
              <w:t>Recommendation 36.</w:t>
            </w:r>
            <w:r w:rsidRPr="00B6039A">
              <w:rPr>
                <w:rStyle w:val="FootnoteReference"/>
              </w:rPr>
              <w:footnoteReference w:id="95"/>
            </w:r>
            <w:r w:rsidRPr="00B6039A">
              <w:t xml:space="preserve"> In August 2019, the Government released an All-of-Government Employment Strategy and Youth Employment Action Plan. The Government has stated that a review of Active Labour Market Programmes is being undertaken, led jointly by Ministry of Business Innovation and Employment, MSD and Ministry of Education.</w:t>
            </w:r>
            <w:r w:rsidRPr="00B6039A">
              <w:rPr>
                <w:rStyle w:val="FootnoteReference"/>
              </w:rPr>
              <w:footnoteReference w:id="96"/>
            </w:r>
          </w:p>
          <w:p w14:paraId="5F277413" w14:textId="77777777" w:rsidR="002203FB" w:rsidRPr="00B6039A" w:rsidRDefault="002203FB" w:rsidP="00684575">
            <w:pPr>
              <w:ind w:left="178" w:firstLine="0"/>
            </w:pPr>
          </w:p>
          <w:p w14:paraId="079CF205" w14:textId="77777777" w:rsidR="002203FB" w:rsidRPr="00B6039A" w:rsidRDefault="002203FB" w:rsidP="00684575">
            <w:pPr>
              <w:ind w:left="178" w:firstLine="0"/>
            </w:pPr>
            <w:r w:rsidRPr="00B6039A">
              <w:t>In June 2020, the Government announced the establishment of 15 Independent Regional Skills Leadership Groups to facilitate a coordinated regional and central government response to the disruption caused by Covid-19.</w:t>
            </w:r>
            <w:r w:rsidRPr="00B6039A">
              <w:rPr>
                <w:rStyle w:val="FootnoteReference"/>
              </w:rPr>
              <w:footnoteReference w:id="97"/>
            </w:r>
          </w:p>
        </w:tc>
        <w:tc>
          <w:tcPr>
            <w:tcW w:w="3826" w:type="dxa"/>
            <w:shd w:val="clear" w:color="auto" w:fill="F8CA9C"/>
          </w:tcPr>
          <w:p w14:paraId="2AFD599F" w14:textId="78DB4FB0" w:rsidR="002203FB" w:rsidRPr="00B6039A" w:rsidRDefault="002203FB" w:rsidP="00684575">
            <w:pPr>
              <w:ind w:left="178" w:firstLine="0"/>
            </w:pPr>
            <w:r w:rsidRPr="00B6039A">
              <w:lastRenderedPageBreak/>
              <w:t>Minimal implementation.</w:t>
            </w:r>
          </w:p>
          <w:p w14:paraId="5463FE41" w14:textId="77777777" w:rsidR="002203FB" w:rsidRPr="00B6039A" w:rsidRDefault="002203FB" w:rsidP="00684575">
            <w:pPr>
              <w:ind w:left="178" w:firstLine="0"/>
            </w:pPr>
          </w:p>
          <w:p w14:paraId="1B1DE71F" w14:textId="6589932A" w:rsidR="002203FB" w:rsidRPr="00B6039A" w:rsidRDefault="002203FB" w:rsidP="00684575">
            <w:pPr>
              <w:ind w:left="178" w:firstLine="0"/>
            </w:pPr>
            <w:r w:rsidRPr="00B6039A">
              <w:lastRenderedPageBreak/>
              <w:t xml:space="preserve">A review of Active Labour Market Programmes is being undertaken, </w:t>
            </w:r>
            <w:r w:rsidR="00386024" w:rsidRPr="00B6039A">
              <w:t>and Regional Skills Leadership Groups are welcomed. H</w:t>
            </w:r>
            <w:r w:rsidRPr="00B6039A">
              <w:t xml:space="preserve">owever </w:t>
            </w:r>
            <w:r w:rsidR="003C7CDC" w:rsidRPr="00B6039A">
              <w:t>evidence of greater coherence and effectiveness is awaited.</w:t>
            </w:r>
          </w:p>
        </w:tc>
      </w:tr>
      <w:tr w:rsidR="002203FB" w:rsidRPr="00B6039A" w14:paraId="74E56061" w14:textId="77777777" w:rsidTr="00520EBB">
        <w:trPr>
          <w:trHeight w:val="310"/>
        </w:trPr>
        <w:tc>
          <w:tcPr>
            <w:tcW w:w="846" w:type="dxa"/>
          </w:tcPr>
          <w:p w14:paraId="3BCD6CD9" w14:textId="77777777" w:rsidR="002203FB" w:rsidRPr="00B6039A" w:rsidRDefault="002203FB" w:rsidP="00520EBB">
            <w:pPr>
              <w:pStyle w:val="ListParagraph"/>
              <w:numPr>
                <w:ilvl w:val="0"/>
                <w:numId w:val="6"/>
              </w:numPr>
            </w:pPr>
          </w:p>
        </w:tc>
        <w:tc>
          <w:tcPr>
            <w:tcW w:w="4833" w:type="dxa"/>
          </w:tcPr>
          <w:p w14:paraId="52D59906" w14:textId="77777777" w:rsidR="002203FB" w:rsidRPr="00B6039A" w:rsidRDefault="002203FB" w:rsidP="00520EBB">
            <w:r w:rsidRPr="00B6039A">
              <w:t>Strengthen the Ministry of Social Development's redundancy support policies to better support displaced workers.</w:t>
            </w:r>
          </w:p>
        </w:tc>
        <w:tc>
          <w:tcPr>
            <w:tcW w:w="1260" w:type="dxa"/>
          </w:tcPr>
          <w:p w14:paraId="675C4D00" w14:textId="02D33FC4" w:rsidR="002203FB" w:rsidRPr="00B6039A" w:rsidRDefault="00684575" w:rsidP="00684575">
            <w:pPr>
              <w:ind w:left="163" w:hanging="77"/>
            </w:pPr>
            <w:r w:rsidRPr="00B6039A">
              <w:t>Detailed Recs</w:t>
            </w:r>
            <w:r w:rsidR="002203FB" w:rsidRPr="00B6039A">
              <w:t xml:space="preserve"> 98-100 (see </w:t>
            </w:r>
            <w:r w:rsidR="0029286F" w:rsidRPr="00B6039A">
              <w:t>Table 4</w:t>
            </w:r>
            <w:r w:rsidR="002203FB" w:rsidRPr="00B6039A">
              <w:t>)</w:t>
            </w:r>
          </w:p>
        </w:tc>
        <w:tc>
          <w:tcPr>
            <w:tcW w:w="4230" w:type="dxa"/>
          </w:tcPr>
          <w:p w14:paraId="5B02E053" w14:textId="77777777" w:rsidR="002203FB" w:rsidRPr="00B6039A" w:rsidRDefault="002203FB" w:rsidP="00684575">
            <w:pPr>
              <w:ind w:left="178" w:firstLine="0"/>
            </w:pPr>
            <w:r w:rsidRPr="00B6039A">
              <w:t>In November 2019, the Government stated that implementation of Key Recommendation 37 is part of their ‘medium to long-term work programme.’</w:t>
            </w:r>
            <w:r w:rsidRPr="00B6039A">
              <w:rPr>
                <w:rStyle w:val="FootnoteReference"/>
              </w:rPr>
              <w:footnoteReference w:id="98"/>
            </w:r>
          </w:p>
          <w:p w14:paraId="1864BC80" w14:textId="77777777" w:rsidR="002203FB" w:rsidRPr="00B6039A" w:rsidRDefault="002203FB" w:rsidP="00684575">
            <w:pPr>
              <w:ind w:left="178" w:firstLine="0"/>
            </w:pPr>
          </w:p>
          <w:p w14:paraId="6BA04700" w14:textId="77777777" w:rsidR="002203FB" w:rsidRPr="00B6039A" w:rsidRDefault="002203FB" w:rsidP="00684575">
            <w:pPr>
              <w:ind w:left="178" w:firstLine="0"/>
            </w:pPr>
            <w:r w:rsidRPr="00B6039A">
              <w:t xml:space="preserve">In 2020, the Government </w:t>
            </w:r>
          </w:p>
          <w:p w14:paraId="7ED0B64B" w14:textId="77777777" w:rsidR="002203FB" w:rsidRPr="00B6039A" w:rsidRDefault="002203FB" w:rsidP="00684575">
            <w:pPr>
              <w:ind w:left="178" w:firstLine="0"/>
            </w:pPr>
            <w:r w:rsidRPr="00B6039A">
              <w:t>removed stand-down periods as a response to Covid-19, for those eligible for a benefit between 23 March 2020 and 24 July 2021.</w:t>
            </w:r>
            <w:r w:rsidRPr="00B6039A">
              <w:rPr>
                <w:rStyle w:val="FootnoteReference"/>
              </w:rPr>
              <w:footnoteReference w:id="99"/>
            </w:r>
            <w:r w:rsidRPr="00B6039A">
              <w:t xml:space="preserve"> They also announced free </w:t>
            </w:r>
            <w:r w:rsidRPr="00B6039A">
              <w:lastRenderedPageBreak/>
              <w:t>trades training for 2.5 years from 1 July 2020 in response to Covid-19.</w:t>
            </w:r>
            <w:r w:rsidRPr="00B6039A">
              <w:rPr>
                <w:rStyle w:val="FootnoteReference"/>
              </w:rPr>
              <w:footnoteReference w:id="100"/>
            </w:r>
          </w:p>
        </w:tc>
        <w:tc>
          <w:tcPr>
            <w:tcW w:w="3826" w:type="dxa"/>
            <w:shd w:val="clear" w:color="auto" w:fill="F7CAAC" w:themeFill="accent2" w:themeFillTint="66"/>
          </w:tcPr>
          <w:p w14:paraId="27EE5FA5" w14:textId="1AE0CA71" w:rsidR="002203FB" w:rsidRPr="00B6039A" w:rsidRDefault="003A14C4" w:rsidP="00684575">
            <w:pPr>
              <w:ind w:left="178" w:firstLine="0"/>
            </w:pPr>
            <w:r w:rsidRPr="00B6039A">
              <w:lastRenderedPageBreak/>
              <w:t>Minimal</w:t>
            </w:r>
            <w:r w:rsidR="005E1481" w:rsidRPr="00B6039A">
              <w:t xml:space="preserve"> implementation.</w:t>
            </w:r>
          </w:p>
          <w:p w14:paraId="7ED81547" w14:textId="77777777" w:rsidR="002203FB" w:rsidRPr="00B6039A" w:rsidRDefault="002203FB" w:rsidP="00684575">
            <w:pPr>
              <w:ind w:left="178" w:firstLine="0"/>
            </w:pPr>
          </w:p>
          <w:p w14:paraId="42B54AEA" w14:textId="133D89DD" w:rsidR="002203FB" w:rsidRPr="00B6039A" w:rsidRDefault="00FE6957" w:rsidP="00684575">
            <w:pPr>
              <w:ind w:left="178" w:firstLine="0"/>
            </w:pPr>
            <w:r w:rsidRPr="00B6039A">
              <w:t>Some progress has been made in response to Covid-19, but many measures are temporary. T</w:t>
            </w:r>
            <w:r w:rsidR="002203FB" w:rsidRPr="00B6039A">
              <w:t xml:space="preserve">he Covid-19 Income Relief Payment for those who lost work from 1 March 2020 </w:t>
            </w:r>
            <w:r w:rsidR="00096FE7" w:rsidRPr="00B6039A">
              <w:t xml:space="preserve">due to Covid-19 </w:t>
            </w:r>
            <w:r w:rsidR="002203FB" w:rsidRPr="00B6039A">
              <w:t>was paid to people irrespective of their partner earnings (up to $2,000 per week),</w:t>
            </w:r>
            <w:r w:rsidR="002203FB" w:rsidRPr="00B6039A">
              <w:rPr>
                <w:rStyle w:val="FootnoteReference"/>
              </w:rPr>
              <w:footnoteReference w:id="101"/>
            </w:r>
            <w:r w:rsidR="002203FB" w:rsidRPr="00B6039A">
              <w:t xml:space="preserve"> temporarily strengthening support for </w:t>
            </w:r>
            <w:r w:rsidR="00096FE7" w:rsidRPr="00B6039A">
              <w:lastRenderedPageBreak/>
              <w:t xml:space="preserve">many </w:t>
            </w:r>
            <w:r w:rsidR="002203FB" w:rsidRPr="00B6039A">
              <w:t>displaced workers whose partners were still earning. However, this has not applied to core benefits, and was only a temporary measure.</w:t>
            </w:r>
          </w:p>
          <w:p w14:paraId="4007D23E" w14:textId="77777777" w:rsidR="002203FB" w:rsidRPr="00B6039A" w:rsidRDefault="002203FB" w:rsidP="00684575">
            <w:pPr>
              <w:ind w:left="178" w:firstLine="0"/>
            </w:pPr>
          </w:p>
          <w:p w14:paraId="07196932" w14:textId="7F74EC46" w:rsidR="002203FB" w:rsidRPr="00B6039A" w:rsidRDefault="00FE6957" w:rsidP="00684575">
            <w:pPr>
              <w:ind w:left="178" w:firstLine="0"/>
            </w:pPr>
            <w:r w:rsidRPr="00B6039A">
              <w:t>More redundancy support programmes have been rolled out in response to Covid-19, however measures such as free trades training and the removal of stand down periods</w:t>
            </w:r>
            <w:r w:rsidR="002203FB" w:rsidRPr="00B6039A">
              <w:t xml:space="preserve"> are not permanent measures.</w:t>
            </w:r>
          </w:p>
        </w:tc>
      </w:tr>
      <w:tr w:rsidR="002203FB" w:rsidRPr="00B6039A" w14:paraId="205B5258" w14:textId="77777777" w:rsidTr="00520EBB">
        <w:trPr>
          <w:trHeight w:val="310"/>
        </w:trPr>
        <w:tc>
          <w:tcPr>
            <w:tcW w:w="846" w:type="dxa"/>
          </w:tcPr>
          <w:p w14:paraId="1EAF5271" w14:textId="77777777" w:rsidR="002203FB" w:rsidRPr="00B6039A" w:rsidRDefault="002203FB" w:rsidP="00520EBB">
            <w:pPr>
              <w:pStyle w:val="ListParagraph"/>
              <w:numPr>
                <w:ilvl w:val="0"/>
                <w:numId w:val="6"/>
              </w:numPr>
            </w:pPr>
          </w:p>
        </w:tc>
        <w:tc>
          <w:tcPr>
            <w:tcW w:w="4833" w:type="dxa"/>
          </w:tcPr>
          <w:p w14:paraId="46FA6D6D" w14:textId="77777777" w:rsidR="002203FB" w:rsidRPr="00B6039A" w:rsidRDefault="002203FB" w:rsidP="00520EBB">
            <w:r w:rsidRPr="00B6039A">
              <w:t>Abolish, in the Youth Service, compulsory money management, and separate case management from youth mentoring so it is consistent with and has a positive youth development focus.</w:t>
            </w:r>
          </w:p>
        </w:tc>
        <w:tc>
          <w:tcPr>
            <w:tcW w:w="1260" w:type="dxa"/>
          </w:tcPr>
          <w:p w14:paraId="1044C72B" w14:textId="66444857" w:rsidR="002203FB" w:rsidRPr="00B6039A" w:rsidRDefault="00684575" w:rsidP="00684575">
            <w:pPr>
              <w:ind w:left="163" w:hanging="77"/>
            </w:pPr>
            <w:r w:rsidRPr="00B6039A">
              <w:t>Detailed Recs</w:t>
            </w:r>
            <w:r w:rsidR="002203FB" w:rsidRPr="00B6039A">
              <w:t xml:space="preserve"> 101-104 (see </w:t>
            </w:r>
            <w:r w:rsidR="0029286F" w:rsidRPr="00B6039A">
              <w:t>Table 4</w:t>
            </w:r>
            <w:r w:rsidR="002203FB" w:rsidRPr="00B6039A">
              <w:t>)</w:t>
            </w:r>
          </w:p>
        </w:tc>
        <w:tc>
          <w:tcPr>
            <w:tcW w:w="4230" w:type="dxa"/>
          </w:tcPr>
          <w:p w14:paraId="3999648F" w14:textId="77777777" w:rsidR="002203FB" w:rsidRPr="00B6039A" w:rsidRDefault="002203FB" w:rsidP="00684575">
            <w:pPr>
              <w:ind w:left="178" w:firstLine="0"/>
            </w:pPr>
            <w:r w:rsidRPr="00B6039A">
              <w:t>The Government has stated that Key Recommendation 38 is part of its ‘medium to longer-term work programme’.</w:t>
            </w:r>
            <w:r w:rsidRPr="00B6039A">
              <w:rPr>
                <w:rStyle w:val="FootnoteReference"/>
              </w:rPr>
              <w:footnoteReference w:id="102"/>
            </w:r>
            <w:r w:rsidRPr="00B6039A">
              <w:t xml:space="preserve"> It has stated that “The Government is making operational improvements to the Youth Service as a result of the Youth Service review and further work is underway on other potential changes to policy settings.”</w:t>
            </w:r>
          </w:p>
        </w:tc>
        <w:tc>
          <w:tcPr>
            <w:tcW w:w="3826" w:type="dxa"/>
            <w:shd w:val="clear" w:color="auto" w:fill="FFA5A5"/>
          </w:tcPr>
          <w:p w14:paraId="4CB394AB" w14:textId="682B5320" w:rsidR="002203FB" w:rsidRPr="00B6039A" w:rsidRDefault="005E1481" w:rsidP="00684575">
            <w:pPr>
              <w:ind w:left="178" w:firstLine="0"/>
            </w:pPr>
            <w:r w:rsidRPr="00B6039A">
              <w:t>No evidence of implementation.</w:t>
            </w:r>
          </w:p>
        </w:tc>
      </w:tr>
      <w:tr w:rsidR="002203FB" w:rsidRPr="00B6039A" w14:paraId="05964106" w14:textId="77777777" w:rsidTr="00520EBB">
        <w:trPr>
          <w:trHeight w:val="310"/>
        </w:trPr>
        <w:tc>
          <w:tcPr>
            <w:tcW w:w="846" w:type="dxa"/>
          </w:tcPr>
          <w:p w14:paraId="6A72B4DC" w14:textId="77777777" w:rsidR="002203FB" w:rsidRPr="00B6039A" w:rsidRDefault="002203FB" w:rsidP="00520EBB">
            <w:pPr>
              <w:pStyle w:val="ListParagraph"/>
              <w:numPr>
                <w:ilvl w:val="0"/>
                <w:numId w:val="6"/>
              </w:numPr>
            </w:pPr>
          </w:p>
        </w:tc>
        <w:tc>
          <w:tcPr>
            <w:tcW w:w="4833" w:type="dxa"/>
          </w:tcPr>
          <w:p w14:paraId="4D915348" w14:textId="77777777" w:rsidR="002203FB" w:rsidRPr="00B6039A" w:rsidRDefault="002203FB" w:rsidP="00520EBB">
            <w:r w:rsidRPr="00B6039A">
              <w:t>Use evidence-based approaches that support young people to be learning, earning and, where young people are parents, caring. These approaches need to build on the strengths of young people and provide a basis for their long-term engagement with the changing world of work.</w:t>
            </w:r>
          </w:p>
        </w:tc>
        <w:tc>
          <w:tcPr>
            <w:tcW w:w="1260" w:type="dxa"/>
          </w:tcPr>
          <w:p w14:paraId="5B34D88E" w14:textId="3B997C72" w:rsidR="002203FB" w:rsidRPr="00B6039A" w:rsidRDefault="00684575" w:rsidP="00684575">
            <w:pPr>
              <w:ind w:left="163" w:hanging="77"/>
            </w:pPr>
            <w:r w:rsidRPr="00B6039A">
              <w:t>Detailed Recs</w:t>
            </w:r>
            <w:r w:rsidR="002203FB" w:rsidRPr="00B6039A">
              <w:t xml:space="preserve"> 101-104 (see </w:t>
            </w:r>
            <w:r w:rsidR="0029286F" w:rsidRPr="00B6039A">
              <w:t>Table 4</w:t>
            </w:r>
            <w:r w:rsidR="002203FB" w:rsidRPr="00B6039A">
              <w:t>)</w:t>
            </w:r>
          </w:p>
        </w:tc>
        <w:tc>
          <w:tcPr>
            <w:tcW w:w="4230" w:type="dxa"/>
          </w:tcPr>
          <w:p w14:paraId="1564B2E7" w14:textId="77777777" w:rsidR="002203FB" w:rsidRPr="00B6039A" w:rsidRDefault="002203FB" w:rsidP="00684575">
            <w:pPr>
              <w:ind w:left="178" w:firstLine="0"/>
            </w:pPr>
            <w:r w:rsidRPr="00B6039A">
              <w:t>The Government has stated that implementation of Key Recommendation 39 is ‘already underway’.</w:t>
            </w:r>
            <w:r w:rsidRPr="00B6039A">
              <w:rPr>
                <w:rStyle w:val="FootnoteReference"/>
              </w:rPr>
              <w:footnoteReference w:id="103"/>
            </w:r>
            <w:r w:rsidRPr="00B6039A">
              <w:t xml:space="preserve"> In response to this recommendation it has highlighted MSD’s Mana in Mahi programme, which received a funding boost in Budget 2019, as well as the 2019 Youth Employment Action Plan, released as part of the </w:t>
            </w:r>
            <w:r w:rsidRPr="00B6039A">
              <w:lastRenderedPageBreak/>
              <w:t>Employment Strategy. It has said that “work is also underway to engage with youth and youth Service providers”.</w:t>
            </w:r>
            <w:r w:rsidRPr="00B6039A">
              <w:rPr>
                <w:rStyle w:val="FootnoteReference"/>
              </w:rPr>
              <w:t xml:space="preserve"> </w:t>
            </w:r>
            <w:r w:rsidRPr="00B6039A">
              <w:rPr>
                <w:rStyle w:val="FootnoteReference"/>
              </w:rPr>
              <w:footnoteReference w:id="104"/>
            </w:r>
          </w:p>
        </w:tc>
        <w:tc>
          <w:tcPr>
            <w:tcW w:w="3826" w:type="dxa"/>
            <w:shd w:val="clear" w:color="auto" w:fill="FCC292"/>
          </w:tcPr>
          <w:p w14:paraId="5330104C" w14:textId="77777777" w:rsidR="002203FB" w:rsidRPr="00B6039A" w:rsidRDefault="002203FB" w:rsidP="00684575">
            <w:pPr>
              <w:ind w:left="178" w:firstLine="0"/>
            </w:pPr>
            <w:r w:rsidRPr="00B6039A">
              <w:lastRenderedPageBreak/>
              <w:t xml:space="preserve">Minimal implementation. </w:t>
            </w:r>
          </w:p>
          <w:p w14:paraId="75EE1F47" w14:textId="77777777" w:rsidR="002203FB" w:rsidRPr="00B6039A" w:rsidRDefault="002203FB" w:rsidP="00684575">
            <w:pPr>
              <w:ind w:left="178" w:firstLine="0"/>
            </w:pPr>
          </w:p>
          <w:p w14:paraId="4B32E7AB" w14:textId="77777777" w:rsidR="002203FB" w:rsidRPr="00B6039A" w:rsidRDefault="002203FB" w:rsidP="00684575">
            <w:pPr>
              <w:ind w:left="178" w:firstLine="0"/>
            </w:pPr>
            <w:r w:rsidRPr="00B6039A">
              <w:t>In 2018, when Mana in Mahi was launched, the Government stated that ‘up to 4,000’ places would be created.</w:t>
            </w:r>
            <w:r w:rsidRPr="00B6039A">
              <w:rPr>
                <w:rStyle w:val="FootnoteReference"/>
              </w:rPr>
              <w:footnoteReference w:id="105"/>
            </w:r>
            <w:r w:rsidRPr="00B6039A">
              <w:t xml:space="preserve"> However, the funding boost announced to Mana in Mahi as part of Budget 2019 was stated to </w:t>
            </w:r>
            <w:r w:rsidRPr="00B6039A">
              <w:lastRenderedPageBreak/>
              <w:t>extend the places available ‘from 150 up to 2000’.</w:t>
            </w:r>
            <w:r w:rsidRPr="00B6039A">
              <w:rPr>
                <w:rStyle w:val="FootnoteReference"/>
              </w:rPr>
              <w:footnoteReference w:id="106"/>
            </w:r>
            <w:r w:rsidRPr="00B6039A">
              <w:t xml:space="preserve"> Given that the number of young people who are not in education, employment or training (NEET) increased by 13,000 between the June 2019 and June 2020 quarters,</w:t>
            </w:r>
            <w:r w:rsidRPr="00B6039A">
              <w:rPr>
                <w:rStyle w:val="FootnoteReference"/>
              </w:rPr>
              <w:footnoteReference w:id="107"/>
            </w:r>
            <w:r w:rsidRPr="00B6039A">
              <w:t xml:space="preserve"> it is clear that such an initiative requires significant scaling up, particularly in light of Covid-19.</w:t>
            </w:r>
          </w:p>
          <w:p w14:paraId="7AEE7524" w14:textId="77777777" w:rsidR="002203FB" w:rsidRPr="00B6039A" w:rsidRDefault="002203FB" w:rsidP="00684575">
            <w:pPr>
              <w:ind w:left="178" w:firstLine="0"/>
            </w:pPr>
          </w:p>
          <w:p w14:paraId="2910E71B" w14:textId="77777777" w:rsidR="002203FB" w:rsidRPr="00B6039A" w:rsidRDefault="002203FB" w:rsidP="00684575">
            <w:pPr>
              <w:ind w:left="178" w:firstLine="0"/>
            </w:pPr>
            <w:r w:rsidRPr="00B6039A">
              <w:t>The Targeted Training and Apprenticeship Fund announced in 2020 in response to Covid-19 is likely to support some young people into apprenticeships, however this fund is only temporary, expiring in December 2022.</w:t>
            </w:r>
            <w:r w:rsidRPr="00B6039A">
              <w:rPr>
                <w:rStyle w:val="FootnoteReference"/>
              </w:rPr>
              <w:footnoteReference w:id="108"/>
            </w:r>
            <w:r w:rsidRPr="00B6039A">
              <w:t xml:space="preserve"> </w:t>
            </w:r>
          </w:p>
          <w:p w14:paraId="087EC88F" w14:textId="77777777" w:rsidR="002203FB" w:rsidRPr="00B6039A" w:rsidRDefault="002203FB" w:rsidP="00684575">
            <w:pPr>
              <w:ind w:left="178" w:firstLine="0"/>
            </w:pPr>
          </w:p>
          <w:p w14:paraId="02E0CFF3" w14:textId="77777777" w:rsidR="002203FB" w:rsidRPr="00B6039A" w:rsidRDefault="002203FB" w:rsidP="00684575">
            <w:pPr>
              <w:ind w:left="178" w:firstLine="0"/>
            </w:pPr>
            <w:r w:rsidRPr="00B6039A">
              <w:t xml:space="preserve">While the 2019 Youth Employment Action Plan lays out pathways for action in this space, it is too early to evaluate progress in implementation. </w:t>
            </w:r>
          </w:p>
        </w:tc>
      </w:tr>
      <w:tr w:rsidR="002203FB" w:rsidRPr="00B6039A" w14:paraId="7E9C05B7" w14:textId="77777777" w:rsidTr="00520EBB">
        <w:trPr>
          <w:trHeight w:val="310"/>
        </w:trPr>
        <w:tc>
          <w:tcPr>
            <w:tcW w:w="846" w:type="dxa"/>
          </w:tcPr>
          <w:p w14:paraId="704928F1" w14:textId="77777777" w:rsidR="002203FB" w:rsidRPr="00B6039A" w:rsidRDefault="002203FB" w:rsidP="00520EBB">
            <w:pPr>
              <w:pStyle w:val="ListParagraph"/>
              <w:numPr>
                <w:ilvl w:val="0"/>
                <w:numId w:val="6"/>
              </w:numPr>
            </w:pPr>
          </w:p>
        </w:tc>
        <w:tc>
          <w:tcPr>
            <w:tcW w:w="4833" w:type="dxa"/>
          </w:tcPr>
          <w:p w14:paraId="41B4AB5D" w14:textId="77777777" w:rsidR="002203FB" w:rsidRPr="00B6039A" w:rsidRDefault="002203FB" w:rsidP="00520EBB">
            <w:r w:rsidRPr="00B6039A">
              <w:t>Improve the health and wellbeing of people with health conditions and disabilities,</w:t>
            </w:r>
          </w:p>
          <w:p w14:paraId="4B1EE939" w14:textId="77777777" w:rsidR="002203FB" w:rsidRPr="00B6039A" w:rsidRDefault="002203FB" w:rsidP="00520EBB">
            <w:r w:rsidRPr="00B6039A">
              <w:t>along with carers of people with health conditions and disabilities who interact with the welfare system by:</w:t>
            </w:r>
          </w:p>
          <w:p w14:paraId="7BE612C2" w14:textId="77777777" w:rsidR="002203FB" w:rsidRPr="00B6039A" w:rsidRDefault="002203FB" w:rsidP="00520EBB">
            <w:pPr>
              <w:pStyle w:val="ListParagraph"/>
              <w:numPr>
                <w:ilvl w:val="0"/>
                <w:numId w:val="13"/>
              </w:numPr>
            </w:pPr>
            <w:r w:rsidRPr="00B6039A">
              <w:lastRenderedPageBreak/>
              <w:t>providing financial support that is adequate to live a life with dignity and is equitable across the social sector</w:t>
            </w:r>
          </w:p>
          <w:p w14:paraId="446AA1A0" w14:textId="77777777" w:rsidR="002203FB" w:rsidRPr="00B6039A" w:rsidRDefault="002203FB" w:rsidP="00520EBB">
            <w:pPr>
              <w:pStyle w:val="ListParagraph"/>
              <w:numPr>
                <w:ilvl w:val="0"/>
                <w:numId w:val="13"/>
              </w:numPr>
            </w:pPr>
            <w:r w:rsidRPr="00B6039A">
              <w:t>implementing evidence-based approaches to support engagement in good, suitable work and the community where this is possible</w:t>
            </w:r>
          </w:p>
          <w:p w14:paraId="49C7486C" w14:textId="77777777" w:rsidR="002203FB" w:rsidRPr="00B6039A" w:rsidRDefault="002203FB" w:rsidP="00520EBB">
            <w:pPr>
              <w:pStyle w:val="ListParagraph"/>
              <w:numPr>
                <w:ilvl w:val="0"/>
                <w:numId w:val="13"/>
              </w:numPr>
            </w:pPr>
            <w:r w:rsidRPr="00B6039A">
              <w:t>implementing strategies to prevent work-limiting health conditions and disabilities.</w:t>
            </w:r>
          </w:p>
        </w:tc>
        <w:tc>
          <w:tcPr>
            <w:tcW w:w="1260" w:type="dxa"/>
          </w:tcPr>
          <w:p w14:paraId="7D323424" w14:textId="0309661F" w:rsidR="002203FB" w:rsidRPr="00B6039A" w:rsidRDefault="00684575" w:rsidP="00684575">
            <w:pPr>
              <w:ind w:left="163" w:hanging="77"/>
            </w:pPr>
            <w:r w:rsidRPr="00B6039A">
              <w:lastRenderedPageBreak/>
              <w:t>Detailed Recs</w:t>
            </w:r>
            <w:r w:rsidR="002203FB" w:rsidRPr="00B6039A">
              <w:t xml:space="preserve"> 105-122 (see </w:t>
            </w:r>
            <w:r w:rsidR="0029286F" w:rsidRPr="00B6039A">
              <w:t>Table 4</w:t>
            </w:r>
            <w:r w:rsidR="002203FB" w:rsidRPr="00B6039A">
              <w:t>)</w:t>
            </w:r>
          </w:p>
        </w:tc>
        <w:tc>
          <w:tcPr>
            <w:tcW w:w="4230" w:type="dxa"/>
          </w:tcPr>
          <w:p w14:paraId="0A075247" w14:textId="77777777" w:rsidR="002203FB" w:rsidRPr="00B6039A" w:rsidRDefault="002203FB" w:rsidP="00684575">
            <w:pPr>
              <w:ind w:left="178" w:firstLine="0"/>
            </w:pPr>
            <w:r w:rsidRPr="00B6039A">
              <w:t>The Government has stated that work is ‘already underway’ to address Key Recommendation 40.</w:t>
            </w:r>
            <w:r w:rsidRPr="00B6039A">
              <w:rPr>
                <w:rStyle w:val="FootnoteReference"/>
              </w:rPr>
              <w:footnoteReference w:id="109"/>
            </w:r>
            <w:r w:rsidRPr="00B6039A">
              <w:t xml:space="preserve"> In November 2019, it stated that “further work will be undertaken to improve support and </w:t>
            </w:r>
            <w:r w:rsidRPr="00B6039A">
              <w:lastRenderedPageBreak/>
              <w:t>services for people with health conditions and disabilities and their carers” including a focus on “improving income supports, as well as employment services available”.</w:t>
            </w:r>
            <w:r w:rsidRPr="00B6039A">
              <w:rPr>
                <w:rStyle w:val="FootnoteReference"/>
              </w:rPr>
              <w:footnoteReference w:id="110"/>
            </w:r>
            <w:r w:rsidRPr="00B6039A">
              <w:t xml:space="preserve"> In response, it has also stated that “consideration is required of how an expanded employment service will meet the needs of disabled people and people with long-term health conditions”, and that it is looking at “changing employer attitudes about these groups and considering what tailored support could be required”.</w:t>
            </w:r>
          </w:p>
        </w:tc>
        <w:tc>
          <w:tcPr>
            <w:tcW w:w="3826" w:type="dxa"/>
            <w:shd w:val="clear" w:color="auto" w:fill="F8CA9C"/>
          </w:tcPr>
          <w:p w14:paraId="55EC1162" w14:textId="77777777" w:rsidR="002203FB" w:rsidRPr="00B6039A" w:rsidRDefault="002203FB" w:rsidP="00684575">
            <w:pPr>
              <w:ind w:left="178" w:firstLine="0"/>
            </w:pPr>
            <w:r w:rsidRPr="00B6039A">
              <w:lastRenderedPageBreak/>
              <w:t>Minimal implementation.</w:t>
            </w:r>
          </w:p>
          <w:p w14:paraId="5C63C127" w14:textId="77777777" w:rsidR="002203FB" w:rsidRPr="00B6039A" w:rsidRDefault="002203FB" w:rsidP="00684575">
            <w:pPr>
              <w:ind w:left="178" w:firstLine="0"/>
            </w:pPr>
          </w:p>
          <w:p w14:paraId="79F5EC3A" w14:textId="77777777" w:rsidR="002203FB" w:rsidRPr="00B6039A" w:rsidRDefault="002203FB" w:rsidP="00684575">
            <w:pPr>
              <w:ind w:left="178" w:firstLine="0"/>
            </w:pPr>
            <w:r w:rsidRPr="00B6039A">
              <w:t xml:space="preserve">Budget 2019 saw additional funding to support disabled people and people with health conditions into </w:t>
            </w:r>
            <w:r w:rsidRPr="00B6039A">
              <w:lastRenderedPageBreak/>
              <w:t xml:space="preserve">employment through </w:t>
            </w:r>
            <w:proofErr w:type="spellStart"/>
            <w:r w:rsidRPr="00B6039A">
              <w:t>Oranga</w:t>
            </w:r>
            <w:proofErr w:type="spellEnd"/>
            <w:r w:rsidRPr="00B6039A">
              <w:t xml:space="preserve"> Mahi, disability Employment Services and Support Funds.</w:t>
            </w:r>
            <w:r w:rsidRPr="00B6039A">
              <w:rPr>
                <w:rStyle w:val="FootnoteReference"/>
              </w:rPr>
              <w:footnoteReference w:id="111"/>
            </w:r>
            <w:r w:rsidRPr="00B6039A">
              <w:t xml:space="preserve"> A Disability Employment Action Plan was released in July 2020, with a work programme laid out for 2020-2022.</w:t>
            </w:r>
            <w:r w:rsidRPr="00B6039A">
              <w:rPr>
                <w:rStyle w:val="FootnoteReference"/>
              </w:rPr>
              <w:footnoteReference w:id="112"/>
            </w:r>
            <w:r w:rsidRPr="00B6039A">
              <w:t xml:space="preserve"> It is too early to evaluate progress in this area. </w:t>
            </w:r>
          </w:p>
          <w:p w14:paraId="6A745EF6" w14:textId="77777777" w:rsidR="002203FB" w:rsidRPr="00B6039A" w:rsidRDefault="002203FB" w:rsidP="00684575">
            <w:pPr>
              <w:ind w:left="178" w:firstLine="0"/>
            </w:pPr>
          </w:p>
          <w:p w14:paraId="0D6BE0CE" w14:textId="77777777" w:rsidR="002203FB" w:rsidRPr="00B6039A" w:rsidRDefault="002203FB" w:rsidP="007601C3">
            <w:pPr>
              <w:spacing w:after="120"/>
              <w:ind w:left="176" w:firstLine="0"/>
            </w:pPr>
            <w:r w:rsidRPr="00B6039A">
              <w:t xml:space="preserve">Income supports for people with health conditions and disabilities (both core and supplementary entitlements) have not been improved and remain inadequate. </w:t>
            </w:r>
          </w:p>
        </w:tc>
      </w:tr>
      <w:tr w:rsidR="002203FB" w:rsidRPr="00B6039A" w14:paraId="6E20D14D" w14:textId="77777777" w:rsidTr="00520EBB">
        <w:trPr>
          <w:trHeight w:val="310"/>
        </w:trPr>
        <w:tc>
          <w:tcPr>
            <w:tcW w:w="846" w:type="dxa"/>
          </w:tcPr>
          <w:p w14:paraId="4294373D" w14:textId="77777777" w:rsidR="002203FB" w:rsidRPr="00B6039A" w:rsidRDefault="002203FB" w:rsidP="00520EBB">
            <w:pPr>
              <w:pStyle w:val="ListParagraph"/>
              <w:numPr>
                <w:ilvl w:val="0"/>
                <w:numId w:val="6"/>
              </w:numPr>
            </w:pPr>
          </w:p>
        </w:tc>
        <w:tc>
          <w:tcPr>
            <w:tcW w:w="4833" w:type="dxa"/>
          </w:tcPr>
          <w:p w14:paraId="4B17FF71" w14:textId="77777777" w:rsidR="002203FB" w:rsidRPr="00B6039A" w:rsidRDefault="002203FB" w:rsidP="00520EBB">
            <w:r w:rsidRPr="00B6039A">
              <w:t>Include in the scope of the New Zealand Health and Disability System Review the relationship between the health and disability system and the accident compensation scheme and how the relationship between these and the welfare system could be changed to improve outcomes for people with health conditions and disabilities and carers.</w:t>
            </w:r>
          </w:p>
        </w:tc>
        <w:tc>
          <w:tcPr>
            <w:tcW w:w="1260" w:type="dxa"/>
          </w:tcPr>
          <w:p w14:paraId="72AF7B8C" w14:textId="70A26D6B" w:rsidR="002203FB" w:rsidRPr="00B6039A" w:rsidRDefault="00684575" w:rsidP="00684575">
            <w:pPr>
              <w:ind w:left="163" w:hanging="77"/>
            </w:pPr>
            <w:r w:rsidRPr="00B6039A">
              <w:t>Detailed Rec</w:t>
            </w:r>
            <w:r w:rsidR="002203FB" w:rsidRPr="00B6039A">
              <w:t xml:space="preserve"> 113 (see </w:t>
            </w:r>
            <w:r w:rsidR="0029286F" w:rsidRPr="00B6039A">
              <w:t>Table 4</w:t>
            </w:r>
            <w:r w:rsidR="002203FB" w:rsidRPr="00B6039A">
              <w:t>)</w:t>
            </w:r>
          </w:p>
        </w:tc>
        <w:tc>
          <w:tcPr>
            <w:tcW w:w="4230" w:type="dxa"/>
          </w:tcPr>
          <w:p w14:paraId="5123A078" w14:textId="77777777" w:rsidR="002203FB" w:rsidRPr="00B6039A" w:rsidRDefault="002203FB" w:rsidP="00684575">
            <w:pPr>
              <w:ind w:left="178" w:firstLine="0"/>
            </w:pPr>
            <w:r w:rsidRPr="00B6039A">
              <w:t>The Government has stated that consideration of this Key Recommendation is part of ‘another government review or programme’.</w:t>
            </w:r>
            <w:r w:rsidRPr="00B6039A">
              <w:rPr>
                <w:rStyle w:val="FootnoteReference"/>
              </w:rPr>
              <w:footnoteReference w:id="113"/>
            </w:r>
            <w:r w:rsidRPr="00B6039A">
              <w:t xml:space="preserve"> It has stated that “further consideration is required of opportunities for greater alignment between the health, welfare system and the ACC system.”</w:t>
            </w:r>
          </w:p>
        </w:tc>
        <w:tc>
          <w:tcPr>
            <w:tcW w:w="3826" w:type="dxa"/>
            <w:shd w:val="clear" w:color="auto" w:fill="FFA5A5"/>
          </w:tcPr>
          <w:p w14:paraId="5ED00A1D" w14:textId="4375F5B6" w:rsidR="002203FB" w:rsidRPr="00B6039A" w:rsidRDefault="005E1481" w:rsidP="00684575">
            <w:pPr>
              <w:ind w:left="178" w:firstLine="0"/>
            </w:pPr>
            <w:r w:rsidRPr="00B6039A">
              <w:t>No evidence of implementation.</w:t>
            </w:r>
          </w:p>
        </w:tc>
      </w:tr>
      <w:tr w:rsidR="002203FB" w:rsidRPr="00B6039A" w14:paraId="431026DC" w14:textId="77777777" w:rsidTr="00520EBB">
        <w:trPr>
          <w:trHeight w:val="310"/>
        </w:trPr>
        <w:tc>
          <w:tcPr>
            <w:tcW w:w="846" w:type="dxa"/>
          </w:tcPr>
          <w:p w14:paraId="7C0A5DD9" w14:textId="77777777" w:rsidR="002203FB" w:rsidRPr="00B6039A" w:rsidRDefault="002203FB" w:rsidP="00520EBB">
            <w:pPr>
              <w:pStyle w:val="ListParagraph"/>
              <w:numPr>
                <w:ilvl w:val="0"/>
                <w:numId w:val="6"/>
              </w:numPr>
            </w:pPr>
          </w:p>
        </w:tc>
        <w:tc>
          <w:tcPr>
            <w:tcW w:w="4833" w:type="dxa"/>
          </w:tcPr>
          <w:p w14:paraId="34BF36CF" w14:textId="77777777" w:rsidR="002203FB" w:rsidRPr="00B6039A" w:rsidRDefault="002203FB" w:rsidP="007601C3">
            <w:pPr>
              <w:spacing w:before="120" w:after="120"/>
              <w:ind w:left="442" w:hanging="357"/>
            </w:pPr>
            <w:r w:rsidRPr="00B6039A">
              <w:t xml:space="preserve">Direct the Ministry of Social Development to develop the capacity and capability to engage with, promote and fund community organisations to provide wide-ranging opportunities for volunteers and people </w:t>
            </w:r>
            <w:r w:rsidRPr="00B6039A">
              <w:lastRenderedPageBreak/>
              <w:t>receiving benefits to be meaningfully engaged in their communities.</w:t>
            </w:r>
          </w:p>
        </w:tc>
        <w:tc>
          <w:tcPr>
            <w:tcW w:w="1260" w:type="dxa"/>
          </w:tcPr>
          <w:p w14:paraId="26A6691C" w14:textId="6E1B4571" w:rsidR="002203FB" w:rsidRPr="00B6039A" w:rsidRDefault="00684575" w:rsidP="00684575">
            <w:pPr>
              <w:ind w:left="163" w:hanging="77"/>
            </w:pPr>
            <w:r w:rsidRPr="00B6039A">
              <w:lastRenderedPageBreak/>
              <w:t>Detailed Rec</w:t>
            </w:r>
            <w:r w:rsidR="002203FB" w:rsidRPr="00B6039A">
              <w:t xml:space="preserve"> 123 (see </w:t>
            </w:r>
            <w:r w:rsidR="0029286F" w:rsidRPr="00B6039A">
              <w:t>Table 4</w:t>
            </w:r>
            <w:r w:rsidR="002203FB" w:rsidRPr="00B6039A">
              <w:t>)</w:t>
            </w:r>
          </w:p>
        </w:tc>
        <w:tc>
          <w:tcPr>
            <w:tcW w:w="4230" w:type="dxa"/>
          </w:tcPr>
          <w:p w14:paraId="591B1CB4" w14:textId="77777777" w:rsidR="002203FB" w:rsidRPr="00B6039A" w:rsidRDefault="002203FB" w:rsidP="00684575">
            <w:pPr>
              <w:ind w:left="178" w:firstLine="0"/>
            </w:pPr>
            <w:r w:rsidRPr="00B6039A">
              <w:t>The Government has stated that work is ‘already underway’ to address Key Recommendation 42.</w:t>
            </w:r>
            <w:r w:rsidRPr="00B6039A">
              <w:rPr>
                <w:rStyle w:val="FootnoteReference"/>
              </w:rPr>
              <w:footnoteReference w:id="114"/>
            </w:r>
            <w:r w:rsidRPr="00B6039A">
              <w:t xml:space="preserve"> It has stated that “the Social Wellbeing Board has been commissioned to explore NGO contracting and relationships across government”, and </w:t>
            </w:r>
            <w:r w:rsidRPr="00B6039A">
              <w:lastRenderedPageBreak/>
              <w:t>“work is underway at MSD to consider how it can increase its role working with communities and the community sector” as well as to consider “how MSD can better support volunteers”.</w:t>
            </w:r>
            <w:r w:rsidRPr="00B6039A">
              <w:rPr>
                <w:rStyle w:val="FootnoteReference"/>
              </w:rPr>
              <w:footnoteReference w:id="115"/>
            </w:r>
          </w:p>
        </w:tc>
        <w:tc>
          <w:tcPr>
            <w:tcW w:w="3826" w:type="dxa"/>
            <w:shd w:val="clear" w:color="auto" w:fill="FFA5A5"/>
          </w:tcPr>
          <w:p w14:paraId="272A72BF" w14:textId="77777777" w:rsidR="00E2020C" w:rsidRPr="00B6039A" w:rsidRDefault="005E1481" w:rsidP="00684575">
            <w:pPr>
              <w:ind w:left="178" w:firstLine="0"/>
            </w:pPr>
            <w:r w:rsidRPr="00B6039A">
              <w:lastRenderedPageBreak/>
              <w:t>No evidence of implementation.</w:t>
            </w:r>
            <w:r w:rsidR="002203FB" w:rsidRPr="00B6039A">
              <w:t xml:space="preserve"> </w:t>
            </w:r>
          </w:p>
          <w:p w14:paraId="4321AD32" w14:textId="77777777" w:rsidR="00E2020C" w:rsidRPr="00B6039A" w:rsidRDefault="00E2020C" w:rsidP="00684575">
            <w:pPr>
              <w:ind w:left="178" w:firstLine="0"/>
            </w:pPr>
          </w:p>
          <w:p w14:paraId="002914D0" w14:textId="2280D2BF" w:rsidR="002203FB" w:rsidRPr="00B6039A" w:rsidRDefault="002203FB" w:rsidP="00684575">
            <w:pPr>
              <w:ind w:left="178" w:firstLine="0"/>
            </w:pPr>
            <w:r w:rsidRPr="00B6039A">
              <w:t xml:space="preserve">Public debate over the role of volunteering for recipients of income </w:t>
            </w:r>
            <w:r w:rsidRPr="00B6039A">
              <w:lastRenderedPageBreak/>
              <w:t>support has taken place,</w:t>
            </w:r>
            <w:r w:rsidRPr="00B6039A">
              <w:rPr>
                <w:rStyle w:val="FootnoteReference"/>
              </w:rPr>
              <w:footnoteReference w:id="116"/>
            </w:r>
            <w:r w:rsidRPr="00B6039A">
              <w:t xml:space="preserve"> but no concrete progress in this space.</w:t>
            </w:r>
          </w:p>
        </w:tc>
      </w:tr>
    </w:tbl>
    <w:p w14:paraId="5DAFA1B6" w14:textId="77777777" w:rsidR="002203FB" w:rsidRPr="00B6039A" w:rsidRDefault="002203FB" w:rsidP="002203FB"/>
    <w:p w14:paraId="291B96E2" w14:textId="12FC95E2" w:rsidR="007601C3" w:rsidRPr="00B6039A" w:rsidRDefault="007601C3">
      <w:r w:rsidRPr="00B6039A">
        <w:br w:type="page"/>
      </w:r>
    </w:p>
    <w:p w14:paraId="25426BB2" w14:textId="7415CE9A" w:rsidR="004373FE" w:rsidRPr="00B6039A" w:rsidRDefault="0029286F" w:rsidP="0043028C">
      <w:pPr>
        <w:rPr>
          <w:b/>
        </w:rPr>
      </w:pPr>
      <w:r w:rsidRPr="00B6039A">
        <w:rPr>
          <w:b/>
        </w:rPr>
        <w:lastRenderedPageBreak/>
        <w:t>Table 4</w:t>
      </w:r>
      <w:r w:rsidR="004373FE" w:rsidRPr="00B6039A">
        <w:rPr>
          <w:b/>
        </w:rPr>
        <w:t xml:space="preserve">: Full list of the WEAG’s Detailed Recommendations and the Coalition Government’s implementation progress as of </w:t>
      </w:r>
      <w:r w:rsidR="000326AA" w:rsidRPr="00B6039A">
        <w:rPr>
          <w:b/>
        </w:rPr>
        <w:t>November</w:t>
      </w:r>
      <w:r w:rsidR="004373FE" w:rsidRPr="00B6039A">
        <w:rPr>
          <w:b/>
        </w:rPr>
        <w:t xml:space="preserve"> 2020</w:t>
      </w:r>
    </w:p>
    <w:p w14:paraId="52350B1A" w14:textId="77777777" w:rsidR="004373FE" w:rsidRPr="00B6039A" w:rsidRDefault="004373FE" w:rsidP="0043028C"/>
    <w:tbl>
      <w:tblPr>
        <w:tblStyle w:val="TableGrid"/>
        <w:tblW w:w="13462" w:type="dxa"/>
        <w:tblLayout w:type="fixed"/>
        <w:tblLook w:val="04A0" w:firstRow="1" w:lastRow="0" w:firstColumn="1" w:lastColumn="0" w:noHBand="0" w:noVBand="1"/>
      </w:tblPr>
      <w:tblGrid>
        <w:gridCol w:w="1838"/>
        <w:gridCol w:w="3687"/>
        <w:gridCol w:w="1133"/>
        <w:gridCol w:w="3337"/>
        <w:gridCol w:w="3467"/>
      </w:tblGrid>
      <w:tr w:rsidR="004373FE" w:rsidRPr="00B6039A" w14:paraId="71A62656" w14:textId="77777777" w:rsidTr="00AD5309">
        <w:tc>
          <w:tcPr>
            <w:tcW w:w="1838" w:type="dxa"/>
            <w:shd w:val="clear" w:color="auto" w:fill="D9D9D9" w:themeFill="background1" w:themeFillShade="D9"/>
          </w:tcPr>
          <w:p w14:paraId="6000F293" w14:textId="77777777" w:rsidR="004373FE" w:rsidRPr="00B6039A" w:rsidRDefault="004373FE" w:rsidP="007601C3">
            <w:pPr>
              <w:ind w:left="29" w:firstLine="8"/>
              <w:rPr>
                <w:b/>
                <w:sz w:val="20"/>
              </w:rPr>
            </w:pPr>
            <w:r w:rsidRPr="00B6039A">
              <w:rPr>
                <w:b/>
                <w:sz w:val="20"/>
              </w:rPr>
              <w:t>Theme</w:t>
            </w:r>
          </w:p>
        </w:tc>
        <w:tc>
          <w:tcPr>
            <w:tcW w:w="3687" w:type="dxa"/>
            <w:shd w:val="clear" w:color="auto" w:fill="D9D9D9" w:themeFill="background1" w:themeFillShade="D9"/>
          </w:tcPr>
          <w:p w14:paraId="1F66CE17" w14:textId="77777777" w:rsidR="004373FE" w:rsidRPr="00B6039A" w:rsidRDefault="004373FE" w:rsidP="00DA296E">
            <w:pPr>
              <w:rPr>
                <w:b/>
                <w:i/>
                <w:sz w:val="20"/>
              </w:rPr>
            </w:pPr>
            <w:r w:rsidRPr="00B6039A">
              <w:rPr>
                <w:b/>
                <w:sz w:val="20"/>
              </w:rPr>
              <w:t xml:space="preserve">Detailed Recommendation </w:t>
            </w:r>
            <w:r w:rsidRPr="00B6039A">
              <w:rPr>
                <w:b/>
                <w:i/>
                <w:sz w:val="18"/>
              </w:rPr>
              <w:t>(N.B. numbers are our own, but reflect the order in which they appear in the WEAG report)</w:t>
            </w:r>
          </w:p>
        </w:tc>
        <w:tc>
          <w:tcPr>
            <w:tcW w:w="1133" w:type="dxa"/>
            <w:shd w:val="clear" w:color="auto" w:fill="D9D9D9" w:themeFill="background1" w:themeFillShade="D9"/>
          </w:tcPr>
          <w:p w14:paraId="45FD1648" w14:textId="30B0420F" w:rsidR="004373FE" w:rsidRPr="00B6039A" w:rsidRDefault="004373FE" w:rsidP="008F53B4">
            <w:pPr>
              <w:ind w:left="37" w:firstLine="49"/>
              <w:rPr>
                <w:b/>
                <w:sz w:val="20"/>
              </w:rPr>
            </w:pPr>
            <w:r w:rsidRPr="00B6039A">
              <w:rPr>
                <w:b/>
                <w:sz w:val="20"/>
              </w:rPr>
              <w:t>Relevant Key Rec(s) and or Chapter(s) (if any)</w:t>
            </w:r>
          </w:p>
        </w:tc>
        <w:tc>
          <w:tcPr>
            <w:tcW w:w="3337" w:type="dxa"/>
            <w:shd w:val="clear" w:color="auto" w:fill="D9D9D9" w:themeFill="background1" w:themeFillShade="D9"/>
          </w:tcPr>
          <w:p w14:paraId="194C9E67" w14:textId="77777777" w:rsidR="004373FE" w:rsidRPr="00B6039A" w:rsidRDefault="004373FE" w:rsidP="00DA296E">
            <w:pPr>
              <w:rPr>
                <w:b/>
                <w:sz w:val="20"/>
              </w:rPr>
            </w:pPr>
            <w:r w:rsidRPr="00B6039A">
              <w:rPr>
                <w:b/>
                <w:sz w:val="20"/>
              </w:rPr>
              <w:t>What the Coalition Government 2017-20 reported</w:t>
            </w:r>
          </w:p>
        </w:tc>
        <w:tc>
          <w:tcPr>
            <w:tcW w:w="3467" w:type="dxa"/>
            <w:shd w:val="clear" w:color="auto" w:fill="D9D9D9" w:themeFill="background1" w:themeFillShade="D9"/>
          </w:tcPr>
          <w:p w14:paraId="2B658B85" w14:textId="77777777" w:rsidR="004373FE" w:rsidRPr="00B6039A" w:rsidRDefault="004373FE" w:rsidP="00DA296E">
            <w:pPr>
              <w:rPr>
                <w:b/>
                <w:sz w:val="20"/>
              </w:rPr>
            </w:pPr>
            <w:r w:rsidRPr="00B6039A">
              <w:rPr>
                <w:b/>
                <w:sz w:val="20"/>
              </w:rPr>
              <w:t>Evidence of action</w:t>
            </w:r>
          </w:p>
        </w:tc>
      </w:tr>
      <w:tr w:rsidR="004373FE" w:rsidRPr="00B6039A" w14:paraId="6136FAFA" w14:textId="77777777" w:rsidTr="00AD5309">
        <w:tc>
          <w:tcPr>
            <w:tcW w:w="1838" w:type="dxa"/>
          </w:tcPr>
          <w:p w14:paraId="0E1993DA" w14:textId="77777777" w:rsidR="004373FE" w:rsidRPr="00B6039A" w:rsidRDefault="004373FE" w:rsidP="007601C3">
            <w:pPr>
              <w:ind w:left="29" w:firstLine="8"/>
            </w:pPr>
            <w:r w:rsidRPr="00B6039A">
              <w:t>Mutual expectations framework</w:t>
            </w:r>
          </w:p>
        </w:tc>
        <w:tc>
          <w:tcPr>
            <w:tcW w:w="3687" w:type="dxa"/>
          </w:tcPr>
          <w:p w14:paraId="0649C72C" w14:textId="77777777" w:rsidR="004373FE" w:rsidRPr="00B6039A" w:rsidRDefault="004373FE" w:rsidP="00112B50">
            <w:pPr>
              <w:pStyle w:val="ListParagraph"/>
              <w:numPr>
                <w:ilvl w:val="0"/>
                <w:numId w:val="1"/>
              </w:numPr>
              <w:ind w:left="313" w:hanging="218"/>
            </w:pPr>
            <w:r w:rsidRPr="00B6039A">
              <w:t xml:space="preserve">Reform the obligations and sanctions regime into a system of mutual expectations and responsibilities, apply these according to the circumstances of the individual and in a way that is consistent with the proposed purpose, principles and values. Strong checks to mitigate potential negative impacts on individuals and their families will be required. This new approach is strongly connected to improving wellbeing and supporting the increased skills and labour market capacity of the individual and family or </w:t>
            </w:r>
            <w:proofErr w:type="spellStart"/>
            <w:r w:rsidRPr="00B6039A">
              <w:t>whānau</w:t>
            </w:r>
            <w:proofErr w:type="spellEnd"/>
            <w:r w:rsidRPr="00B6039A">
              <w:t>.</w:t>
            </w:r>
          </w:p>
        </w:tc>
        <w:tc>
          <w:tcPr>
            <w:tcW w:w="1133" w:type="dxa"/>
          </w:tcPr>
          <w:p w14:paraId="576AA692" w14:textId="552338AF" w:rsidR="004373FE" w:rsidRPr="00B6039A" w:rsidRDefault="004373FE" w:rsidP="008F53B4">
            <w:pPr>
              <w:ind w:left="179" w:hanging="93"/>
            </w:pPr>
            <w:r w:rsidRPr="00B6039A">
              <w:t xml:space="preserve">Key </w:t>
            </w:r>
            <w:r w:rsidR="00112B50" w:rsidRPr="00B6039A">
              <w:t>Rec</w:t>
            </w:r>
            <w:r w:rsidRPr="00B6039A">
              <w:t xml:space="preserve"> 10; </w:t>
            </w:r>
            <w:r w:rsidR="00112B50" w:rsidRPr="00B6039A">
              <w:t>Ch</w:t>
            </w:r>
            <w:r w:rsidRPr="00B6039A">
              <w:t xml:space="preserve"> 6</w:t>
            </w:r>
          </w:p>
        </w:tc>
        <w:tc>
          <w:tcPr>
            <w:tcW w:w="3337" w:type="dxa"/>
          </w:tcPr>
          <w:p w14:paraId="318502BC" w14:textId="77777777" w:rsidR="004373FE" w:rsidRPr="00B6039A" w:rsidRDefault="004373FE" w:rsidP="00DA296E">
            <w:r w:rsidRPr="00B6039A">
              <w:t>The Government has stated that Key Recommendation 10 is being partially implemented, reporting that they have “already started work to ensure clients are treated with dignity and respect, and this work will continue”.</w:t>
            </w:r>
            <w:r w:rsidRPr="00B6039A">
              <w:rPr>
                <w:rStyle w:val="FootnoteReference"/>
              </w:rPr>
              <w:footnoteReference w:id="117"/>
            </w:r>
            <w:r w:rsidRPr="00B6039A">
              <w:t xml:space="preserve"> </w:t>
            </w:r>
          </w:p>
        </w:tc>
        <w:tc>
          <w:tcPr>
            <w:tcW w:w="3467" w:type="dxa"/>
            <w:shd w:val="clear" w:color="auto" w:fill="FFA5A5"/>
          </w:tcPr>
          <w:p w14:paraId="56C6BC04" w14:textId="67814BA1" w:rsidR="004373FE" w:rsidRPr="00B6039A" w:rsidRDefault="005E1481" w:rsidP="00DA296E">
            <w:r w:rsidRPr="00B6039A">
              <w:t>No evidence of implementation.</w:t>
            </w:r>
            <w:r w:rsidR="004373FE" w:rsidRPr="00B6039A">
              <w:t xml:space="preserve"> </w:t>
            </w:r>
          </w:p>
          <w:p w14:paraId="2127B780" w14:textId="77777777" w:rsidR="004373FE" w:rsidRPr="00B6039A" w:rsidRDefault="004373FE" w:rsidP="00DA296E"/>
          <w:p w14:paraId="199E1922" w14:textId="6C6DB1A0" w:rsidR="004373FE" w:rsidRPr="00B6039A" w:rsidRDefault="004373FE" w:rsidP="00494F9C">
            <w:pPr>
              <w:ind w:left="237" w:firstLine="0"/>
            </w:pPr>
            <w:r w:rsidRPr="00B6039A">
              <w:t xml:space="preserve">Continual reports of clients not being treated with dignity and respect, and sanctions and obligations continue to be implemented without strong checks on the wider implications of these rules on children and </w:t>
            </w:r>
            <w:proofErr w:type="spellStart"/>
            <w:r w:rsidRPr="00B6039A">
              <w:t>whānau</w:t>
            </w:r>
            <w:proofErr w:type="spellEnd"/>
            <w:r w:rsidRPr="00B6039A">
              <w:t xml:space="preserve">.  </w:t>
            </w:r>
          </w:p>
        </w:tc>
      </w:tr>
      <w:tr w:rsidR="004373FE" w:rsidRPr="00B6039A" w14:paraId="3DBCCFB5" w14:textId="77777777" w:rsidTr="00AD5309">
        <w:trPr>
          <w:trHeight w:val="2400"/>
        </w:trPr>
        <w:tc>
          <w:tcPr>
            <w:tcW w:w="1838" w:type="dxa"/>
            <w:vMerge w:val="restart"/>
          </w:tcPr>
          <w:p w14:paraId="1547298E" w14:textId="77777777" w:rsidR="004373FE" w:rsidRPr="00B6039A" w:rsidRDefault="004373FE" w:rsidP="007601C3">
            <w:pPr>
              <w:ind w:left="29" w:firstLine="8"/>
            </w:pPr>
            <w:r w:rsidRPr="00B6039A">
              <w:lastRenderedPageBreak/>
              <w:t>Obligations and sanctions removal</w:t>
            </w:r>
          </w:p>
        </w:tc>
        <w:tc>
          <w:tcPr>
            <w:tcW w:w="3687" w:type="dxa"/>
          </w:tcPr>
          <w:p w14:paraId="6611F32B" w14:textId="77777777" w:rsidR="004373FE" w:rsidRPr="00B6039A" w:rsidRDefault="004373FE" w:rsidP="00DA296E">
            <w:pPr>
              <w:pStyle w:val="ListParagraph"/>
              <w:numPr>
                <w:ilvl w:val="0"/>
                <w:numId w:val="1"/>
              </w:numPr>
            </w:pPr>
            <w:r w:rsidRPr="00B6039A">
              <w:t>Remove the requirement to complete specific activities before a benefit is granted (pre-benefit activities)</w:t>
            </w:r>
          </w:p>
        </w:tc>
        <w:tc>
          <w:tcPr>
            <w:tcW w:w="1133" w:type="dxa"/>
            <w:vMerge w:val="restart"/>
          </w:tcPr>
          <w:p w14:paraId="59AA9681" w14:textId="65C0B772" w:rsidR="004373FE" w:rsidRPr="00B6039A" w:rsidRDefault="004373FE" w:rsidP="008F53B4">
            <w:pPr>
              <w:ind w:left="179" w:hanging="93"/>
            </w:pPr>
            <w:r w:rsidRPr="00B6039A">
              <w:t xml:space="preserve">Key </w:t>
            </w:r>
            <w:r w:rsidR="00112B50" w:rsidRPr="00B6039A">
              <w:t>Rec</w:t>
            </w:r>
            <w:r w:rsidRPr="00B6039A">
              <w:t xml:space="preserve"> 11; </w:t>
            </w:r>
            <w:r w:rsidR="00112B50" w:rsidRPr="00B6039A">
              <w:t>Ch</w:t>
            </w:r>
            <w:r w:rsidRPr="00B6039A">
              <w:t xml:space="preserve"> 6</w:t>
            </w:r>
          </w:p>
        </w:tc>
        <w:tc>
          <w:tcPr>
            <w:tcW w:w="3337" w:type="dxa"/>
          </w:tcPr>
          <w:p w14:paraId="005CC38F" w14:textId="77777777" w:rsidR="004373FE" w:rsidRPr="00B6039A" w:rsidRDefault="004373FE" w:rsidP="00AD5309">
            <w:pPr>
              <w:ind w:left="178" w:hanging="92"/>
            </w:pPr>
            <w:r w:rsidRPr="00B6039A">
              <w:t>The Government has stated that Key Recommendation 11 is being partially implemented.</w:t>
            </w:r>
            <w:r w:rsidRPr="00B6039A">
              <w:rPr>
                <w:rStyle w:val="FootnoteReference"/>
              </w:rPr>
              <w:footnoteReference w:id="118"/>
            </w:r>
            <w:r w:rsidRPr="00B6039A">
              <w:t xml:space="preserve">  </w:t>
            </w:r>
          </w:p>
          <w:p w14:paraId="01C6FF9F" w14:textId="77777777" w:rsidR="004373FE" w:rsidRPr="00B6039A" w:rsidRDefault="004373FE" w:rsidP="00AD5309">
            <w:pPr>
              <w:ind w:left="178" w:hanging="92"/>
            </w:pPr>
            <w:r w:rsidRPr="00B6039A">
              <w:t>They have stated that they will review the role of sanctions in the welfare system, and continue to explore WEAG’s suggestions of sanction removal.</w:t>
            </w:r>
          </w:p>
        </w:tc>
        <w:tc>
          <w:tcPr>
            <w:tcW w:w="3467" w:type="dxa"/>
            <w:shd w:val="clear" w:color="auto" w:fill="FFA5A5"/>
          </w:tcPr>
          <w:p w14:paraId="4A4932DB" w14:textId="23789253" w:rsidR="004373FE" w:rsidRPr="00B6039A" w:rsidRDefault="005E1481" w:rsidP="00DA296E">
            <w:r w:rsidRPr="00B6039A">
              <w:t>No evidence of implementation.</w:t>
            </w:r>
          </w:p>
          <w:p w14:paraId="7530D755" w14:textId="77777777" w:rsidR="004373FE" w:rsidRPr="00B6039A" w:rsidRDefault="004373FE" w:rsidP="00DA296E"/>
          <w:p w14:paraId="6DC1C559" w14:textId="77777777" w:rsidR="004373FE" w:rsidRPr="00B6039A" w:rsidRDefault="004373FE" w:rsidP="00DA296E">
            <w:r w:rsidRPr="00B6039A">
              <w:t>This requirement remains in place.</w:t>
            </w:r>
          </w:p>
        </w:tc>
      </w:tr>
      <w:tr w:rsidR="004373FE" w:rsidRPr="00B6039A" w14:paraId="5950898D" w14:textId="77777777" w:rsidTr="00AD5309">
        <w:trPr>
          <w:trHeight w:val="1680"/>
        </w:trPr>
        <w:tc>
          <w:tcPr>
            <w:tcW w:w="1838" w:type="dxa"/>
            <w:vMerge/>
          </w:tcPr>
          <w:p w14:paraId="0F792DA5" w14:textId="77777777" w:rsidR="004373FE" w:rsidRPr="00B6039A" w:rsidRDefault="004373FE" w:rsidP="007601C3">
            <w:pPr>
              <w:ind w:left="29" w:firstLine="8"/>
            </w:pPr>
          </w:p>
        </w:tc>
        <w:tc>
          <w:tcPr>
            <w:tcW w:w="3687" w:type="dxa"/>
          </w:tcPr>
          <w:p w14:paraId="36D8D315" w14:textId="77777777" w:rsidR="004373FE" w:rsidRPr="00B6039A" w:rsidRDefault="004373FE" w:rsidP="00AD5309">
            <w:pPr>
              <w:pStyle w:val="ListParagraph"/>
              <w:numPr>
                <w:ilvl w:val="0"/>
                <w:numId w:val="1"/>
              </w:numPr>
              <w:ind w:left="455"/>
            </w:pPr>
            <w:r w:rsidRPr="00B6039A">
              <w:t>Remove the sanction where benefit payments stop if people have a warrant out for their arrest, and continue data matching with the Ministry of Justice and take a proactive supportive approach to contacting these people</w:t>
            </w:r>
          </w:p>
          <w:p w14:paraId="372692B0" w14:textId="77777777" w:rsidR="004373FE" w:rsidRPr="00B6039A" w:rsidRDefault="004373FE" w:rsidP="00AD5309">
            <w:pPr>
              <w:pStyle w:val="ListParagraph"/>
              <w:ind w:left="455"/>
            </w:pPr>
          </w:p>
        </w:tc>
        <w:tc>
          <w:tcPr>
            <w:tcW w:w="1133" w:type="dxa"/>
            <w:vMerge/>
          </w:tcPr>
          <w:p w14:paraId="5DD63D68" w14:textId="77777777" w:rsidR="004373FE" w:rsidRPr="00B6039A" w:rsidRDefault="004373FE" w:rsidP="00DA296E"/>
        </w:tc>
        <w:tc>
          <w:tcPr>
            <w:tcW w:w="3337" w:type="dxa"/>
          </w:tcPr>
          <w:p w14:paraId="7EFEA5F4" w14:textId="77777777" w:rsidR="004373FE" w:rsidRPr="00B6039A" w:rsidRDefault="004373FE" w:rsidP="00AD5309">
            <w:pPr>
              <w:ind w:left="178" w:firstLine="0"/>
            </w:pPr>
            <w:r w:rsidRPr="00B6039A">
              <w:t>The Government has stated that Key Recommendation 11 is being partially implemented.</w:t>
            </w:r>
            <w:r w:rsidRPr="00B6039A">
              <w:rPr>
                <w:rStyle w:val="FootnoteReference"/>
              </w:rPr>
              <w:footnoteReference w:id="119"/>
            </w:r>
            <w:r w:rsidRPr="00B6039A">
              <w:t xml:space="preserve">  </w:t>
            </w:r>
          </w:p>
          <w:p w14:paraId="0A31866B" w14:textId="77777777" w:rsidR="004373FE" w:rsidRPr="00B6039A" w:rsidRDefault="004373FE" w:rsidP="00AD5309">
            <w:pPr>
              <w:ind w:left="178" w:firstLine="0"/>
            </w:pPr>
            <w:r w:rsidRPr="00B6039A">
              <w:t>They have stated that they will review the role of sanctions in the welfare system, and continue to explore WEAG’s suggestions of sanction removal.</w:t>
            </w:r>
          </w:p>
        </w:tc>
        <w:tc>
          <w:tcPr>
            <w:tcW w:w="3467" w:type="dxa"/>
            <w:shd w:val="clear" w:color="auto" w:fill="FFA5A5"/>
          </w:tcPr>
          <w:p w14:paraId="28FE6541" w14:textId="7F794B45" w:rsidR="004373FE" w:rsidRPr="00B6039A" w:rsidRDefault="005E1481" w:rsidP="00DA296E">
            <w:r w:rsidRPr="00B6039A">
              <w:t>No evidence of implementation.</w:t>
            </w:r>
          </w:p>
          <w:p w14:paraId="427F32CC" w14:textId="77777777" w:rsidR="004373FE" w:rsidRPr="00B6039A" w:rsidRDefault="004373FE" w:rsidP="00DA296E"/>
          <w:p w14:paraId="24CCA131" w14:textId="77777777" w:rsidR="004373FE" w:rsidRPr="00B6039A" w:rsidRDefault="004373FE" w:rsidP="00DA296E">
            <w:r w:rsidRPr="00B6039A">
              <w:t>This sanction remains in place.</w:t>
            </w:r>
          </w:p>
        </w:tc>
      </w:tr>
      <w:tr w:rsidR="004373FE" w:rsidRPr="00B6039A" w14:paraId="2EE2D7C8" w14:textId="77777777" w:rsidTr="00AD5309">
        <w:trPr>
          <w:trHeight w:val="471"/>
        </w:trPr>
        <w:tc>
          <w:tcPr>
            <w:tcW w:w="1838" w:type="dxa"/>
            <w:vMerge/>
          </w:tcPr>
          <w:p w14:paraId="01B9BB45" w14:textId="77777777" w:rsidR="004373FE" w:rsidRPr="00B6039A" w:rsidRDefault="004373FE" w:rsidP="007601C3">
            <w:pPr>
              <w:ind w:left="29" w:firstLine="8"/>
            </w:pPr>
          </w:p>
        </w:tc>
        <w:tc>
          <w:tcPr>
            <w:tcW w:w="3687" w:type="dxa"/>
          </w:tcPr>
          <w:p w14:paraId="4D51FFC3" w14:textId="77777777" w:rsidR="004373FE" w:rsidRPr="00B6039A" w:rsidRDefault="004373FE" w:rsidP="00AD5309">
            <w:pPr>
              <w:pStyle w:val="ListParagraph"/>
              <w:numPr>
                <w:ilvl w:val="0"/>
                <w:numId w:val="1"/>
              </w:numPr>
              <w:ind w:left="455"/>
            </w:pPr>
            <w:r w:rsidRPr="00B6039A">
              <w:t xml:space="preserve">Remove social obligations that require people receiving a benefit to take all reasonable steps to have their children enrolled with a medical practice, be up to date with their </w:t>
            </w:r>
            <w:proofErr w:type="spellStart"/>
            <w:r w:rsidRPr="00B6039A">
              <w:t>Wellchild</w:t>
            </w:r>
            <w:proofErr w:type="spellEnd"/>
            <w:r w:rsidRPr="00B6039A">
              <w:t>/Tamariki Ora checks and be attending early childhood education or school</w:t>
            </w:r>
          </w:p>
        </w:tc>
        <w:tc>
          <w:tcPr>
            <w:tcW w:w="1133" w:type="dxa"/>
            <w:vMerge/>
          </w:tcPr>
          <w:p w14:paraId="5DCDB06F" w14:textId="77777777" w:rsidR="004373FE" w:rsidRPr="00B6039A" w:rsidRDefault="004373FE" w:rsidP="00DA296E"/>
        </w:tc>
        <w:tc>
          <w:tcPr>
            <w:tcW w:w="3337" w:type="dxa"/>
          </w:tcPr>
          <w:p w14:paraId="36F685F0" w14:textId="77777777" w:rsidR="004373FE" w:rsidRPr="00B6039A" w:rsidRDefault="004373FE" w:rsidP="00AD5309">
            <w:pPr>
              <w:ind w:left="178" w:firstLine="0"/>
            </w:pPr>
            <w:r w:rsidRPr="00B6039A">
              <w:t>The Government has stated that Key Recommendation 11 is being partially implemented.</w:t>
            </w:r>
            <w:r w:rsidRPr="00B6039A">
              <w:rPr>
                <w:rStyle w:val="FootnoteReference"/>
              </w:rPr>
              <w:footnoteReference w:id="120"/>
            </w:r>
            <w:r w:rsidRPr="00B6039A">
              <w:t xml:space="preserve">  </w:t>
            </w:r>
          </w:p>
          <w:p w14:paraId="2A7D2C71" w14:textId="77777777" w:rsidR="004373FE" w:rsidRPr="00B6039A" w:rsidRDefault="004373FE" w:rsidP="00AD5309">
            <w:pPr>
              <w:ind w:left="178" w:firstLine="0"/>
            </w:pPr>
            <w:r w:rsidRPr="00B6039A">
              <w:t>They have stated that they will review the role of sanctions in the welfare system, and continue to explore WEAG’s suggestions of sanction removal.</w:t>
            </w:r>
          </w:p>
        </w:tc>
        <w:tc>
          <w:tcPr>
            <w:tcW w:w="3467" w:type="dxa"/>
            <w:shd w:val="clear" w:color="auto" w:fill="FFA5A5"/>
          </w:tcPr>
          <w:p w14:paraId="1F1EC63E" w14:textId="00A3ABFE" w:rsidR="004373FE" w:rsidRPr="00B6039A" w:rsidRDefault="005E1481" w:rsidP="00DA296E">
            <w:r w:rsidRPr="00B6039A">
              <w:t>No evidence of implementation.</w:t>
            </w:r>
          </w:p>
          <w:p w14:paraId="7AA7EE2B" w14:textId="77777777" w:rsidR="004373FE" w:rsidRPr="00B6039A" w:rsidRDefault="004373FE" w:rsidP="00DA296E"/>
          <w:p w14:paraId="1768E9ED" w14:textId="77777777" w:rsidR="004373FE" w:rsidRPr="00B6039A" w:rsidRDefault="004373FE" w:rsidP="00DA296E">
            <w:r w:rsidRPr="00B6039A">
              <w:t>These obligations remain in place.</w:t>
            </w:r>
          </w:p>
        </w:tc>
      </w:tr>
      <w:tr w:rsidR="004373FE" w:rsidRPr="00B6039A" w14:paraId="2E394010" w14:textId="77777777" w:rsidTr="00AD5309">
        <w:trPr>
          <w:trHeight w:val="468"/>
        </w:trPr>
        <w:tc>
          <w:tcPr>
            <w:tcW w:w="1838" w:type="dxa"/>
            <w:vMerge/>
          </w:tcPr>
          <w:p w14:paraId="4F7CCD5A" w14:textId="77777777" w:rsidR="004373FE" w:rsidRPr="00B6039A" w:rsidRDefault="004373FE" w:rsidP="007601C3">
            <w:pPr>
              <w:ind w:left="29" w:firstLine="8"/>
            </w:pPr>
          </w:p>
        </w:tc>
        <w:tc>
          <w:tcPr>
            <w:tcW w:w="3687" w:type="dxa"/>
          </w:tcPr>
          <w:p w14:paraId="01DECA4B" w14:textId="77777777" w:rsidR="004373FE" w:rsidRPr="00B6039A" w:rsidRDefault="004373FE" w:rsidP="00AD5309">
            <w:pPr>
              <w:pStyle w:val="ListParagraph"/>
              <w:numPr>
                <w:ilvl w:val="0"/>
                <w:numId w:val="1"/>
              </w:numPr>
              <w:ind w:left="455"/>
            </w:pPr>
            <w:r w:rsidRPr="00B6039A">
              <w:t>Remove pre-employment drug testing and provide specialised support for people with substance use disorders</w:t>
            </w:r>
          </w:p>
        </w:tc>
        <w:tc>
          <w:tcPr>
            <w:tcW w:w="1133" w:type="dxa"/>
            <w:vMerge/>
          </w:tcPr>
          <w:p w14:paraId="5B03557E" w14:textId="77777777" w:rsidR="004373FE" w:rsidRPr="00B6039A" w:rsidRDefault="004373FE" w:rsidP="00DA296E"/>
        </w:tc>
        <w:tc>
          <w:tcPr>
            <w:tcW w:w="3337" w:type="dxa"/>
          </w:tcPr>
          <w:p w14:paraId="29F3B019" w14:textId="77777777" w:rsidR="004373FE" w:rsidRPr="00B6039A" w:rsidRDefault="004373FE" w:rsidP="00AD5309">
            <w:pPr>
              <w:ind w:left="178" w:hanging="92"/>
            </w:pPr>
            <w:r w:rsidRPr="00B6039A">
              <w:t>The Government has stated that “further advice” will be sought on the drug-testing sanction.</w:t>
            </w:r>
            <w:r w:rsidRPr="00B6039A">
              <w:rPr>
                <w:rStyle w:val="FootnoteReference"/>
              </w:rPr>
              <w:footnoteReference w:id="121"/>
            </w:r>
          </w:p>
        </w:tc>
        <w:tc>
          <w:tcPr>
            <w:tcW w:w="3467" w:type="dxa"/>
            <w:shd w:val="clear" w:color="auto" w:fill="FFA5A5"/>
          </w:tcPr>
          <w:p w14:paraId="04B77A17" w14:textId="6D3ED499" w:rsidR="004373FE" w:rsidRPr="00B6039A" w:rsidRDefault="005E1481" w:rsidP="00DA296E">
            <w:r w:rsidRPr="00B6039A">
              <w:t>No evidence of implementation.</w:t>
            </w:r>
            <w:r w:rsidR="004373FE" w:rsidRPr="00B6039A">
              <w:t xml:space="preserve"> </w:t>
            </w:r>
          </w:p>
          <w:p w14:paraId="0DD37104" w14:textId="77777777" w:rsidR="004373FE" w:rsidRPr="00B6039A" w:rsidRDefault="004373FE" w:rsidP="00DA296E"/>
          <w:p w14:paraId="03A363D3" w14:textId="77777777" w:rsidR="004373FE" w:rsidRPr="00B6039A" w:rsidRDefault="004373FE" w:rsidP="00DA296E">
            <w:r w:rsidRPr="00B6039A">
              <w:t>This requirement remains in place.</w:t>
            </w:r>
          </w:p>
        </w:tc>
      </w:tr>
      <w:tr w:rsidR="004373FE" w:rsidRPr="00B6039A" w14:paraId="1CEAB3B9" w14:textId="77777777" w:rsidTr="00AD5309">
        <w:trPr>
          <w:trHeight w:val="468"/>
        </w:trPr>
        <w:tc>
          <w:tcPr>
            <w:tcW w:w="1838" w:type="dxa"/>
            <w:vMerge/>
          </w:tcPr>
          <w:p w14:paraId="655B784E" w14:textId="77777777" w:rsidR="004373FE" w:rsidRPr="00B6039A" w:rsidRDefault="004373FE" w:rsidP="007601C3">
            <w:pPr>
              <w:ind w:left="29" w:firstLine="8"/>
            </w:pPr>
          </w:p>
        </w:tc>
        <w:tc>
          <w:tcPr>
            <w:tcW w:w="3687" w:type="dxa"/>
          </w:tcPr>
          <w:p w14:paraId="01234805" w14:textId="77777777" w:rsidR="004373FE" w:rsidRPr="00B6039A" w:rsidRDefault="004373FE" w:rsidP="00AD5309">
            <w:pPr>
              <w:pStyle w:val="ListParagraph"/>
              <w:numPr>
                <w:ilvl w:val="0"/>
                <w:numId w:val="1"/>
              </w:numPr>
              <w:ind w:left="455"/>
            </w:pPr>
            <w:r w:rsidRPr="00B6039A">
              <w:t>Remove the mandatory work ability assessment for people with health conditions or a disability and link workability assessments to return to work plans</w:t>
            </w:r>
          </w:p>
        </w:tc>
        <w:tc>
          <w:tcPr>
            <w:tcW w:w="1133" w:type="dxa"/>
            <w:vMerge/>
          </w:tcPr>
          <w:p w14:paraId="418E88B6" w14:textId="77777777" w:rsidR="004373FE" w:rsidRPr="00B6039A" w:rsidRDefault="004373FE" w:rsidP="00DA296E"/>
        </w:tc>
        <w:tc>
          <w:tcPr>
            <w:tcW w:w="3337" w:type="dxa"/>
          </w:tcPr>
          <w:p w14:paraId="141F7DFF" w14:textId="77777777" w:rsidR="004373FE" w:rsidRPr="00B6039A" w:rsidRDefault="004373FE" w:rsidP="00AD5309">
            <w:pPr>
              <w:ind w:left="178" w:hanging="92"/>
            </w:pPr>
            <w:r w:rsidRPr="00B6039A">
              <w:t>The Government has stated that Key Recommendation 11 is being partially implemented.</w:t>
            </w:r>
            <w:r w:rsidRPr="00B6039A">
              <w:rPr>
                <w:rStyle w:val="FootnoteReference"/>
              </w:rPr>
              <w:footnoteReference w:id="122"/>
            </w:r>
            <w:r w:rsidRPr="00B6039A">
              <w:t xml:space="preserve">  </w:t>
            </w:r>
          </w:p>
          <w:p w14:paraId="17315058" w14:textId="77777777" w:rsidR="004373FE" w:rsidRPr="00B6039A" w:rsidRDefault="004373FE" w:rsidP="00AD5309">
            <w:pPr>
              <w:ind w:left="178" w:hanging="92"/>
            </w:pPr>
            <w:r w:rsidRPr="00B6039A">
              <w:t>They have stated that they will review the role of sanctions in the welfare system, and continue to explore WEAG’s suggestions of sanction removal.</w:t>
            </w:r>
          </w:p>
        </w:tc>
        <w:tc>
          <w:tcPr>
            <w:tcW w:w="3467" w:type="dxa"/>
            <w:shd w:val="clear" w:color="auto" w:fill="FFA5A5"/>
          </w:tcPr>
          <w:p w14:paraId="59E3F5FE" w14:textId="1E68AE76" w:rsidR="004373FE" w:rsidRPr="00B6039A" w:rsidRDefault="005E1481" w:rsidP="00DA296E">
            <w:r w:rsidRPr="00B6039A">
              <w:t>No evidence of implementation.</w:t>
            </w:r>
          </w:p>
          <w:p w14:paraId="1960E9B1" w14:textId="77777777" w:rsidR="004373FE" w:rsidRPr="00B6039A" w:rsidRDefault="004373FE" w:rsidP="00DA296E"/>
          <w:p w14:paraId="35F1EBAA" w14:textId="77777777" w:rsidR="004373FE" w:rsidRPr="00B6039A" w:rsidRDefault="004373FE" w:rsidP="00DA296E">
            <w:r w:rsidRPr="00B6039A">
              <w:t>This obligation remains in place.</w:t>
            </w:r>
          </w:p>
        </w:tc>
      </w:tr>
      <w:tr w:rsidR="004373FE" w:rsidRPr="00B6039A" w14:paraId="247FB3BD" w14:textId="77777777" w:rsidTr="00AD5309">
        <w:trPr>
          <w:trHeight w:val="360"/>
        </w:trPr>
        <w:tc>
          <w:tcPr>
            <w:tcW w:w="1838" w:type="dxa"/>
            <w:vMerge/>
          </w:tcPr>
          <w:p w14:paraId="72FD8750" w14:textId="77777777" w:rsidR="004373FE" w:rsidRPr="00B6039A" w:rsidRDefault="004373FE" w:rsidP="007601C3">
            <w:pPr>
              <w:ind w:left="29" w:firstLine="8"/>
            </w:pPr>
          </w:p>
        </w:tc>
        <w:tc>
          <w:tcPr>
            <w:tcW w:w="3687" w:type="dxa"/>
          </w:tcPr>
          <w:p w14:paraId="033CF05E" w14:textId="77777777" w:rsidR="004373FE" w:rsidRPr="00B6039A" w:rsidRDefault="004373FE" w:rsidP="00DA296E">
            <w:pPr>
              <w:pStyle w:val="ListParagraph"/>
              <w:numPr>
                <w:ilvl w:val="0"/>
                <w:numId w:val="1"/>
              </w:numPr>
            </w:pPr>
            <w:r w:rsidRPr="00B6039A">
              <w:t>Remove the requirement to reapply for a benefit every 52 weeks – MSD is expected to provide full and correct entitlements through regular reviews (at least annually)</w:t>
            </w:r>
          </w:p>
        </w:tc>
        <w:tc>
          <w:tcPr>
            <w:tcW w:w="1133" w:type="dxa"/>
            <w:vMerge/>
          </w:tcPr>
          <w:p w14:paraId="53DDF3A1" w14:textId="77777777" w:rsidR="004373FE" w:rsidRPr="00B6039A" w:rsidRDefault="004373FE" w:rsidP="00DA296E"/>
        </w:tc>
        <w:tc>
          <w:tcPr>
            <w:tcW w:w="3337" w:type="dxa"/>
          </w:tcPr>
          <w:p w14:paraId="04D84B26" w14:textId="77777777" w:rsidR="004373FE" w:rsidRPr="00B6039A" w:rsidRDefault="004373FE" w:rsidP="00DA296E">
            <w:r w:rsidRPr="00B6039A">
              <w:t>The Government has stated that “further advice” will be sought on the 52-week reapplication requirement.</w:t>
            </w:r>
            <w:r w:rsidRPr="00B6039A">
              <w:rPr>
                <w:rStyle w:val="FootnoteReference"/>
              </w:rPr>
              <w:footnoteReference w:id="123"/>
            </w:r>
          </w:p>
        </w:tc>
        <w:tc>
          <w:tcPr>
            <w:tcW w:w="3467" w:type="dxa"/>
            <w:shd w:val="clear" w:color="auto" w:fill="FFA5A5"/>
          </w:tcPr>
          <w:p w14:paraId="78C7AB3F" w14:textId="748C8029" w:rsidR="004373FE" w:rsidRPr="00B6039A" w:rsidRDefault="005E1481" w:rsidP="00DA296E">
            <w:r w:rsidRPr="00B6039A">
              <w:t>No evidence of implementation.</w:t>
            </w:r>
          </w:p>
          <w:p w14:paraId="1F0183CE" w14:textId="77777777" w:rsidR="004373FE" w:rsidRPr="00B6039A" w:rsidRDefault="004373FE" w:rsidP="00DA296E"/>
          <w:p w14:paraId="182A2950" w14:textId="77777777" w:rsidR="004373FE" w:rsidRPr="00B6039A" w:rsidRDefault="004373FE" w:rsidP="00DA296E">
            <w:r w:rsidRPr="00B6039A">
              <w:t>This obligation remains in place.</w:t>
            </w:r>
          </w:p>
        </w:tc>
      </w:tr>
      <w:tr w:rsidR="004373FE" w:rsidRPr="00B6039A" w14:paraId="15AC0E61" w14:textId="77777777" w:rsidTr="00AD5309">
        <w:trPr>
          <w:trHeight w:val="360"/>
        </w:trPr>
        <w:tc>
          <w:tcPr>
            <w:tcW w:w="1838" w:type="dxa"/>
            <w:vMerge/>
          </w:tcPr>
          <w:p w14:paraId="521F0CB0" w14:textId="77777777" w:rsidR="004373FE" w:rsidRPr="00B6039A" w:rsidRDefault="004373FE" w:rsidP="007601C3">
            <w:pPr>
              <w:ind w:left="29" w:firstLine="8"/>
            </w:pPr>
          </w:p>
        </w:tc>
        <w:tc>
          <w:tcPr>
            <w:tcW w:w="3687" w:type="dxa"/>
          </w:tcPr>
          <w:p w14:paraId="0C368A2B" w14:textId="77777777" w:rsidR="004373FE" w:rsidRPr="00B6039A" w:rsidRDefault="004373FE" w:rsidP="00DA296E">
            <w:pPr>
              <w:pStyle w:val="ListParagraph"/>
              <w:numPr>
                <w:ilvl w:val="0"/>
                <w:numId w:val="1"/>
              </w:numPr>
            </w:pPr>
            <w:r w:rsidRPr="00B6039A">
              <w:t>Remove work obligations when an additional child is included in a benefit (the subsequent child rule)</w:t>
            </w:r>
          </w:p>
        </w:tc>
        <w:tc>
          <w:tcPr>
            <w:tcW w:w="1133" w:type="dxa"/>
            <w:vMerge/>
          </w:tcPr>
          <w:p w14:paraId="235F3903" w14:textId="77777777" w:rsidR="004373FE" w:rsidRPr="00B6039A" w:rsidRDefault="004373FE" w:rsidP="00DA296E"/>
        </w:tc>
        <w:tc>
          <w:tcPr>
            <w:tcW w:w="3337" w:type="dxa"/>
          </w:tcPr>
          <w:p w14:paraId="171AF412" w14:textId="77777777" w:rsidR="004373FE" w:rsidRPr="00B6039A" w:rsidRDefault="004373FE" w:rsidP="00DA296E">
            <w:r w:rsidRPr="00B6039A">
              <w:t>In July 2020, the Government announced that the subsequent child policy would be removed. This comes into effect in November 2021.</w:t>
            </w:r>
            <w:r w:rsidRPr="00B6039A">
              <w:rPr>
                <w:rStyle w:val="FootnoteReference"/>
              </w:rPr>
              <w:footnoteReference w:id="124"/>
            </w:r>
          </w:p>
        </w:tc>
        <w:tc>
          <w:tcPr>
            <w:tcW w:w="3467" w:type="dxa"/>
            <w:shd w:val="clear" w:color="auto" w:fill="FFE599" w:themeFill="accent4" w:themeFillTint="66"/>
          </w:tcPr>
          <w:p w14:paraId="00121110" w14:textId="77777777" w:rsidR="004373FE" w:rsidRPr="00B6039A" w:rsidRDefault="004373FE" w:rsidP="00DA296E">
            <w:r w:rsidRPr="00B6039A">
              <w:t xml:space="preserve">Partially implemented. </w:t>
            </w:r>
          </w:p>
          <w:p w14:paraId="502540F8" w14:textId="77777777" w:rsidR="004373FE" w:rsidRPr="00B6039A" w:rsidRDefault="004373FE" w:rsidP="00DA296E"/>
          <w:p w14:paraId="403A3FBD" w14:textId="77777777" w:rsidR="004373FE" w:rsidRPr="00B6039A" w:rsidRDefault="004373FE" w:rsidP="00AD5309">
            <w:pPr>
              <w:ind w:left="95" w:hanging="9"/>
            </w:pPr>
            <w:r w:rsidRPr="00B6039A">
              <w:t xml:space="preserve">The removal of this policy has been scheduled for November 2021. However, the delay of 16 months from announcement means many more children will be unnecessarily disadvantaged by this punitive sanction due to the wait. </w:t>
            </w:r>
          </w:p>
        </w:tc>
      </w:tr>
      <w:tr w:rsidR="004373FE" w:rsidRPr="00B6039A" w14:paraId="655B2DF3" w14:textId="77777777" w:rsidTr="00AD5309">
        <w:trPr>
          <w:trHeight w:val="360"/>
        </w:trPr>
        <w:tc>
          <w:tcPr>
            <w:tcW w:w="1838" w:type="dxa"/>
            <w:vMerge/>
          </w:tcPr>
          <w:p w14:paraId="04B0551E" w14:textId="77777777" w:rsidR="004373FE" w:rsidRPr="00B6039A" w:rsidRDefault="004373FE" w:rsidP="007601C3">
            <w:pPr>
              <w:ind w:left="29" w:firstLine="8"/>
            </w:pPr>
          </w:p>
        </w:tc>
        <w:tc>
          <w:tcPr>
            <w:tcW w:w="3687" w:type="dxa"/>
          </w:tcPr>
          <w:p w14:paraId="7BBE0403" w14:textId="77777777" w:rsidR="004373FE" w:rsidRPr="00B6039A" w:rsidRDefault="004373FE" w:rsidP="00DA296E">
            <w:pPr>
              <w:pStyle w:val="ListParagraph"/>
              <w:numPr>
                <w:ilvl w:val="0"/>
                <w:numId w:val="1"/>
              </w:numPr>
            </w:pPr>
            <w:r w:rsidRPr="00B6039A">
              <w:t>Remove the sanction on not naming another parent (was section 70A in the Social Security Act 1964 and is now section 192 of the Social Security Act 2018).</w:t>
            </w:r>
          </w:p>
        </w:tc>
        <w:tc>
          <w:tcPr>
            <w:tcW w:w="1133" w:type="dxa"/>
            <w:vMerge/>
          </w:tcPr>
          <w:p w14:paraId="43ACD60F" w14:textId="77777777" w:rsidR="004373FE" w:rsidRPr="00B6039A" w:rsidRDefault="004373FE" w:rsidP="00DA296E"/>
        </w:tc>
        <w:tc>
          <w:tcPr>
            <w:tcW w:w="3337" w:type="dxa"/>
          </w:tcPr>
          <w:p w14:paraId="140D42C8" w14:textId="43C6329E" w:rsidR="004373FE" w:rsidRPr="00B6039A" w:rsidRDefault="004373FE" w:rsidP="007B512A">
            <w:r w:rsidRPr="00B6039A">
              <w:t>In May 2019, the Government announced that they would be abolishing the sanction for solo mothers who refuse to name the father of their child.</w:t>
            </w:r>
            <w:r w:rsidRPr="00B6039A">
              <w:rPr>
                <w:rStyle w:val="FootnoteReference"/>
              </w:rPr>
              <w:footnoteReference w:id="125"/>
            </w:r>
            <w:r w:rsidRPr="00B6039A">
              <w:t xml:space="preserve"> This </w:t>
            </w:r>
            <w:r w:rsidR="00FC587D" w:rsidRPr="00B6039A">
              <w:t xml:space="preserve">policy </w:t>
            </w:r>
            <w:r w:rsidRPr="00B6039A">
              <w:t>came into</w:t>
            </w:r>
            <w:r w:rsidR="007B512A" w:rsidRPr="00B6039A">
              <w:t xml:space="preserve"> </w:t>
            </w:r>
            <w:r w:rsidRPr="00B6039A">
              <w:t>effect on 1 April 2020</w:t>
            </w:r>
            <w:r w:rsidR="007B512A" w:rsidRPr="00B6039A">
              <w:t>.</w:t>
            </w:r>
            <w:r w:rsidRPr="00B6039A">
              <w:t xml:space="preserve">  </w:t>
            </w:r>
          </w:p>
        </w:tc>
        <w:tc>
          <w:tcPr>
            <w:tcW w:w="3467" w:type="dxa"/>
            <w:shd w:val="clear" w:color="auto" w:fill="FFE599" w:themeFill="accent4" w:themeFillTint="66"/>
          </w:tcPr>
          <w:p w14:paraId="5BC7B351" w14:textId="2924E614" w:rsidR="004373FE" w:rsidRPr="00B6039A" w:rsidRDefault="007C25CC" w:rsidP="00DA296E">
            <w:r w:rsidRPr="00B6039A">
              <w:t>Partially</w:t>
            </w:r>
            <w:r w:rsidR="004373FE" w:rsidRPr="00B6039A">
              <w:t xml:space="preserve"> implemented.</w:t>
            </w:r>
          </w:p>
          <w:p w14:paraId="17372144" w14:textId="77777777" w:rsidR="004373FE" w:rsidRPr="00B6039A" w:rsidRDefault="004373FE" w:rsidP="00DA296E"/>
          <w:p w14:paraId="6FB5D1E3" w14:textId="14B3B91D" w:rsidR="00FC587D" w:rsidRPr="00B6039A" w:rsidRDefault="004373FE" w:rsidP="00FC587D">
            <w:pPr>
              <w:pStyle w:val="Default"/>
              <w:rPr>
                <w:sz w:val="22"/>
                <w:szCs w:val="22"/>
              </w:rPr>
            </w:pPr>
            <w:r w:rsidRPr="00B6039A">
              <w:rPr>
                <w:sz w:val="22"/>
                <w:szCs w:val="22"/>
              </w:rPr>
              <w:t xml:space="preserve">This sanction has been removed, </w:t>
            </w:r>
            <w:r w:rsidR="00FC587D" w:rsidRPr="00B6039A">
              <w:rPr>
                <w:sz w:val="22"/>
                <w:szCs w:val="22"/>
              </w:rPr>
              <w:t xml:space="preserve">but the requirement to apply for Child Support has not been removed. </w:t>
            </w:r>
          </w:p>
          <w:p w14:paraId="3903E454" w14:textId="079B5A85" w:rsidR="00206082" w:rsidRPr="00B6039A" w:rsidRDefault="00206082" w:rsidP="00DA296E"/>
        </w:tc>
      </w:tr>
      <w:tr w:rsidR="004373FE" w:rsidRPr="00B6039A" w14:paraId="17305C26" w14:textId="77777777" w:rsidTr="00AD5309">
        <w:trPr>
          <w:trHeight w:val="381"/>
        </w:trPr>
        <w:tc>
          <w:tcPr>
            <w:tcW w:w="1838" w:type="dxa"/>
            <w:vMerge w:val="restart"/>
          </w:tcPr>
          <w:p w14:paraId="75FEAF65" w14:textId="77777777" w:rsidR="004373FE" w:rsidRPr="00B6039A" w:rsidRDefault="004373FE" w:rsidP="007601C3">
            <w:pPr>
              <w:ind w:left="29" w:firstLine="8"/>
            </w:pPr>
            <w:r w:rsidRPr="00B6039A">
              <w:t>Resourcing and other</w:t>
            </w:r>
          </w:p>
          <w:p w14:paraId="469BBA04" w14:textId="77777777" w:rsidR="004373FE" w:rsidRPr="00B6039A" w:rsidRDefault="004373FE" w:rsidP="007601C3">
            <w:pPr>
              <w:ind w:left="29" w:firstLine="8"/>
            </w:pPr>
            <w:r w:rsidRPr="00B6039A">
              <w:t>processes of the</w:t>
            </w:r>
          </w:p>
          <w:p w14:paraId="5F3BFCE6" w14:textId="77777777" w:rsidR="004373FE" w:rsidRPr="00B6039A" w:rsidRDefault="004373FE" w:rsidP="007601C3">
            <w:pPr>
              <w:ind w:left="29" w:firstLine="8"/>
            </w:pPr>
            <w:r w:rsidRPr="00B6039A">
              <w:t>public-facing, frontline</w:t>
            </w:r>
          </w:p>
          <w:p w14:paraId="1B61EE68" w14:textId="77777777" w:rsidR="004373FE" w:rsidRPr="00B6039A" w:rsidRDefault="004373FE" w:rsidP="007601C3">
            <w:pPr>
              <w:ind w:left="29" w:firstLine="8"/>
            </w:pPr>
            <w:r w:rsidRPr="00B6039A">
              <w:t>service are consistent</w:t>
            </w:r>
          </w:p>
          <w:p w14:paraId="1703C002" w14:textId="77777777" w:rsidR="004373FE" w:rsidRPr="00B6039A" w:rsidRDefault="004373FE" w:rsidP="007601C3">
            <w:pPr>
              <w:ind w:left="29" w:firstLine="8"/>
            </w:pPr>
            <w:r w:rsidRPr="00B6039A">
              <w:t>with the new purpose</w:t>
            </w:r>
          </w:p>
          <w:p w14:paraId="05E9D75C" w14:textId="77777777" w:rsidR="004373FE" w:rsidRPr="00B6039A" w:rsidRDefault="004373FE" w:rsidP="007601C3">
            <w:pPr>
              <w:ind w:left="29" w:firstLine="8"/>
            </w:pPr>
            <w:r w:rsidRPr="00B6039A">
              <w:t>and principles</w:t>
            </w:r>
          </w:p>
        </w:tc>
        <w:tc>
          <w:tcPr>
            <w:tcW w:w="3687" w:type="dxa"/>
          </w:tcPr>
          <w:p w14:paraId="76F79499" w14:textId="77777777" w:rsidR="004373FE" w:rsidRPr="00B6039A" w:rsidRDefault="004373FE" w:rsidP="00DA296E">
            <w:pPr>
              <w:pStyle w:val="ListParagraph"/>
              <w:numPr>
                <w:ilvl w:val="0"/>
                <w:numId w:val="1"/>
              </w:numPr>
            </w:pPr>
            <w:r w:rsidRPr="00B6039A">
              <w:t>Resource frontline services to the level required to achieve outcomes as a priority.</w:t>
            </w:r>
          </w:p>
        </w:tc>
        <w:tc>
          <w:tcPr>
            <w:tcW w:w="1133" w:type="dxa"/>
            <w:vMerge w:val="restart"/>
          </w:tcPr>
          <w:p w14:paraId="130CA9EC" w14:textId="1DEBCDFB" w:rsidR="004373FE" w:rsidRPr="00B6039A" w:rsidRDefault="004373FE" w:rsidP="008F53B4">
            <w:pPr>
              <w:ind w:left="179" w:hanging="118"/>
            </w:pPr>
            <w:r w:rsidRPr="00B6039A">
              <w:t xml:space="preserve">Key </w:t>
            </w:r>
            <w:r w:rsidR="00112B50" w:rsidRPr="00B6039A">
              <w:t>Rec</w:t>
            </w:r>
            <w:r w:rsidRPr="00B6039A">
              <w:t xml:space="preserve"> 12; </w:t>
            </w:r>
            <w:r w:rsidR="00112B50" w:rsidRPr="00B6039A">
              <w:t>Ch</w:t>
            </w:r>
            <w:r w:rsidRPr="00B6039A">
              <w:t xml:space="preserve"> 6</w:t>
            </w:r>
          </w:p>
        </w:tc>
        <w:tc>
          <w:tcPr>
            <w:tcW w:w="3337" w:type="dxa"/>
            <w:vMerge w:val="restart"/>
          </w:tcPr>
          <w:p w14:paraId="67DF6B6B" w14:textId="77777777" w:rsidR="004373FE" w:rsidRPr="00B6039A" w:rsidRDefault="004373FE" w:rsidP="00AD5309">
            <w:pPr>
              <w:ind w:left="178" w:firstLine="0"/>
            </w:pPr>
            <w:r w:rsidRPr="00B6039A">
              <w:t>The Government has stated partial implementation of Key Recommendation 12.</w:t>
            </w:r>
            <w:r w:rsidRPr="00B6039A">
              <w:rPr>
                <w:rStyle w:val="FootnoteReference"/>
              </w:rPr>
              <w:footnoteReference w:id="126"/>
            </w:r>
            <w:r w:rsidRPr="00B6039A">
              <w:t xml:space="preserve"> In 2019, the Government announced 263 new frontline staff to focus on ‘helping more people into meaningful and sustainable work’ as part of its pre-budget announcements following the release of the WEAG report.</w:t>
            </w:r>
            <w:r w:rsidRPr="00B6039A">
              <w:rPr>
                <w:rStyle w:val="FootnoteReference"/>
              </w:rPr>
              <w:footnoteReference w:id="127"/>
            </w:r>
          </w:p>
          <w:p w14:paraId="0128D9EB" w14:textId="77777777" w:rsidR="004373FE" w:rsidRPr="00B6039A" w:rsidRDefault="004373FE" w:rsidP="00AD5309">
            <w:pPr>
              <w:ind w:left="178" w:firstLine="0"/>
            </w:pPr>
          </w:p>
          <w:p w14:paraId="173CAB05" w14:textId="77777777" w:rsidR="004373FE" w:rsidRPr="00B6039A" w:rsidRDefault="004373FE" w:rsidP="00AD5309">
            <w:pPr>
              <w:ind w:left="178" w:firstLine="0"/>
            </w:pPr>
            <w:r w:rsidRPr="00B6039A">
              <w:t>The Government has also stated that this work “will be progressed as the work on purposes and principles develops”, and that “further work is underway to realign MSD’s frontline services”.</w:t>
            </w:r>
            <w:r w:rsidRPr="00B6039A">
              <w:rPr>
                <w:rStyle w:val="FootnoteReference"/>
              </w:rPr>
              <w:footnoteReference w:id="128"/>
            </w:r>
          </w:p>
          <w:p w14:paraId="0D799D76" w14:textId="77777777" w:rsidR="004373FE" w:rsidRPr="00B6039A" w:rsidRDefault="004373FE" w:rsidP="00DA296E"/>
        </w:tc>
        <w:tc>
          <w:tcPr>
            <w:tcW w:w="3467" w:type="dxa"/>
            <w:shd w:val="clear" w:color="auto" w:fill="FCC292"/>
          </w:tcPr>
          <w:p w14:paraId="0D9A7127" w14:textId="77777777" w:rsidR="004373FE" w:rsidRPr="00B6039A" w:rsidRDefault="004373FE" w:rsidP="00DA296E">
            <w:r w:rsidRPr="00B6039A">
              <w:t>Minimally implemented.</w:t>
            </w:r>
          </w:p>
          <w:p w14:paraId="78F3A69D" w14:textId="77777777" w:rsidR="004373FE" w:rsidRPr="00B6039A" w:rsidRDefault="004373FE" w:rsidP="00DA296E"/>
          <w:p w14:paraId="364BDB7F" w14:textId="77777777" w:rsidR="004373FE" w:rsidRPr="00B6039A" w:rsidRDefault="004373FE" w:rsidP="00AD5309">
            <w:pPr>
              <w:ind w:left="95" w:hanging="9"/>
            </w:pPr>
            <w:r w:rsidRPr="00B6039A">
              <w:t>Given that the WEAG reported based on consultation with staff and welfare recipients that MSD has a “severely under-resourced workforce”,</w:t>
            </w:r>
            <w:r w:rsidRPr="00B6039A">
              <w:rPr>
                <w:rStyle w:val="FootnoteReference"/>
              </w:rPr>
              <w:footnoteReference w:id="129"/>
            </w:r>
            <w:r w:rsidRPr="00B6039A">
              <w:t xml:space="preserve"> significant work remains to ensure frontline services have sufficient time with clients and have access to skills and systems training. Further, increases in resourcing have been centred only on those frontline staff who are focussed on getting people into work, rather than all frontline services.</w:t>
            </w:r>
          </w:p>
        </w:tc>
      </w:tr>
      <w:tr w:rsidR="004373FE" w:rsidRPr="00B6039A" w14:paraId="0CB285B9" w14:textId="77777777" w:rsidTr="00AD5309">
        <w:trPr>
          <w:trHeight w:val="376"/>
        </w:trPr>
        <w:tc>
          <w:tcPr>
            <w:tcW w:w="1838" w:type="dxa"/>
            <w:vMerge/>
          </w:tcPr>
          <w:p w14:paraId="354BDC72" w14:textId="77777777" w:rsidR="004373FE" w:rsidRPr="00B6039A" w:rsidRDefault="004373FE" w:rsidP="007601C3">
            <w:pPr>
              <w:ind w:left="29" w:firstLine="8"/>
            </w:pPr>
          </w:p>
        </w:tc>
        <w:tc>
          <w:tcPr>
            <w:tcW w:w="3687" w:type="dxa"/>
          </w:tcPr>
          <w:p w14:paraId="3A54D58F" w14:textId="77777777" w:rsidR="004373FE" w:rsidRPr="00B6039A" w:rsidRDefault="004373FE" w:rsidP="00DA296E">
            <w:pPr>
              <w:pStyle w:val="ListParagraph"/>
              <w:numPr>
                <w:ilvl w:val="0"/>
                <w:numId w:val="1"/>
              </w:numPr>
            </w:pPr>
            <w:r w:rsidRPr="00B6039A">
              <w:t>Implement an ongoing, comprehensive, active and agile staff training strategy.</w:t>
            </w:r>
          </w:p>
        </w:tc>
        <w:tc>
          <w:tcPr>
            <w:tcW w:w="1133" w:type="dxa"/>
            <w:vMerge/>
          </w:tcPr>
          <w:p w14:paraId="6391A81D" w14:textId="77777777" w:rsidR="004373FE" w:rsidRPr="00B6039A" w:rsidRDefault="004373FE" w:rsidP="00DA296E"/>
        </w:tc>
        <w:tc>
          <w:tcPr>
            <w:tcW w:w="3337" w:type="dxa"/>
            <w:vMerge/>
          </w:tcPr>
          <w:p w14:paraId="65EB4037" w14:textId="77777777" w:rsidR="004373FE" w:rsidRPr="00B6039A" w:rsidRDefault="004373FE" w:rsidP="00DA296E"/>
        </w:tc>
        <w:tc>
          <w:tcPr>
            <w:tcW w:w="3467" w:type="dxa"/>
            <w:shd w:val="clear" w:color="auto" w:fill="FFA5A5"/>
          </w:tcPr>
          <w:p w14:paraId="0D0B7C76" w14:textId="0453AD6B" w:rsidR="004373FE" w:rsidRPr="00B6039A" w:rsidRDefault="005E1481" w:rsidP="00DA296E">
            <w:r w:rsidRPr="00B6039A">
              <w:t>No evidence of implementation.</w:t>
            </w:r>
          </w:p>
        </w:tc>
      </w:tr>
      <w:tr w:rsidR="004373FE" w:rsidRPr="00B6039A" w14:paraId="33BB22A2" w14:textId="77777777" w:rsidTr="00AD5309">
        <w:trPr>
          <w:trHeight w:val="376"/>
        </w:trPr>
        <w:tc>
          <w:tcPr>
            <w:tcW w:w="1838" w:type="dxa"/>
            <w:vMerge/>
          </w:tcPr>
          <w:p w14:paraId="37C0CF4B" w14:textId="77777777" w:rsidR="004373FE" w:rsidRPr="00B6039A" w:rsidRDefault="004373FE" w:rsidP="007601C3">
            <w:pPr>
              <w:ind w:left="29" w:firstLine="8"/>
            </w:pPr>
          </w:p>
        </w:tc>
        <w:tc>
          <w:tcPr>
            <w:tcW w:w="3687" w:type="dxa"/>
          </w:tcPr>
          <w:p w14:paraId="1367E296" w14:textId="2F6F25DD" w:rsidR="004373FE" w:rsidRPr="00B6039A" w:rsidRDefault="004373FE" w:rsidP="00AD5309">
            <w:pPr>
              <w:pStyle w:val="ListParagraph"/>
              <w:numPr>
                <w:ilvl w:val="0"/>
                <w:numId w:val="1"/>
              </w:numPr>
              <w:ind w:left="455"/>
            </w:pPr>
            <w:r w:rsidRPr="00B6039A">
              <w:t>Adopt an improved and accessible complaints process that is measured by a satisfactory restoration of the relationship between the parties.</w:t>
            </w:r>
          </w:p>
        </w:tc>
        <w:tc>
          <w:tcPr>
            <w:tcW w:w="1133" w:type="dxa"/>
            <w:vMerge/>
          </w:tcPr>
          <w:p w14:paraId="136C47AC" w14:textId="77777777" w:rsidR="004373FE" w:rsidRPr="00B6039A" w:rsidRDefault="004373FE" w:rsidP="00DA296E"/>
        </w:tc>
        <w:tc>
          <w:tcPr>
            <w:tcW w:w="3337" w:type="dxa"/>
            <w:vMerge/>
          </w:tcPr>
          <w:p w14:paraId="3C064749" w14:textId="77777777" w:rsidR="004373FE" w:rsidRPr="00B6039A" w:rsidRDefault="004373FE" w:rsidP="00DA296E"/>
        </w:tc>
        <w:tc>
          <w:tcPr>
            <w:tcW w:w="3467" w:type="dxa"/>
            <w:shd w:val="clear" w:color="auto" w:fill="FFA5A5"/>
          </w:tcPr>
          <w:p w14:paraId="57E97F07" w14:textId="775CEED2" w:rsidR="004373FE" w:rsidRPr="00B6039A" w:rsidRDefault="005E1481" w:rsidP="00DA296E">
            <w:r w:rsidRPr="00B6039A">
              <w:t>No evidence of implementation.</w:t>
            </w:r>
          </w:p>
        </w:tc>
      </w:tr>
      <w:tr w:rsidR="004373FE" w:rsidRPr="00B6039A" w14:paraId="2EF186DF" w14:textId="77777777" w:rsidTr="00AD5309">
        <w:trPr>
          <w:trHeight w:val="376"/>
        </w:trPr>
        <w:tc>
          <w:tcPr>
            <w:tcW w:w="1838" w:type="dxa"/>
            <w:vMerge/>
          </w:tcPr>
          <w:p w14:paraId="2D2C7AB1" w14:textId="77777777" w:rsidR="004373FE" w:rsidRPr="00B6039A" w:rsidRDefault="004373FE" w:rsidP="007601C3">
            <w:pPr>
              <w:ind w:left="29" w:firstLine="8"/>
            </w:pPr>
          </w:p>
        </w:tc>
        <w:tc>
          <w:tcPr>
            <w:tcW w:w="3687" w:type="dxa"/>
          </w:tcPr>
          <w:p w14:paraId="1E6BA9FA" w14:textId="77777777" w:rsidR="004373FE" w:rsidRPr="00B6039A" w:rsidRDefault="004373FE" w:rsidP="00AD5309">
            <w:pPr>
              <w:pStyle w:val="ListParagraph"/>
              <w:numPr>
                <w:ilvl w:val="0"/>
                <w:numId w:val="1"/>
              </w:numPr>
              <w:ind w:left="455"/>
            </w:pPr>
            <w:r w:rsidRPr="00B6039A">
              <w:t>Make the review process simpler, speedier and more accessible, and ensure the principle of natural justice is observed.</w:t>
            </w:r>
          </w:p>
        </w:tc>
        <w:tc>
          <w:tcPr>
            <w:tcW w:w="1133" w:type="dxa"/>
            <w:vMerge/>
          </w:tcPr>
          <w:p w14:paraId="23648ED9" w14:textId="77777777" w:rsidR="004373FE" w:rsidRPr="00B6039A" w:rsidRDefault="004373FE" w:rsidP="00DA296E"/>
        </w:tc>
        <w:tc>
          <w:tcPr>
            <w:tcW w:w="3337" w:type="dxa"/>
            <w:vMerge/>
          </w:tcPr>
          <w:p w14:paraId="63C8E90E" w14:textId="77777777" w:rsidR="004373FE" w:rsidRPr="00B6039A" w:rsidRDefault="004373FE" w:rsidP="00DA296E"/>
        </w:tc>
        <w:tc>
          <w:tcPr>
            <w:tcW w:w="3467" w:type="dxa"/>
            <w:shd w:val="clear" w:color="auto" w:fill="FFA5A5"/>
          </w:tcPr>
          <w:p w14:paraId="2DA1B034" w14:textId="78BE9536" w:rsidR="004373FE" w:rsidRPr="00B6039A" w:rsidRDefault="005E1481" w:rsidP="00DA296E">
            <w:r w:rsidRPr="00B6039A">
              <w:t>No evidence of implementation.</w:t>
            </w:r>
          </w:p>
        </w:tc>
      </w:tr>
      <w:tr w:rsidR="004373FE" w:rsidRPr="00B6039A" w14:paraId="1FDE7E3D" w14:textId="77777777" w:rsidTr="00AD5309">
        <w:trPr>
          <w:trHeight w:val="376"/>
        </w:trPr>
        <w:tc>
          <w:tcPr>
            <w:tcW w:w="1838" w:type="dxa"/>
            <w:vMerge/>
          </w:tcPr>
          <w:p w14:paraId="02CFD389" w14:textId="77777777" w:rsidR="004373FE" w:rsidRPr="00B6039A" w:rsidRDefault="004373FE" w:rsidP="007601C3">
            <w:pPr>
              <w:ind w:left="29" w:firstLine="8"/>
            </w:pPr>
          </w:p>
        </w:tc>
        <w:tc>
          <w:tcPr>
            <w:tcW w:w="3687" w:type="dxa"/>
          </w:tcPr>
          <w:p w14:paraId="79F2DCEC" w14:textId="77777777" w:rsidR="004373FE" w:rsidRPr="00B6039A" w:rsidRDefault="004373FE" w:rsidP="00AD5309">
            <w:pPr>
              <w:pStyle w:val="ListParagraph"/>
              <w:numPr>
                <w:ilvl w:val="0"/>
                <w:numId w:val="1"/>
              </w:numPr>
              <w:ind w:left="455"/>
            </w:pPr>
            <w:r w:rsidRPr="00B6039A">
              <w:t>Make a further hearing at the Social Security Appeal Authority available to those who take an unsuccessful claim to the Medical Appeals Board.</w:t>
            </w:r>
          </w:p>
        </w:tc>
        <w:tc>
          <w:tcPr>
            <w:tcW w:w="1133" w:type="dxa"/>
            <w:vMerge/>
          </w:tcPr>
          <w:p w14:paraId="751245BD" w14:textId="77777777" w:rsidR="004373FE" w:rsidRPr="00B6039A" w:rsidRDefault="004373FE" w:rsidP="00DA296E"/>
        </w:tc>
        <w:tc>
          <w:tcPr>
            <w:tcW w:w="3337" w:type="dxa"/>
            <w:vMerge/>
          </w:tcPr>
          <w:p w14:paraId="590A6C1A" w14:textId="77777777" w:rsidR="004373FE" w:rsidRPr="00B6039A" w:rsidRDefault="004373FE" w:rsidP="00DA296E"/>
        </w:tc>
        <w:tc>
          <w:tcPr>
            <w:tcW w:w="3467" w:type="dxa"/>
            <w:shd w:val="clear" w:color="auto" w:fill="FFA5A5"/>
          </w:tcPr>
          <w:p w14:paraId="7FE218CD" w14:textId="3E87D1C2" w:rsidR="004373FE" w:rsidRPr="00B6039A" w:rsidRDefault="005E1481" w:rsidP="00DA296E">
            <w:r w:rsidRPr="00B6039A">
              <w:t>No evidence of implementation.</w:t>
            </w:r>
          </w:p>
        </w:tc>
      </w:tr>
      <w:tr w:rsidR="004373FE" w:rsidRPr="00B6039A" w14:paraId="5DEBDEFC" w14:textId="77777777" w:rsidTr="00AD5309">
        <w:trPr>
          <w:trHeight w:val="376"/>
        </w:trPr>
        <w:tc>
          <w:tcPr>
            <w:tcW w:w="1838" w:type="dxa"/>
            <w:vMerge/>
          </w:tcPr>
          <w:p w14:paraId="359DB71D" w14:textId="77777777" w:rsidR="004373FE" w:rsidRPr="00B6039A" w:rsidRDefault="004373FE" w:rsidP="007601C3">
            <w:pPr>
              <w:ind w:left="29" w:firstLine="8"/>
            </w:pPr>
          </w:p>
        </w:tc>
        <w:tc>
          <w:tcPr>
            <w:tcW w:w="3687" w:type="dxa"/>
          </w:tcPr>
          <w:p w14:paraId="7E869BEA" w14:textId="77777777" w:rsidR="004373FE" w:rsidRPr="00B6039A" w:rsidRDefault="004373FE" w:rsidP="00AD5309">
            <w:pPr>
              <w:pStyle w:val="ListParagraph"/>
              <w:numPr>
                <w:ilvl w:val="0"/>
                <w:numId w:val="1"/>
              </w:numPr>
              <w:ind w:left="455"/>
            </w:pPr>
            <w:r w:rsidRPr="00B6039A">
              <w:t xml:space="preserve">Assign people likely to be in long-term receipt of a benefit or with complex needs a dedicated case manager, and give such case managers small caseloads so they can adequately address the wellbeing of the person in need and their family or </w:t>
            </w:r>
            <w:proofErr w:type="spellStart"/>
            <w:r w:rsidRPr="00B6039A">
              <w:t>whānau</w:t>
            </w:r>
            <w:proofErr w:type="spellEnd"/>
            <w:r w:rsidRPr="00B6039A">
              <w:t>.</w:t>
            </w:r>
          </w:p>
        </w:tc>
        <w:tc>
          <w:tcPr>
            <w:tcW w:w="1133" w:type="dxa"/>
            <w:vMerge/>
          </w:tcPr>
          <w:p w14:paraId="0D184BAF" w14:textId="77777777" w:rsidR="004373FE" w:rsidRPr="00B6039A" w:rsidRDefault="004373FE" w:rsidP="00DA296E"/>
        </w:tc>
        <w:tc>
          <w:tcPr>
            <w:tcW w:w="3337" w:type="dxa"/>
            <w:vMerge/>
          </w:tcPr>
          <w:p w14:paraId="781C2CCC" w14:textId="77777777" w:rsidR="004373FE" w:rsidRPr="00B6039A" w:rsidRDefault="004373FE" w:rsidP="00DA296E"/>
        </w:tc>
        <w:tc>
          <w:tcPr>
            <w:tcW w:w="3467" w:type="dxa"/>
            <w:shd w:val="clear" w:color="auto" w:fill="FFA5A5"/>
          </w:tcPr>
          <w:p w14:paraId="6BEF7F19" w14:textId="014E52F4" w:rsidR="004373FE" w:rsidRPr="00B6039A" w:rsidRDefault="005E1481" w:rsidP="00DA296E">
            <w:r w:rsidRPr="00B6039A">
              <w:t>No evidence of implementation.</w:t>
            </w:r>
          </w:p>
        </w:tc>
      </w:tr>
      <w:tr w:rsidR="004373FE" w:rsidRPr="00B6039A" w14:paraId="5C79AD7C" w14:textId="77777777" w:rsidTr="00AD5309">
        <w:trPr>
          <w:trHeight w:val="376"/>
        </w:trPr>
        <w:tc>
          <w:tcPr>
            <w:tcW w:w="1838" w:type="dxa"/>
            <w:vMerge/>
          </w:tcPr>
          <w:p w14:paraId="3CD661F5" w14:textId="77777777" w:rsidR="004373FE" w:rsidRPr="00B6039A" w:rsidRDefault="004373FE" w:rsidP="007601C3">
            <w:pPr>
              <w:ind w:left="29" w:firstLine="8"/>
            </w:pPr>
          </w:p>
        </w:tc>
        <w:tc>
          <w:tcPr>
            <w:tcW w:w="3687" w:type="dxa"/>
          </w:tcPr>
          <w:p w14:paraId="0778C9E0" w14:textId="77777777" w:rsidR="004373FE" w:rsidRPr="00B6039A" w:rsidRDefault="004373FE" w:rsidP="00AD5309">
            <w:pPr>
              <w:pStyle w:val="ListParagraph"/>
              <w:numPr>
                <w:ilvl w:val="0"/>
                <w:numId w:val="1"/>
              </w:numPr>
              <w:ind w:left="313"/>
            </w:pPr>
            <w:r w:rsidRPr="00B6039A">
              <w:t>Resource the workforce adequately, and streamline systems in consultation with the frontline workforce to improve work flow and recipient service experience.</w:t>
            </w:r>
          </w:p>
        </w:tc>
        <w:tc>
          <w:tcPr>
            <w:tcW w:w="1133" w:type="dxa"/>
            <w:vMerge/>
          </w:tcPr>
          <w:p w14:paraId="3FE54FFF" w14:textId="77777777" w:rsidR="004373FE" w:rsidRPr="00B6039A" w:rsidRDefault="004373FE" w:rsidP="00DA296E"/>
        </w:tc>
        <w:tc>
          <w:tcPr>
            <w:tcW w:w="3337" w:type="dxa"/>
            <w:vMerge/>
          </w:tcPr>
          <w:p w14:paraId="5B3AB743" w14:textId="77777777" w:rsidR="004373FE" w:rsidRPr="00B6039A" w:rsidRDefault="004373FE" w:rsidP="00DA296E"/>
        </w:tc>
        <w:tc>
          <w:tcPr>
            <w:tcW w:w="3467" w:type="dxa"/>
            <w:shd w:val="clear" w:color="auto" w:fill="FFA5A5"/>
          </w:tcPr>
          <w:p w14:paraId="76956612" w14:textId="51B8B659" w:rsidR="004373FE" w:rsidRPr="00B6039A" w:rsidRDefault="005E1481" w:rsidP="00DA296E">
            <w:r w:rsidRPr="00B6039A">
              <w:t>No evidence of implementation.</w:t>
            </w:r>
          </w:p>
        </w:tc>
      </w:tr>
      <w:tr w:rsidR="004373FE" w:rsidRPr="00B6039A" w14:paraId="2BFED8EB" w14:textId="77777777" w:rsidTr="00AD5309">
        <w:trPr>
          <w:trHeight w:val="376"/>
        </w:trPr>
        <w:tc>
          <w:tcPr>
            <w:tcW w:w="1838" w:type="dxa"/>
            <w:vMerge/>
          </w:tcPr>
          <w:p w14:paraId="43014C15" w14:textId="77777777" w:rsidR="004373FE" w:rsidRPr="00B6039A" w:rsidRDefault="004373FE" w:rsidP="007601C3">
            <w:pPr>
              <w:ind w:left="29" w:firstLine="8"/>
            </w:pPr>
          </w:p>
        </w:tc>
        <w:tc>
          <w:tcPr>
            <w:tcW w:w="3687" w:type="dxa"/>
          </w:tcPr>
          <w:p w14:paraId="23D099E5" w14:textId="77777777" w:rsidR="004373FE" w:rsidRPr="00B6039A" w:rsidRDefault="004373FE" w:rsidP="00AD5309">
            <w:pPr>
              <w:pStyle w:val="ListParagraph"/>
              <w:numPr>
                <w:ilvl w:val="0"/>
                <w:numId w:val="1"/>
              </w:numPr>
              <w:ind w:left="313"/>
            </w:pPr>
            <w:r w:rsidRPr="00B6039A">
              <w:t xml:space="preserve">Put people at the centre of decision making, seek feedback from staff about how system changes affect their roles, and empower staff to work proactively </w:t>
            </w:r>
            <w:r w:rsidRPr="00B6039A">
              <w:lastRenderedPageBreak/>
              <w:t>to enhance the mana of benefit recipients</w:t>
            </w:r>
          </w:p>
        </w:tc>
        <w:tc>
          <w:tcPr>
            <w:tcW w:w="1133" w:type="dxa"/>
            <w:vMerge/>
          </w:tcPr>
          <w:p w14:paraId="14ACBEFC" w14:textId="77777777" w:rsidR="004373FE" w:rsidRPr="00B6039A" w:rsidRDefault="004373FE" w:rsidP="00DA296E"/>
        </w:tc>
        <w:tc>
          <w:tcPr>
            <w:tcW w:w="3337" w:type="dxa"/>
            <w:vMerge/>
          </w:tcPr>
          <w:p w14:paraId="42278664" w14:textId="77777777" w:rsidR="004373FE" w:rsidRPr="00B6039A" w:rsidRDefault="004373FE" w:rsidP="00DA296E"/>
        </w:tc>
        <w:tc>
          <w:tcPr>
            <w:tcW w:w="3467" w:type="dxa"/>
            <w:shd w:val="clear" w:color="auto" w:fill="FFA5A5"/>
          </w:tcPr>
          <w:p w14:paraId="015B70B1" w14:textId="2B5EF5A3" w:rsidR="004373FE" w:rsidRPr="00B6039A" w:rsidRDefault="005E1481" w:rsidP="00DA296E">
            <w:r w:rsidRPr="00B6039A">
              <w:t>No evidence of implementation.</w:t>
            </w:r>
          </w:p>
        </w:tc>
      </w:tr>
      <w:tr w:rsidR="004373FE" w:rsidRPr="00B6039A" w14:paraId="1A303EEF" w14:textId="77777777" w:rsidTr="00AD5309">
        <w:trPr>
          <w:trHeight w:val="376"/>
        </w:trPr>
        <w:tc>
          <w:tcPr>
            <w:tcW w:w="1838" w:type="dxa"/>
            <w:vMerge/>
          </w:tcPr>
          <w:p w14:paraId="6AD48610" w14:textId="77777777" w:rsidR="004373FE" w:rsidRPr="00B6039A" w:rsidRDefault="004373FE" w:rsidP="007601C3">
            <w:pPr>
              <w:ind w:left="29" w:firstLine="8"/>
            </w:pPr>
          </w:p>
        </w:tc>
        <w:tc>
          <w:tcPr>
            <w:tcW w:w="3687" w:type="dxa"/>
          </w:tcPr>
          <w:p w14:paraId="7627FF38" w14:textId="77777777" w:rsidR="004373FE" w:rsidRPr="00B6039A" w:rsidRDefault="004373FE" w:rsidP="00AD5309">
            <w:pPr>
              <w:pStyle w:val="ListParagraph"/>
              <w:numPr>
                <w:ilvl w:val="0"/>
                <w:numId w:val="1"/>
              </w:numPr>
              <w:ind w:left="313"/>
            </w:pPr>
            <w:r w:rsidRPr="00B6039A">
              <w:t>Provide multiple channels for service so applicants can access assistance through whichever channel they are most comfortable using.</w:t>
            </w:r>
          </w:p>
        </w:tc>
        <w:tc>
          <w:tcPr>
            <w:tcW w:w="1133" w:type="dxa"/>
            <w:vMerge/>
          </w:tcPr>
          <w:p w14:paraId="7777030C" w14:textId="77777777" w:rsidR="004373FE" w:rsidRPr="00B6039A" w:rsidRDefault="004373FE" w:rsidP="00DA296E"/>
        </w:tc>
        <w:tc>
          <w:tcPr>
            <w:tcW w:w="3337" w:type="dxa"/>
            <w:vMerge/>
          </w:tcPr>
          <w:p w14:paraId="2BBCDF5E" w14:textId="77777777" w:rsidR="004373FE" w:rsidRPr="00B6039A" w:rsidRDefault="004373FE" w:rsidP="00DA296E"/>
        </w:tc>
        <w:tc>
          <w:tcPr>
            <w:tcW w:w="3467" w:type="dxa"/>
            <w:shd w:val="clear" w:color="auto" w:fill="FFA5A5"/>
          </w:tcPr>
          <w:p w14:paraId="07D1E44E" w14:textId="70517842" w:rsidR="004373FE" w:rsidRPr="00B6039A" w:rsidRDefault="005E1481" w:rsidP="00DA296E">
            <w:r w:rsidRPr="00B6039A">
              <w:t>No evidence of implementation.</w:t>
            </w:r>
          </w:p>
        </w:tc>
      </w:tr>
      <w:tr w:rsidR="004373FE" w:rsidRPr="00B6039A" w14:paraId="53AA89F9" w14:textId="77777777" w:rsidTr="00AD5309">
        <w:trPr>
          <w:trHeight w:val="376"/>
        </w:trPr>
        <w:tc>
          <w:tcPr>
            <w:tcW w:w="1838" w:type="dxa"/>
            <w:vMerge/>
          </w:tcPr>
          <w:p w14:paraId="47EB0BF3" w14:textId="77777777" w:rsidR="004373FE" w:rsidRPr="00B6039A" w:rsidRDefault="004373FE" w:rsidP="007601C3">
            <w:pPr>
              <w:ind w:left="29" w:firstLine="8"/>
            </w:pPr>
          </w:p>
        </w:tc>
        <w:tc>
          <w:tcPr>
            <w:tcW w:w="3687" w:type="dxa"/>
          </w:tcPr>
          <w:p w14:paraId="1F363ACD" w14:textId="77777777" w:rsidR="004373FE" w:rsidRPr="00B6039A" w:rsidRDefault="004373FE" w:rsidP="00AD5309">
            <w:pPr>
              <w:pStyle w:val="ListParagraph"/>
              <w:numPr>
                <w:ilvl w:val="0"/>
                <w:numId w:val="1"/>
              </w:numPr>
              <w:ind w:left="313"/>
            </w:pPr>
            <w:r w:rsidRPr="00B6039A">
              <w:t xml:space="preserve">Take a </w:t>
            </w:r>
            <w:proofErr w:type="spellStart"/>
            <w:r w:rsidRPr="00B6039A">
              <w:t>Whānau</w:t>
            </w:r>
            <w:proofErr w:type="spellEnd"/>
            <w:r w:rsidRPr="00B6039A">
              <w:t xml:space="preserve"> Ora-type approach where the complexity of a person’s situation means multiple agencies are involved and skilled navigators support the person’s interactions with the agencies and community organisations.</w:t>
            </w:r>
          </w:p>
        </w:tc>
        <w:tc>
          <w:tcPr>
            <w:tcW w:w="1133" w:type="dxa"/>
            <w:vMerge/>
          </w:tcPr>
          <w:p w14:paraId="7E7A95EC" w14:textId="77777777" w:rsidR="004373FE" w:rsidRPr="00B6039A" w:rsidRDefault="004373FE" w:rsidP="00DA296E"/>
        </w:tc>
        <w:tc>
          <w:tcPr>
            <w:tcW w:w="3337" w:type="dxa"/>
            <w:vMerge/>
          </w:tcPr>
          <w:p w14:paraId="3FD67B91" w14:textId="77777777" w:rsidR="004373FE" w:rsidRPr="00B6039A" w:rsidRDefault="004373FE" w:rsidP="00DA296E"/>
        </w:tc>
        <w:tc>
          <w:tcPr>
            <w:tcW w:w="3467" w:type="dxa"/>
            <w:shd w:val="clear" w:color="auto" w:fill="FFA5A5"/>
          </w:tcPr>
          <w:p w14:paraId="224F34D5" w14:textId="369AB926" w:rsidR="004373FE" w:rsidRPr="00B6039A" w:rsidRDefault="005E1481" w:rsidP="00DA296E">
            <w:r w:rsidRPr="00B6039A">
              <w:t>No evidence of implementation.</w:t>
            </w:r>
          </w:p>
        </w:tc>
      </w:tr>
      <w:tr w:rsidR="004373FE" w:rsidRPr="00B6039A" w14:paraId="784C1EF2" w14:textId="77777777" w:rsidTr="00AD5309">
        <w:trPr>
          <w:trHeight w:val="375"/>
        </w:trPr>
        <w:tc>
          <w:tcPr>
            <w:tcW w:w="1838" w:type="dxa"/>
            <w:vMerge w:val="restart"/>
          </w:tcPr>
          <w:p w14:paraId="507BF0F2" w14:textId="77777777" w:rsidR="004373FE" w:rsidRPr="00B6039A" w:rsidRDefault="004373FE" w:rsidP="007601C3">
            <w:pPr>
              <w:ind w:left="29" w:firstLine="8"/>
            </w:pPr>
            <w:r w:rsidRPr="00B6039A">
              <w:t>Ways to minimise the creation of overpayments and reduce overall indebtedness</w:t>
            </w:r>
          </w:p>
        </w:tc>
        <w:tc>
          <w:tcPr>
            <w:tcW w:w="3687" w:type="dxa"/>
          </w:tcPr>
          <w:p w14:paraId="3DD74570" w14:textId="77777777" w:rsidR="004373FE" w:rsidRPr="00B6039A" w:rsidRDefault="004373FE" w:rsidP="00AD5309">
            <w:pPr>
              <w:pStyle w:val="ListParagraph"/>
              <w:numPr>
                <w:ilvl w:val="0"/>
                <w:numId w:val="1"/>
              </w:numPr>
              <w:ind w:left="313"/>
            </w:pPr>
            <w:r w:rsidRPr="00B6039A">
              <w:t>Review all hardship payments and ensure eligibility is in line with the new purpose and principles of the Social Security Act.</w:t>
            </w:r>
          </w:p>
        </w:tc>
        <w:tc>
          <w:tcPr>
            <w:tcW w:w="1133" w:type="dxa"/>
            <w:vMerge w:val="restart"/>
          </w:tcPr>
          <w:p w14:paraId="068FA525" w14:textId="7F989E39" w:rsidR="004373FE" w:rsidRPr="00B6039A" w:rsidRDefault="004373FE" w:rsidP="00AD5309">
            <w:pPr>
              <w:ind w:left="179" w:hanging="93"/>
            </w:pPr>
            <w:r w:rsidRPr="00B6039A">
              <w:t xml:space="preserve">Key </w:t>
            </w:r>
            <w:r w:rsidR="00112B50" w:rsidRPr="00B6039A">
              <w:t>Recs</w:t>
            </w:r>
            <w:r w:rsidRPr="00B6039A">
              <w:t xml:space="preserve"> 14, 15 and 16; </w:t>
            </w:r>
            <w:r w:rsidR="00112B50" w:rsidRPr="00B6039A">
              <w:t>Ch</w:t>
            </w:r>
            <w:r w:rsidRPr="00B6039A">
              <w:t xml:space="preserve"> 6</w:t>
            </w:r>
          </w:p>
        </w:tc>
        <w:tc>
          <w:tcPr>
            <w:tcW w:w="3337" w:type="dxa"/>
            <w:vMerge w:val="restart"/>
          </w:tcPr>
          <w:p w14:paraId="4FBF2C8B" w14:textId="77777777" w:rsidR="004373FE" w:rsidRPr="00B6039A" w:rsidRDefault="004373FE" w:rsidP="00AD5309">
            <w:pPr>
              <w:ind w:left="36" w:firstLine="50"/>
            </w:pPr>
            <w:r w:rsidRPr="00B6039A">
              <w:t>The Government has stated that Key Recommendation 14 is being partially implemented, stating that work is ‘already underway’ to address a reduction in outstanding beneficiary debt through sustainable repayments, reviewing recoverable assistance, and minimising the creation of overpayments.</w:t>
            </w:r>
            <w:r w:rsidRPr="00B6039A">
              <w:rPr>
                <w:rStyle w:val="FootnoteReference"/>
              </w:rPr>
              <w:footnoteReference w:id="130"/>
            </w:r>
          </w:p>
          <w:p w14:paraId="741CC1DC" w14:textId="77777777" w:rsidR="004373FE" w:rsidRPr="00B6039A" w:rsidRDefault="004373FE" w:rsidP="00AD5309">
            <w:pPr>
              <w:ind w:left="36" w:firstLine="50"/>
            </w:pPr>
          </w:p>
          <w:p w14:paraId="0E460E4F" w14:textId="77777777" w:rsidR="004373FE" w:rsidRPr="00B6039A" w:rsidRDefault="004373FE" w:rsidP="00AD5309">
            <w:pPr>
              <w:ind w:left="36" w:firstLine="50"/>
            </w:pPr>
            <w:r w:rsidRPr="00B6039A">
              <w:t>It has stated that Key Recommendations 15 and 16 are being considered ‘as part of another government review or policy programme’.</w:t>
            </w:r>
          </w:p>
        </w:tc>
        <w:tc>
          <w:tcPr>
            <w:tcW w:w="3467" w:type="dxa"/>
            <w:shd w:val="clear" w:color="auto" w:fill="FFA5A5"/>
          </w:tcPr>
          <w:p w14:paraId="309FAA11" w14:textId="4F559C74" w:rsidR="004373FE" w:rsidRPr="00B6039A" w:rsidRDefault="005E1481" w:rsidP="00DA296E">
            <w:r w:rsidRPr="00B6039A">
              <w:t>No evidence of implementation.</w:t>
            </w:r>
          </w:p>
        </w:tc>
      </w:tr>
      <w:tr w:rsidR="004373FE" w:rsidRPr="00B6039A" w14:paraId="1FAC3551" w14:textId="77777777" w:rsidTr="00AD5309">
        <w:trPr>
          <w:trHeight w:val="375"/>
        </w:trPr>
        <w:tc>
          <w:tcPr>
            <w:tcW w:w="1838" w:type="dxa"/>
            <w:vMerge/>
          </w:tcPr>
          <w:p w14:paraId="1B4C22C7" w14:textId="77777777" w:rsidR="004373FE" w:rsidRPr="00B6039A" w:rsidRDefault="004373FE" w:rsidP="007601C3">
            <w:pPr>
              <w:ind w:left="29" w:firstLine="8"/>
            </w:pPr>
          </w:p>
        </w:tc>
        <w:tc>
          <w:tcPr>
            <w:tcW w:w="3687" w:type="dxa"/>
          </w:tcPr>
          <w:p w14:paraId="52DEDF51" w14:textId="77777777" w:rsidR="004373FE" w:rsidRPr="00B6039A" w:rsidRDefault="004373FE" w:rsidP="00AD5309">
            <w:pPr>
              <w:pStyle w:val="ListParagraph"/>
              <w:numPr>
                <w:ilvl w:val="0"/>
                <w:numId w:val="1"/>
              </w:numPr>
              <w:ind w:left="313"/>
            </w:pPr>
            <w:r w:rsidRPr="00B6039A">
              <w:t>Give MSD the mandate to improve, simplify and redesign practice around income declarations.</w:t>
            </w:r>
          </w:p>
        </w:tc>
        <w:tc>
          <w:tcPr>
            <w:tcW w:w="1133" w:type="dxa"/>
            <w:vMerge/>
          </w:tcPr>
          <w:p w14:paraId="4B2A1B04" w14:textId="77777777" w:rsidR="004373FE" w:rsidRPr="00B6039A" w:rsidRDefault="004373FE" w:rsidP="00DA296E"/>
        </w:tc>
        <w:tc>
          <w:tcPr>
            <w:tcW w:w="3337" w:type="dxa"/>
            <w:vMerge/>
          </w:tcPr>
          <w:p w14:paraId="295B3435" w14:textId="77777777" w:rsidR="004373FE" w:rsidRPr="00B6039A" w:rsidRDefault="004373FE" w:rsidP="00DA296E"/>
        </w:tc>
        <w:tc>
          <w:tcPr>
            <w:tcW w:w="3467" w:type="dxa"/>
            <w:shd w:val="clear" w:color="auto" w:fill="FFA5A5"/>
          </w:tcPr>
          <w:p w14:paraId="2AEEA13C" w14:textId="5350A57E" w:rsidR="004373FE" w:rsidRPr="00B6039A" w:rsidRDefault="005E1481" w:rsidP="00DA296E">
            <w:r w:rsidRPr="00B6039A">
              <w:t>No evidence of implementation.</w:t>
            </w:r>
          </w:p>
        </w:tc>
      </w:tr>
      <w:tr w:rsidR="004373FE" w:rsidRPr="00B6039A" w14:paraId="2D38FB9A" w14:textId="77777777" w:rsidTr="00AD5309">
        <w:trPr>
          <w:trHeight w:val="375"/>
        </w:trPr>
        <w:tc>
          <w:tcPr>
            <w:tcW w:w="1838" w:type="dxa"/>
            <w:vMerge/>
          </w:tcPr>
          <w:p w14:paraId="2C8638F2" w14:textId="77777777" w:rsidR="004373FE" w:rsidRPr="00B6039A" w:rsidRDefault="004373FE" w:rsidP="007601C3">
            <w:pPr>
              <w:ind w:left="29" w:firstLine="8"/>
            </w:pPr>
          </w:p>
        </w:tc>
        <w:tc>
          <w:tcPr>
            <w:tcW w:w="3687" w:type="dxa"/>
          </w:tcPr>
          <w:p w14:paraId="3443718F" w14:textId="77777777" w:rsidR="004373FE" w:rsidRPr="00B6039A" w:rsidRDefault="004373FE" w:rsidP="00AD5309">
            <w:pPr>
              <w:pStyle w:val="ListParagraph"/>
              <w:numPr>
                <w:ilvl w:val="0"/>
                <w:numId w:val="1"/>
              </w:numPr>
              <w:ind w:left="313"/>
            </w:pPr>
            <w:r w:rsidRPr="00B6039A">
              <w:t>Increase funding for community initiatives that promote financial literacy and for debt reduction, such as no interest, no fee and debt consolidation loans.</w:t>
            </w:r>
          </w:p>
        </w:tc>
        <w:tc>
          <w:tcPr>
            <w:tcW w:w="1133" w:type="dxa"/>
            <w:vMerge/>
          </w:tcPr>
          <w:p w14:paraId="1A684608" w14:textId="77777777" w:rsidR="004373FE" w:rsidRPr="00B6039A" w:rsidRDefault="004373FE" w:rsidP="00DA296E"/>
        </w:tc>
        <w:tc>
          <w:tcPr>
            <w:tcW w:w="3337" w:type="dxa"/>
            <w:vMerge/>
          </w:tcPr>
          <w:p w14:paraId="2D535489" w14:textId="77777777" w:rsidR="004373FE" w:rsidRPr="00B6039A" w:rsidRDefault="004373FE" w:rsidP="00DA296E"/>
        </w:tc>
        <w:tc>
          <w:tcPr>
            <w:tcW w:w="3467" w:type="dxa"/>
            <w:shd w:val="clear" w:color="auto" w:fill="FFA5A5"/>
          </w:tcPr>
          <w:p w14:paraId="70DEC503" w14:textId="3E55A941" w:rsidR="004373FE" w:rsidRPr="00B6039A" w:rsidRDefault="005E1481" w:rsidP="00DA296E">
            <w:r w:rsidRPr="00B6039A">
              <w:t>No evidence of implementation.</w:t>
            </w:r>
          </w:p>
        </w:tc>
      </w:tr>
      <w:tr w:rsidR="004373FE" w:rsidRPr="00B6039A" w14:paraId="727034F6" w14:textId="77777777" w:rsidTr="00AD5309">
        <w:trPr>
          <w:trHeight w:val="375"/>
        </w:trPr>
        <w:tc>
          <w:tcPr>
            <w:tcW w:w="1838" w:type="dxa"/>
            <w:vMerge/>
          </w:tcPr>
          <w:p w14:paraId="7E1911FE" w14:textId="77777777" w:rsidR="004373FE" w:rsidRPr="00B6039A" w:rsidRDefault="004373FE" w:rsidP="007601C3">
            <w:pPr>
              <w:ind w:left="29" w:firstLine="8"/>
            </w:pPr>
          </w:p>
        </w:tc>
        <w:tc>
          <w:tcPr>
            <w:tcW w:w="3687" w:type="dxa"/>
          </w:tcPr>
          <w:p w14:paraId="22D42F51" w14:textId="77777777" w:rsidR="004373FE" w:rsidRPr="00B6039A" w:rsidRDefault="004373FE" w:rsidP="00AD5309">
            <w:pPr>
              <w:pStyle w:val="ListParagraph"/>
              <w:numPr>
                <w:ilvl w:val="0"/>
                <w:numId w:val="1"/>
              </w:numPr>
              <w:ind w:left="313"/>
            </w:pPr>
            <w:r w:rsidRPr="00B6039A">
              <w:t xml:space="preserve">Introduce a scheme of incentivising benefit debt repayment, such as a Matched </w:t>
            </w:r>
            <w:r w:rsidRPr="00B6039A">
              <w:lastRenderedPageBreak/>
              <w:t>Debt Reduction Scheme, to reduce outstanding benefit debt.</w:t>
            </w:r>
          </w:p>
        </w:tc>
        <w:tc>
          <w:tcPr>
            <w:tcW w:w="1133" w:type="dxa"/>
            <w:vMerge/>
          </w:tcPr>
          <w:p w14:paraId="4127FB96" w14:textId="77777777" w:rsidR="004373FE" w:rsidRPr="00B6039A" w:rsidRDefault="004373FE" w:rsidP="00DA296E"/>
        </w:tc>
        <w:tc>
          <w:tcPr>
            <w:tcW w:w="3337" w:type="dxa"/>
            <w:vMerge/>
          </w:tcPr>
          <w:p w14:paraId="35EB7612" w14:textId="77777777" w:rsidR="004373FE" w:rsidRPr="00B6039A" w:rsidRDefault="004373FE" w:rsidP="00DA296E"/>
        </w:tc>
        <w:tc>
          <w:tcPr>
            <w:tcW w:w="3467" w:type="dxa"/>
            <w:shd w:val="clear" w:color="auto" w:fill="FFA5A5"/>
          </w:tcPr>
          <w:p w14:paraId="251D5C72" w14:textId="122886CD" w:rsidR="004373FE" w:rsidRPr="00B6039A" w:rsidRDefault="005E1481" w:rsidP="00DA296E">
            <w:r w:rsidRPr="00B6039A">
              <w:t>No evidence of implementation.</w:t>
            </w:r>
          </w:p>
        </w:tc>
      </w:tr>
      <w:tr w:rsidR="004373FE" w:rsidRPr="00B6039A" w14:paraId="2FEB0A09" w14:textId="77777777" w:rsidTr="00AD5309">
        <w:trPr>
          <w:trHeight w:val="375"/>
        </w:trPr>
        <w:tc>
          <w:tcPr>
            <w:tcW w:w="1838" w:type="dxa"/>
            <w:vMerge/>
          </w:tcPr>
          <w:p w14:paraId="55ACC05F" w14:textId="77777777" w:rsidR="004373FE" w:rsidRPr="00B6039A" w:rsidRDefault="004373FE" w:rsidP="007601C3">
            <w:pPr>
              <w:ind w:left="29" w:firstLine="8"/>
            </w:pPr>
          </w:p>
        </w:tc>
        <w:tc>
          <w:tcPr>
            <w:tcW w:w="3687" w:type="dxa"/>
          </w:tcPr>
          <w:p w14:paraId="5F5CD1DA" w14:textId="77777777" w:rsidR="004373FE" w:rsidRPr="00B6039A" w:rsidRDefault="004373FE" w:rsidP="00AD5309">
            <w:pPr>
              <w:pStyle w:val="ListParagraph"/>
              <w:numPr>
                <w:ilvl w:val="0"/>
                <w:numId w:val="1"/>
              </w:numPr>
              <w:ind w:left="313"/>
            </w:pPr>
            <w:r w:rsidRPr="00B6039A">
              <w:t>Review internal performance measures relating to debt, to bring them in line with the new purpose and principles.</w:t>
            </w:r>
          </w:p>
        </w:tc>
        <w:tc>
          <w:tcPr>
            <w:tcW w:w="1133" w:type="dxa"/>
            <w:vMerge/>
          </w:tcPr>
          <w:p w14:paraId="06EB9421" w14:textId="77777777" w:rsidR="004373FE" w:rsidRPr="00B6039A" w:rsidRDefault="004373FE" w:rsidP="00DA296E"/>
        </w:tc>
        <w:tc>
          <w:tcPr>
            <w:tcW w:w="3337" w:type="dxa"/>
            <w:vMerge/>
          </w:tcPr>
          <w:p w14:paraId="169E7A1A" w14:textId="77777777" w:rsidR="004373FE" w:rsidRPr="00B6039A" w:rsidRDefault="004373FE" w:rsidP="00DA296E"/>
        </w:tc>
        <w:tc>
          <w:tcPr>
            <w:tcW w:w="3467" w:type="dxa"/>
            <w:shd w:val="clear" w:color="auto" w:fill="FFA5A5"/>
          </w:tcPr>
          <w:p w14:paraId="58BEEF31" w14:textId="1161DEEB" w:rsidR="004373FE" w:rsidRPr="00B6039A" w:rsidRDefault="005E1481" w:rsidP="00DA296E">
            <w:r w:rsidRPr="00B6039A">
              <w:t>No evidence of implementation.</w:t>
            </w:r>
          </w:p>
        </w:tc>
      </w:tr>
      <w:tr w:rsidR="004373FE" w:rsidRPr="00B6039A" w14:paraId="0C7764AA" w14:textId="77777777" w:rsidTr="00AD5309">
        <w:trPr>
          <w:trHeight w:val="360"/>
        </w:trPr>
        <w:tc>
          <w:tcPr>
            <w:tcW w:w="1838" w:type="dxa"/>
            <w:vMerge w:val="restart"/>
          </w:tcPr>
          <w:p w14:paraId="66ECCFF0" w14:textId="77777777" w:rsidR="004373FE" w:rsidRPr="00B6039A" w:rsidRDefault="004373FE" w:rsidP="007601C3">
            <w:pPr>
              <w:ind w:left="29" w:firstLine="8"/>
            </w:pPr>
            <w:r w:rsidRPr="00B6039A">
              <w:t>Minimising the small amount of fraud</w:t>
            </w:r>
          </w:p>
        </w:tc>
        <w:tc>
          <w:tcPr>
            <w:tcW w:w="3687" w:type="dxa"/>
          </w:tcPr>
          <w:p w14:paraId="25F20DC5" w14:textId="77777777" w:rsidR="004373FE" w:rsidRPr="00B6039A" w:rsidRDefault="004373FE" w:rsidP="00AD5309">
            <w:pPr>
              <w:pStyle w:val="ListParagraph"/>
              <w:numPr>
                <w:ilvl w:val="0"/>
                <w:numId w:val="1"/>
              </w:numPr>
              <w:ind w:left="313"/>
            </w:pPr>
            <w:r w:rsidRPr="00B6039A">
              <w:t>Endorse MSD's three-tiered approach towards alleged fraud.</w:t>
            </w:r>
          </w:p>
        </w:tc>
        <w:tc>
          <w:tcPr>
            <w:tcW w:w="1133" w:type="dxa"/>
            <w:vMerge w:val="restart"/>
          </w:tcPr>
          <w:p w14:paraId="52070167" w14:textId="5F864895" w:rsidR="004373FE" w:rsidRPr="00B6039A" w:rsidRDefault="004373FE" w:rsidP="00DA296E">
            <w:r w:rsidRPr="00B6039A">
              <w:t xml:space="preserve">Key </w:t>
            </w:r>
            <w:r w:rsidR="00112B50" w:rsidRPr="00B6039A">
              <w:t>Rec</w:t>
            </w:r>
            <w:r w:rsidRPr="00B6039A">
              <w:t xml:space="preserve"> 17; </w:t>
            </w:r>
            <w:r w:rsidR="00112B50" w:rsidRPr="00B6039A">
              <w:t>Ch</w:t>
            </w:r>
            <w:r w:rsidRPr="00B6039A">
              <w:t xml:space="preserve"> 6</w:t>
            </w:r>
          </w:p>
        </w:tc>
        <w:tc>
          <w:tcPr>
            <w:tcW w:w="3337" w:type="dxa"/>
            <w:vMerge w:val="restart"/>
          </w:tcPr>
          <w:p w14:paraId="71CDA727" w14:textId="77777777" w:rsidR="004373FE" w:rsidRPr="00B6039A" w:rsidRDefault="004373FE" w:rsidP="00AD5309">
            <w:pPr>
              <w:ind w:left="36" w:firstLine="50"/>
            </w:pPr>
            <w:r w:rsidRPr="00B6039A">
              <w:t>The Government stated that work is underway to implement Key Recommendation 17. They have stated that “the Government endorses MSD’s approach to fraud as suggested here and will continue to ensure fraud is handled appropriately.”</w:t>
            </w:r>
            <w:r w:rsidRPr="00B6039A">
              <w:rPr>
                <w:rStyle w:val="FootnoteReference"/>
              </w:rPr>
              <w:footnoteReference w:id="131"/>
            </w:r>
          </w:p>
        </w:tc>
        <w:tc>
          <w:tcPr>
            <w:tcW w:w="3467" w:type="dxa"/>
            <w:shd w:val="clear" w:color="auto" w:fill="BCE292"/>
          </w:tcPr>
          <w:p w14:paraId="79928218" w14:textId="77777777" w:rsidR="004373FE" w:rsidRPr="00B6039A" w:rsidRDefault="004373FE" w:rsidP="00DA296E">
            <w:r w:rsidRPr="00B6039A">
              <w:t>Fully implemented.</w:t>
            </w:r>
          </w:p>
          <w:p w14:paraId="0495C789" w14:textId="77777777" w:rsidR="004373FE" w:rsidRPr="00B6039A" w:rsidRDefault="004373FE" w:rsidP="00DA296E"/>
          <w:p w14:paraId="01148D25" w14:textId="77777777" w:rsidR="004373FE" w:rsidRPr="00B6039A" w:rsidRDefault="004373FE" w:rsidP="00EE0D9D">
            <w:pPr>
              <w:ind w:left="95" w:hanging="9"/>
            </w:pPr>
            <w:r w:rsidRPr="00B6039A">
              <w:t>The three-tiered approach to managing fraud activity was implemented between November 2018 and February 2019 and remains in place,</w:t>
            </w:r>
            <w:r w:rsidRPr="00B6039A">
              <w:rPr>
                <w:rStyle w:val="FootnoteReference"/>
              </w:rPr>
              <w:footnoteReference w:id="132"/>
            </w:r>
            <w:r w:rsidRPr="00B6039A">
              <w:t xml:space="preserve"> and the Government has stated that it endorses MSD’s approach.</w:t>
            </w:r>
            <w:r w:rsidRPr="00B6039A">
              <w:rPr>
                <w:rStyle w:val="FootnoteReference"/>
              </w:rPr>
              <w:footnoteReference w:id="133"/>
            </w:r>
            <w:r w:rsidRPr="00B6039A">
              <w:t xml:space="preserve"> </w:t>
            </w:r>
          </w:p>
        </w:tc>
      </w:tr>
      <w:tr w:rsidR="004373FE" w:rsidRPr="00B6039A" w14:paraId="2DFCA169" w14:textId="77777777" w:rsidTr="00AD5309">
        <w:trPr>
          <w:trHeight w:val="360"/>
        </w:trPr>
        <w:tc>
          <w:tcPr>
            <w:tcW w:w="1838" w:type="dxa"/>
            <w:vMerge/>
          </w:tcPr>
          <w:p w14:paraId="5B5D8548" w14:textId="77777777" w:rsidR="004373FE" w:rsidRPr="00B6039A" w:rsidRDefault="004373FE" w:rsidP="007601C3">
            <w:pPr>
              <w:ind w:left="29" w:firstLine="8"/>
            </w:pPr>
          </w:p>
        </w:tc>
        <w:tc>
          <w:tcPr>
            <w:tcW w:w="3687" w:type="dxa"/>
          </w:tcPr>
          <w:p w14:paraId="2DCEF0FD" w14:textId="77777777" w:rsidR="004373FE" w:rsidRPr="00B6039A" w:rsidRDefault="004373FE" w:rsidP="00AD5309">
            <w:pPr>
              <w:pStyle w:val="ListParagraph"/>
              <w:numPr>
                <w:ilvl w:val="0"/>
                <w:numId w:val="1"/>
              </w:numPr>
              <w:ind w:left="313"/>
            </w:pPr>
            <w:r w:rsidRPr="00B6039A">
              <w:t>Introduce independent review proceedings prior to a Benefit Review Committee for prosecution investigations.</w:t>
            </w:r>
          </w:p>
        </w:tc>
        <w:tc>
          <w:tcPr>
            <w:tcW w:w="1133" w:type="dxa"/>
            <w:vMerge/>
          </w:tcPr>
          <w:p w14:paraId="76FFE330" w14:textId="77777777" w:rsidR="004373FE" w:rsidRPr="00B6039A" w:rsidRDefault="004373FE" w:rsidP="00DA296E"/>
        </w:tc>
        <w:tc>
          <w:tcPr>
            <w:tcW w:w="3337" w:type="dxa"/>
            <w:vMerge/>
          </w:tcPr>
          <w:p w14:paraId="51BB9B01" w14:textId="77777777" w:rsidR="004373FE" w:rsidRPr="00B6039A" w:rsidRDefault="004373FE" w:rsidP="00AD5309">
            <w:pPr>
              <w:ind w:left="36" w:firstLine="50"/>
            </w:pPr>
          </w:p>
        </w:tc>
        <w:tc>
          <w:tcPr>
            <w:tcW w:w="3467" w:type="dxa"/>
            <w:shd w:val="clear" w:color="auto" w:fill="FFA5A5"/>
          </w:tcPr>
          <w:p w14:paraId="253644DD" w14:textId="2472BF73" w:rsidR="004373FE" w:rsidRPr="00B6039A" w:rsidRDefault="005E1481" w:rsidP="00DA296E">
            <w:r w:rsidRPr="00B6039A">
              <w:t>No evidence of implementation.</w:t>
            </w:r>
          </w:p>
        </w:tc>
      </w:tr>
      <w:tr w:rsidR="004373FE" w:rsidRPr="00B6039A" w14:paraId="0FA8EB2D" w14:textId="77777777" w:rsidTr="00AD5309">
        <w:trPr>
          <w:trHeight w:val="360"/>
        </w:trPr>
        <w:tc>
          <w:tcPr>
            <w:tcW w:w="1838" w:type="dxa"/>
            <w:vMerge/>
          </w:tcPr>
          <w:p w14:paraId="4FC90BCA" w14:textId="77777777" w:rsidR="004373FE" w:rsidRPr="00B6039A" w:rsidRDefault="004373FE" w:rsidP="007601C3">
            <w:pPr>
              <w:ind w:left="29" w:firstLine="8"/>
            </w:pPr>
          </w:p>
        </w:tc>
        <w:tc>
          <w:tcPr>
            <w:tcW w:w="3687" w:type="dxa"/>
          </w:tcPr>
          <w:p w14:paraId="6ED62BA2" w14:textId="77777777" w:rsidR="004373FE" w:rsidRPr="00B6039A" w:rsidRDefault="004373FE" w:rsidP="00AD5309">
            <w:pPr>
              <w:pStyle w:val="ListParagraph"/>
              <w:numPr>
                <w:ilvl w:val="0"/>
                <w:numId w:val="1"/>
              </w:numPr>
              <w:ind w:left="313"/>
            </w:pPr>
            <w:r w:rsidRPr="00B6039A">
              <w:t>Explore and align prosecution practice with Inland Revenue’s approach to prosecution.</w:t>
            </w:r>
          </w:p>
        </w:tc>
        <w:tc>
          <w:tcPr>
            <w:tcW w:w="1133" w:type="dxa"/>
            <w:vMerge/>
          </w:tcPr>
          <w:p w14:paraId="2954CB3B" w14:textId="77777777" w:rsidR="004373FE" w:rsidRPr="00B6039A" w:rsidRDefault="004373FE" w:rsidP="00DA296E"/>
        </w:tc>
        <w:tc>
          <w:tcPr>
            <w:tcW w:w="3337" w:type="dxa"/>
            <w:vMerge/>
          </w:tcPr>
          <w:p w14:paraId="35056722" w14:textId="77777777" w:rsidR="004373FE" w:rsidRPr="00B6039A" w:rsidRDefault="004373FE" w:rsidP="00AD5309">
            <w:pPr>
              <w:ind w:left="36" w:firstLine="50"/>
            </w:pPr>
          </w:p>
        </w:tc>
        <w:tc>
          <w:tcPr>
            <w:tcW w:w="3467" w:type="dxa"/>
            <w:shd w:val="clear" w:color="auto" w:fill="FFA5A5"/>
          </w:tcPr>
          <w:p w14:paraId="2B524EE2" w14:textId="3FB03513" w:rsidR="004373FE" w:rsidRPr="00B6039A" w:rsidRDefault="005E1481" w:rsidP="00DA296E">
            <w:r w:rsidRPr="00B6039A">
              <w:t>No evidence of implementation.</w:t>
            </w:r>
          </w:p>
        </w:tc>
      </w:tr>
      <w:tr w:rsidR="004373FE" w:rsidRPr="00B6039A" w14:paraId="4A8B3EAB" w14:textId="77777777" w:rsidTr="00AD5309">
        <w:trPr>
          <w:trHeight w:val="321"/>
        </w:trPr>
        <w:tc>
          <w:tcPr>
            <w:tcW w:w="1838" w:type="dxa"/>
            <w:vMerge w:val="restart"/>
          </w:tcPr>
          <w:p w14:paraId="5E52E43A" w14:textId="77777777" w:rsidR="004373FE" w:rsidRPr="00B6039A" w:rsidRDefault="004373FE" w:rsidP="007601C3">
            <w:pPr>
              <w:ind w:left="29" w:firstLine="8"/>
            </w:pPr>
            <w:r w:rsidRPr="00B6039A">
              <w:t>Improving the service provided to people released from prison</w:t>
            </w:r>
          </w:p>
        </w:tc>
        <w:tc>
          <w:tcPr>
            <w:tcW w:w="3687" w:type="dxa"/>
          </w:tcPr>
          <w:p w14:paraId="2D0A7ED5" w14:textId="77777777" w:rsidR="004373FE" w:rsidRPr="00B6039A" w:rsidRDefault="004373FE" w:rsidP="00AD5309">
            <w:pPr>
              <w:pStyle w:val="ListParagraph"/>
              <w:numPr>
                <w:ilvl w:val="0"/>
                <w:numId w:val="1"/>
              </w:numPr>
              <w:ind w:left="313"/>
            </w:pPr>
            <w:r w:rsidRPr="00B6039A">
              <w:t>Scale up the Supporting Offenders into Employment intervention and MSD’s reintegration efforts, in conjunction with the Department of Corrections.</w:t>
            </w:r>
          </w:p>
        </w:tc>
        <w:tc>
          <w:tcPr>
            <w:tcW w:w="1133" w:type="dxa"/>
            <w:vMerge w:val="restart"/>
          </w:tcPr>
          <w:p w14:paraId="06B06B3A" w14:textId="0E9F15D8" w:rsidR="004373FE" w:rsidRPr="00B6039A" w:rsidRDefault="004373FE" w:rsidP="00DA296E">
            <w:r w:rsidRPr="00B6039A">
              <w:t xml:space="preserve">Key </w:t>
            </w:r>
            <w:r w:rsidR="00112B50" w:rsidRPr="00B6039A">
              <w:t>Rec</w:t>
            </w:r>
            <w:r w:rsidRPr="00B6039A">
              <w:t xml:space="preserve"> 18; </w:t>
            </w:r>
            <w:r w:rsidR="00112B50" w:rsidRPr="00B6039A">
              <w:t>Ch</w:t>
            </w:r>
            <w:r w:rsidRPr="00B6039A">
              <w:t xml:space="preserve"> 6</w:t>
            </w:r>
          </w:p>
        </w:tc>
        <w:tc>
          <w:tcPr>
            <w:tcW w:w="3337" w:type="dxa"/>
            <w:vMerge w:val="restart"/>
          </w:tcPr>
          <w:p w14:paraId="390E4C3D" w14:textId="77777777" w:rsidR="004373FE" w:rsidRPr="00B6039A" w:rsidRDefault="004373FE" w:rsidP="00AD5309">
            <w:pPr>
              <w:ind w:left="36" w:firstLine="50"/>
            </w:pPr>
            <w:r w:rsidRPr="00B6039A">
              <w:t xml:space="preserve">The Government stated that work is underway to partially implement Key Recommendation 18. They state that they are “working towards improving the support for people exiting </w:t>
            </w:r>
            <w:r w:rsidRPr="00B6039A">
              <w:lastRenderedPageBreak/>
              <w:t>prisons”, with work “underway between MSD and Corrections to progress specific proposals."</w:t>
            </w:r>
            <w:r w:rsidRPr="00B6039A">
              <w:rPr>
                <w:rStyle w:val="FootnoteReference"/>
              </w:rPr>
              <w:footnoteReference w:id="134"/>
            </w:r>
          </w:p>
        </w:tc>
        <w:tc>
          <w:tcPr>
            <w:tcW w:w="3467" w:type="dxa"/>
            <w:shd w:val="clear" w:color="auto" w:fill="FFA5A5"/>
          </w:tcPr>
          <w:p w14:paraId="748F9487" w14:textId="673F57A4" w:rsidR="004373FE" w:rsidRPr="00B6039A" w:rsidRDefault="005E1481" w:rsidP="00DA296E">
            <w:r w:rsidRPr="00B6039A">
              <w:lastRenderedPageBreak/>
              <w:t>No evidence of implementation.</w:t>
            </w:r>
            <w:r w:rsidR="004373FE" w:rsidRPr="00B6039A">
              <w:t xml:space="preserve"> </w:t>
            </w:r>
          </w:p>
          <w:p w14:paraId="533244EE" w14:textId="77777777" w:rsidR="004373FE" w:rsidRPr="00B6039A" w:rsidRDefault="004373FE" w:rsidP="00EE0D9D">
            <w:pPr>
              <w:ind w:left="95" w:hanging="9"/>
            </w:pPr>
            <w:r w:rsidRPr="00B6039A">
              <w:t>The Government’s announcements on this in May 2019 emphasised pre-existing work on the Supporting Offenders into Employment scheme.</w:t>
            </w:r>
            <w:r w:rsidRPr="00B6039A">
              <w:rPr>
                <w:rStyle w:val="FootnoteReference"/>
              </w:rPr>
              <w:footnoteReference w:id="135"/>
            </w:r>
          </w:p>
        </w:tc>
      </w:tr>
      <w:tr w:rsidR="004373FE" w:rsidRPr="00B6039A" w14:paraId="0B0EE4E6" w14:textId="77777777" w:rsidTr="00AD5309">
        <w:trPr>
          <w:trHeight w:val="321"/>
        </w:trPr>
        <w:tc>
          <w:tcPr>
            <w:tcW w:w="1838" w:type="dxa"/>
            <w:vMerge/>
          </w:tcPr>
          <w:p w14:paraId="5AF008A7" w14:textId="77777777" w:rsidR="004373FE" w:rsidRPr="00B6039A" w:rsidRDefault="004373FE" w:rsidP="007601C3">
            <w:pPr>
              <w:ind w:left="29" w:firstLine="8"/>
            </w:pPr>
          </w:p>
        </w:tc>
        <w:tc>
          <w:tcPr>
            <w:tcW w:w="3687" w:type="dxa"/>
          </w:tcPr>
          <w:p w14:paraId="4588C30A" w14:textId="77777777" w:rsidR="004373FE" w:rsidRPr="00B6039A" w:rsidRDefault="004373FE" w:rsidP="00EE0D9D">
            <w:pPr>
              <w:pStyle w:val="ListParagraph"/>
              <w:numPr>
                <w:ilvl w:val="0"/>
                <w:numId w:val="1"/>
              </w:numPr>
              <w:ind w:left="455"/>
            </w:pPr>
            <w:r w:rsidRPr="00B6039A">
              <w:t>Pastoral care for people released from prison should be increased.</w:t>
            </w:r>
          </w:p>
        </w:tc>
        <w:tc>
          <w:tcPr>
            <w:tcW w:w="1133" w:type="dxa"/>
            <w:vMerge/>
          </w:tcPr>
          <w:p w14:paraId="2AAF1E57" w14:textId="77777777" w:rsidR="004373FE" w:rsidRPr="00B6039A" w:rsidRDefault="004373FE" w:rsidP="00DA296E"/>
        </w:tc>
        <w:tc>
          <w:tcPr>
            <w:tcW w:w="3337" w:type="dxa"/>
            <w:vMerge/>
          </w:tcPr>
          <w:p w14:paraId="1B2BC2EE" w14:textId="77777777" w:rsidR="004373FE" w:rsidRPr="00B6039A" w:rsidRDefault="004373FE" w:rsidP="00DA296E"/>
        </w:tc>
        <w:tc>
          <w:tcPr>
            <w:tcW w:w="3467" w:type="dxa"/>
            <w:shd w:val="clear" w:color="auto" w:fill="FFA5A5"/>
          </w:tcPr>
          <w:p w14:paraId="78E1D756" w14:textId="483204FC" w:rsidR="004373FE" w:rsidRPr="00B6039A" w:rsidRDefault="005E1481" w:rsidP="00DA296E">
            <w:r w:rsidRPr="00B6039A">
              <w:t>No evidence of implementation.</w:t>
            </w:r>
          </w:p>
        </w:tc>
      </w:tr>
      <w:tr w:rsidR="004373FE" w:rsidRPr="00B6039A" w14:paraId="16691286" w14:textId="77777777" w:rsidTr="00AD5309">
        <w:trPr>
          <w:trHeight w:val="321"/>
        </w:trPr>
        <w:tc>
          <w:tcPr>
            <w:tcW w:w="1838" w:type="dxa"/>
            <w:vMerge/>
          </w:tcPr>
          <w:p w14:paraId="556FF956" w14:textId="77777777" w:rsidR="004373FE" w:rsidRPr="00B6039A" w:rsidRDefault="004373FE" w:rsidP="007601C3">
            <w:pPr>
              <w:ind w:left="29" w:firstLine="8"/>
            </w:pPr>
          </w:p>
        </w:tc>
        <w:tc>
          <w:tcPr>
            <w:tcW w:w="3687" w:type="dxa"/>
          </w:tcPr>
          <w:p w14:paraId="43BD3168" w14:textId="77777777" w:rsidR="004373FE" w:rsidRPr="00B6039A" w:rsidRDefault="004373FE" w:rsidP="00EE0D9D">
            <w:pPr>
              <w:pStyle w:val="ListParagraph"/>
              <w:numPr>
                <w:ilvl w:val="0"/>
                <w:numId w:val="1"/>
              </w:numPr>
              <w:ind w:left="455"/>
            </w:pPr>
            <w:r w:rsidRPr="00B6039A">
              <w:t>Review and increase the current value of the Steps to Freedom grant, to ensure it is adequate for basic living costs, including housing.</w:t>
            </w:r>
          </w:p>
        </w:tc>
        <w:tc>
          <w:tcPr>
            <w:tcW w:w="1133" w:type="dxa"/>
            <w:vMerge/>
          </w:tcPr>
          <w:p w14:paraId="4C1D4277" w14:textId="77777777" w:rsidR="004373FE" w:rsidRPr="00B6039A" w:rsidRDefault="004373FE" w:rsidP="00DA296E"/>
        </w:tc>
        <w:tc>
          <w:tcPr>
            <w:tcW w:w="3337" w:type="dxa"/>
            <w:vMerge/>
          </w:tcPr>
          <w:p w14:paraId="198BA759" w14:textId="77777777" w:rsidR="004373FE" w:rsidRPr="00B6039A" w:rsidRDefault="004373FE" w:rsidP="00DA296E"/>
        </w:tc>
        <w:tc>
          <w:tcPr>
            <w:tcW w:w="3467" w:type="dxa"/>
            <w:shd w:val="clear" w:color="auto" w:fill="FFA5A5"/>
          </w:tcPr>
          <w:p w14:paraId="1D9FCC30" w14:textId="17311E36" w:rsidR="004373FE" w:rsidRPr="00B6039A" w:rsidRDefault="005E1481" w:rsidP="00DA296E">
            <w:r w:rsidRPr="00B6039A">
              <w:t>No evidence of implementation.</w:t>
            </w:r>
          </w:p>
        </w:tc>
      </w:tr>
      <w:tr w:rsidR="004373FE" w:rsidRPr="00B6039A" w14:paraId="08B70D4A" w14:textId="77777777" w:rsidTr="00AD5309">
        <w:trPr>
          <w:trHeight w:val="321"/>
        </w:trPr>
        <w:tc>
          <w:tcPr>
            <w:tcW w:w="1838" w:type="dxa"/>
            <w:vMerge/>
          </w:tcPr>
          <w:p w14:paraId="57F86449" w14:textId="77777777" w:rsidR="004373FE" w:rsidRPr="00B6039A" w:rsidRDefault="004373FE" w:rsidP="007601C3">
            <w:pPr>
              <w:ind w:left="29" w:firstLine="8"/>
            </w:pPr>
          </w:p>
        </w:tc>
        <w:tc>
          <w:tcPr>
            <w:tcW w:w="3687" w:type="dxa"/>
          </w:tcPr>
          <w:p w14:paraId="6F2C3AE7" w14:textId="77777777" w:rsidR="004373FE" w:rsidRPr="00B6039A" w:rsidRDefault="004373FE" w:rsidP="00EE0D9D">
            <w:pPr>
              <w:pStyle w:val="ListParagraph"/>
              <w:numPr>
                <w:ilvl w:val="0"/>
                <w:numId w:val="1"/>
              </w:numPr>
              <w:ind w:left="455"/>
            </w:pPr>
            <w:r w:rsidRPr="00B6039A">
              <w:t>Monitor and ensure prisoners have the appropriate documentation to obtain income support or work on release (for example, an official form of identification, a driver’s licence, bank account, contact details).</w:t>
            </w:r>
          </w:p>
        </w:tc>
        <w:tc>
          <w:tcPr>
            <w:tcW w:w="1133" w:type="dxa"/>
            <w:vMerge/>
          </w:tcPr>
          <w:p w14:paraId="0EDCAFD3" w14:textId="77777777" w:rsidR="004373FE" w:rsidRPr="00B6039A" w:rsidRDefault="004373FE" w:rsidP="00DA296E"/>
        </w:tc>
        <w:tc>
          <w:tcPr>
            <w:tcW w:w="3337" w:type="dxa"/>
            <w:vMerge/>
          </w:tcPr>
          <w:p w14:paraId="4351E787" w14:textId="77777777" w:rsidR="004373FE" w:rsidRPr="00B6039A" w:rsidRDefault="004373FE" w:rsidP="00DA296E"/>
        </w:tc>
        <w:tc>
          <w:tcPr>
            <w:tcW w:w="3467" w:type="dxa"/>
            <w:shd w:val="clear" w:color="auto" w:fill="FFA5A5"/>
          </w:tcPr>
          <w:p w14:paraId="382BF086" w14:textId="621ABB87" w:rsidR="004373FE" w:rsidRPr="00B6039A" w:rsidRDefault="005E1481" w:rsidP="00DA296E">
            <w:r w:rsidRPr="00B6039A">
              <w:t>No evidence of implementation.</w:t>
            </w:r>
          </w:p>
        </w:tc>
      </w:tr>
      <w:tr w:rsidR="004373FE" w:rsidRPr="00B6039A" w14:paraId="14477FA8" w14:textId="77777777" w:rsidTr="00AD5309">
        <w:trPr>
          <w:trHeight w:val="321"/>
        </w:trPr>
        <w:tc>
          <w:tcPr>
            <w:tcW w:w="1838" w:type="dxa"/>
            <w:vMerge/>
          </w:tcPr>
          <w:p w14:paraId="718583BB" w14:textId="77777777" w:rsidR="004373FE" w:rsidRPr="00B6039A" w:rsidRDefault="004373FE" w:rsidP="007601C3">
            <w:pPr>
              <w:ind w:left="29" w:firstLine="8"/>
            </w:pPr>
          </w:p>
        </w:tc>
        <w:tc>
          <w:tcPr>
            <w:tcW w:w="3687" w:type="dxa"/>
          </w:tcPr>
          <w:p w14:paraId="2A1B9173" w14:textId="77777777" w:rsidR="004373FE" w:rsidRPr="00B6039A" w:rsidRDefault="004373FE" w:rsidP="00EE0D9D">
            <w:pPr>
              <w:pStyle w:val="ListParagraph"/>
              <w:numPr>
                <w:ilvl w:val="0"/>
                <w:numId w:val="1"/>
              </w:numPr>
              <w:ind w:left="455"/>
            </w:pPr>
            <w:r w:rsidRPr="00B6039A">
              <w:t>Consider continuing housing cost assistance for people entering prison for a short period, on remand or in custody.</w:t>
            </w:r>
          </w:p>
        </w:tc>
        <w:tc>
          <w:tcPr>
            <w:tcW w:w="1133" w:type="dxa"/>
            <w:vMerge/>
          </w:tcPr>
          <w:p w14:paraId="7EA7ADA2" w14:textId="77777777" w:rsidR="004373FE" w:rsidRPr="00B6039A" w:rsidRDefault="004373FE" w:rsidP="00DA296E"/>
        </w:tc>
        <w:tc>
          <w:tcPr>
            <w:tcW w:w="3337" w:type="dxa"/>
            <w:vMerge/>
          </w:tcPr>
          <w:p w14:paraId="01BD1D49" w14:textId="77777777" w:rsidR="004373FE" w:rsidRPr="00B6039A" w:rsidRDefault="004373FE" w:rsidP="00DA296E"/>
        </w:tc>
        <w:tc>
          <w:tcPr>
            <w:tcW w:w="3467" w:type="dxa"/>
            <w:shd w:val="clear" w:color="auto" w:fill="FFA5A5"/>
          </w:tcPr>
          <w:p w14:paraId="4F192FB1" w14:textId="29A96A95" w:rsidR="004373FE" w:rsidRPr="00B6039A" w:rsidRDefault="005E1481" w:rsidP="00DA296E">
            <w:r w:rsidRPr="00B6039A">
              <w:t>No evidence of implementation.</w:t>
            </w:r>
          </w:p>
        </w:tc>
      </w:tr>
      <w:tr w:rsidR="004373FE" w:rsidRPr="00B6039A" w14:paraId="533A1CD5" w14:textId="77777777" w:rsidTr="00AD5309">
        <w:trPr>
          <w:trHeight w:val="42"/>
        </w:trPr>
        <w:tc>
          <w:tcPr>
            <w:tcW w:w="1838" w:type="dxa"/>
            <w:vMerge w:val="restart"/>
          </w:tcPr>
          <w:p w14:paraId="15F91F29" w14:textId="77777777" w:rsidR="004373FE" w:rsidRPr="00B6039A" w:rsidRDefault="004373FE" w:rsidP="007601C3">
            <w:pPr>
              <w:ind w:left="29" w:firstLine="8"/>
            </w:pPr>
            <w:r w:rsidRPr="00B6039A">
              <w:t>Main benefits</w:t>
            </w:r>
          </w:p>
        </w:tc>
        <w:tc>
          <w:tcPr>
            <w:tcW w:w="3687" w:type="dxa"/>
          </w:tcPr>
          <w:p w14:paraId="112D142E" w14:textId="77777777" w:rsidR="004373FE" w:rsidRPr="00B6039A" w:rsidRDefault="004373FE" w:rsidP="00EE0D9D">
            <w:pPr>
              <w:pStyle w:val="ListParagraph"/>
              <w:numPr>
                <w:ilvl w:val="0"/>
                <w:numId w:val="1"/>
              </w:numPr>
              <w:ind w:left="455"/>
            </w:pPr>
            <w:r w:rsidRPr="00B6039A">
              <w:t>Remove youth rates of main benefits. Increase Jobseeker Support for under 24 years living away from home (and the rate of Youth Payment) to match the rate for people 25 and older, and increase Supported Living Payment for 16–17 year-olds to the rate for people aged 18 and over.</w:t>
            </w:r>
          </w:p>
        </w:tc>
        <w:tc>
          <w:tcPr>
            <w:tcW w:w="1133" w:type="dxa"/>
            <w:vMerge w:val="restart"/>
          </w:tcPr>
          <w:p w14:paraId="096BE99A" w14:textId="4181F67A" w:rsidR="004373FE" w:rsidRPr="00B6039A" w:rsidRDefault="004373FE" w:rsidP="00DA296E">
            <w:r w:rsidRPr="00B6039A">
              <w:t xml:space="preserve">Key </w:t>
            </w:r>
            <w:r w:rsidR="00112B50" w:rsidRPr="00B6039A">
              <w:t>Rec</w:t>
            </w:r>
            <w:r w:rsidRPr="00B6039A">
              <w:t xml:space="preserve"> 19; </w:t>
            </w:r>
            <w:r w:rsidR="00112B50" w:rsidRPr="00B6039A">
              <w:t>Ch</w:t>
            </w:r>
            <w:r w:rsidRPr="00B6039A">
              <w:t xml:space="preserve"> 7</w:t>
            </w:r>
          </w:p>
        </w:tc>
        <w:tc>
          <w:tcPr>
            <w:tcW w:w="3337" w:type="dxa"/>
            <w:vMerge w:val="restart"/>
          </w:tcPr>
          <w:p w14:paraId="0BED77F7" w14:textId="77777777" w:rsidR="004373FE" w:rsidRPr="00B6039A" w:rsidRDefault="004373FE" w:rsidP="00EE0D9D">
            <w:pPr>
              <w:ind w:left="178" w:hanging="92"/>
            </w:pPr>
            <w:r w:rsidRPr="00B6039A">
              <w:t xml:space="preserve">The Government has stated that implementation of Key Recommendation 19 is part of its medium and longer-term work programme. </w:t>
            </w:r>
            <w:r w:rsidRPr="00B6039A">
              <w:rPr>
                <w:rStyle w:val="FootnoteReference"/>
              </w:rPr>
              <w:footnoteReference w:id="136"/>
            </w:r>
            <w:r w:rsidRPr="00B6039A">
              <w:t xml:space="preserve"> It stated that “improving financial support will continue to be a key focus throughout the welfare overhaul work programme”. </w:t>
            </w:r>
          </w:p>
        </w:tc>
        <w:tc>
          <w:tcPr>
            <w:tcW w:w="3467" w:type="dxa"/>
            <w:shd w:val="clear" w:color="auto" w:fill="FFA5A5"/>
          </w:tcPr>
          <w:p w14:paraId="301FE8FE" w14:textId="0C752B39" w:rsidR="004373FE" w:rsidRPr="00B6039A" w:rsidRDefault="005E1481" w:rsidP="00DA296E">
            <w:r w:rsidRPr="00B6039A">
              <w:t>No evidence of implementation.</w:t>
            </w:r>
          </w:p>
        </w:tc>
      </w:tr>
      <w:tr w:rsidR="004373FE" w:rsidRPr="00B6039A" w14:paraId="105914FD" w14:textId="77777777" w:rsidTr="00AD5309">
        <w:trPr>
          <w:trHeight w:val="38"/>
        </w:trPr>
        <w:tc>
          <w:tcPr>
            <w:tcW w:w="1838" w:type="dxa"/>
            <w:vMerge/>
          </w:tcPr>
          <w:p w14:paraId="7770F8EF" w14:textId="77777777" w:rsidR="004373FE" w:rsidRPr="00B6039A" w:rsidRDefault="004373FE" w:rsidP="007601C3">
            <w:pPr>
              <w:ind w:left="29" w:firstLine="8"/>
            </w:pPr>
          </w:p>
        </w:tc>
        <w:tc>
          <w:tcPr>
            <w:tcW w:w="3687" w:type="dxa"/>
          </w:tcPr>
          <w:p w14:paraId="440AD5B2" w14:textId="77777777" w:rsidR="004373FE" w:rsidRPr="00B6039A" w:rsidRDefault="004373FE" w:rsidP="00EE0D9D">
            <w:pPr>
              <w:pStyle w:val="ListParagraph"/>
              <w:numPr>
                <w:ilvl w:val="0"/>
                <w:numId w:val="1"/>
              </w:numPr>
              <w:ind w:left="455"/>
            </w:pPr>
            <w:r w:rsidRPr="00B6039A">
              <w:t>Remove initial income stand-down periods.</w:t>
            </w:r>
          </w:p>
        </w:tc>
        <w:tc>
          <w:tcPr>
            <w:tcW w:w="1133" w:type="dxa"/>
            <w:vMerge/>
          </w:tcPr>
          <w:p w14:paraId="6EB4E4A7" w14:textId="77777777" w:rsidR="004373FE" w:rsidRPr="00B6039A" w:rsidRDefault="004373FE" w:rsidP="00DA296E"/>
        </w:tc>
        <w:tc>
          <w:tcPr>
            <w:tcW w:w="3337" w:type="dxa"/>
            <w:vMerge/>
          </w:tcPr>
          <w:p w14:paraId="2CB4D673" w14:textId="77777777" w:rsidR="004373FE" w:rsidRPr="00B6039A" w:rsidRDefault="004373FE" w:rsidP="00DA296E"/>
        </w:tc>
        <w:tc>
          <w:tcPr>
            <w:tcW w:w="3467" w:type="dxa"/>
            <w:shd w:val="clear" w:color="auto" w:fill="FFE599" w:themeFill="accent4" w:themeFillTint="66"/>
          </w:tcPr>
          <w:p w14:paraId="3093D651" w14:textId="77777777" w:rsidR="004373FE" w:rsidRPr="00B6039A" w:rsidRDefault="004373FE" w:rsidP="00DA296E">
            <w:r w:rsidRPr="00B6039A">
              <w:t xml:space="preserve">Partial evidence of progress. </w:t>
            </w:r>
          </w:p>
          <w:p w14:paraId="3291A16A" w14:textId="77777777" w:rsidR="004373FE" w:rsidRPr="00B6039A" w:rsidRDefault="004373FE" w:rsidP="00DA296E"/>
          <w:p w14:paraId="17EA3DFF" w14:textId="77777777" w:rsidR="004373FE" w:rsidRPr="00B6039A" w:rsidRDefault="004373FE" w:rsidP="00DA296E">
            <w:r w:rsidRPr="00B6039A">
              <w:lastRenderedPageBreak/>
              <w:t>In 2020, the Government removed stand-down periods as a response to Covid-19, for those eligible for a benefit between 23 March 2020 and 24 July 2021.</w:t>
            </w:r>
            <w:r w:rsidRPr="00B6039A">
              <w:rPr>
                <w:vertAlign w:val="superscript"/>
              </w:rPr>
              <w:footnoteReference w:id="137"/>
            </w:r>
            <w:r w:rsidRPr="00B6039A">
              <w:t xml:space="preserve"> However, at present this is a temporary measure and will expire in 2021. </w:t>
            </w:r>
          </w:p>
        </w:tc>
      </w:tr>
      <w:tr w:rsidR="004373FE" w:rsidRPr="00B6039A" w14:paraId="332539F1" w14:textId="77777777" w:rsidTr="00AD5309">
        <w:trPr>
          <w:trHeight w:val="38"/>
        </w:trPr>
        <w:tc>
          <w:tcPr>
            <w:tcW w:w="1838" w:type="dxa"/>
            <w:vMerge/>
          </w:tcPr>
          <w:p w14:paraId="4486EDF9" w14:textId="77777777" w:rsidR="004373FE" w:rsidRPr="00B6039A" w:rsidRDefault="004373FE" w:rsidP="007601C3">
            <w:pPr>
              <w:ind w:left="29" w:firstLine="8"/>
            </w:pPr>
          </w:p>
        </w:tc>
        <w:tc>
          <w:tcPr>
            <w:tcW w:w="3687" w:type="dxa"/>
          </w:tcPr>
          <w:p w14:paraId="07644EEA" w14:textId="77777777" w:rsidR="004373FE" w:rsidRPr="00B6039A" w:rsidRDefault="004373FE" w:rsidP="00EE0D9D">
            <w:pPr>
              <w:pStyle w:val="ListParagraph"/>
              <w:numPr>
                <w:ilvl w:val="0"/>
                <w:numId w:val="1"/>
              </w:numPr>
              <w:ind w:left="455"/>
            </w:pPr>
            <w:r w:rsidRPr="00B6039A">
              <w:t>Remove the 13-week non-entitlement period for voluntary unemployment.</w:t>
            </w:r>
          </w:p>
        </w:tc>
        <w:tc>
          <w:tcPr>
            <w:tcW w:w="1133" w:type="dxa"/>
            <w:vMerge/>
          </w:tcPr>
          <w:p w14:paraId="2E34183D" w14:textId="77777777" w:rsidR="004373FE" w:rsidRPr="00B6039A" w:rsidRDefault="004373FE" w:rsidP="00DA296E"/>
        </w:tc>
        <w:tc>
          <w:tcPr>
            <w:tcW w:w="3337" w:type="dxa"/>
            <w:vMerge/>
          </w:tcPr>
          <w:p w14:paraId="1F929C9A" w14:textId="77777777" w:rsidR="004373FE" w:rsidRPr="00B6039A" w:rsidRDefault="004373FE" w:rsidP="00DA296E"/>
        </w:tc>
        <w:tc>
          <w:tcPr>
            <w:tcW w:w="3467" w:type="dxa"/>
            <w:shd w:val="clear" w:color="auto" w:fill="FFA5A5"/>
          </w:tcPr>
          <w:p w14:paraId="568E7B83" w14:textId="748F7ED5" w:rsidR="004373FE" w:rsidRPr="00B6039A" w:rsidRDefault="005E1481" w:rsidP="00DA296E">
            <w:r w:rsidRPr="00B6039A">
              <w:t>No evidence of implementation.</w:t>
            </w:r>
          </w:p>
        </w:tc>
      </w:tr>
      <w:tr w:rsidR="004373FE" w:rsidRPr="00B6039A" w14:paraId="15DAECF7" w14:textId="77777777" w:rsidTr="00AD5309">
        <w:trPr>
          <w:trHeight w:val="38"/>
        </w:trPr>
        <w:tc>
          <w:tcPr>
            <w:tcW w:w="1838" w:type="dxa"/>
            <w:vMerge/>
          </w:tcPr>
          <w:p w14:paraId="362C94DD" w14:textId="77777777" w:rsidR="004373FE" w:rsidRPr="00B6039A" w:rsidRDefault="004373FE" w:rsidP="007601C3">
            <w:pPr>
              <w:ind w:left="29" w:firstLine="8"/>
            </w:pPr>
          </w:p>
        </w:tc>
        <w:tc>
          <w:tcPr>
            <w:tcW w:w="3687" w:type="dxa"/>
          </w:tcPr>
          <w:p w14:paraId="6757B29B" w14:textId="77777777" w:rsidR="004373FE" w:rsidRPr="00B6039A" w:rsidRDefault="004373FE" w:rsidP="00EE0D9D">
            <w:pPr>
              <w:pStyle w:val="ListParagraph"/>
              <w:numPr>
                <w:ilvl w:val="0"/>
                <w:numId w:val="1"/>
              </w:numPr>
              <w:ind w:left="455"/>
            </w:pPr>
            <w:r w:rsidRPr="00B6039A">
              <w:t>Remove the 30-hour rule.</w:t>
            </w:r>
          </w:p>
        </w:tc>
        <w:tc>
          <w:tcPr>
            <w:tcW w:w="1133" w:type="dxa"/>
            <w:vMerge/>
          </w:tcPr>
          <w:p w14:paraId="2A6BD9B9" w14:textId="77777777" w:rsidR="004373FE" w:rsidRPr="00B6039A" w:rsidRDefault="004373FE" w:rsidP="00DA296E"/>
        </w:tc>
        <w:tc>
          <w:tcPr>
            <w:tcW w:w="3337" w:type="dxa"/>
            <w:vMerge/>
          </w:tcPr>
          <w:p w14:paraId="068C59E3" w14:textId="77777777" w:rsidR="004373FE" w:rsidRPr="00B6039A" w:rsidRDefault="004373FE" w:rsidP="00DA296E"/>
        </w:tc>
        <w:tc>
          <w:tcPr>
            <w:tcW w:w="3467" w:type="dxa"/>
            <w:shd w:val="clear" w:color="auto" w:fill="FFA5A5"/>
          </w:tcPr>
          <w:p w14:paraId="51611E79" w14:textId="1B097E42" w:rsidR="004373FE" w:rsidRPr="00B6039A" w:rsidRDefault="005E1481" w:rsidP="00DA296E">
            <w:r w:rsidRPr="00B6039A">
              <w:t>No evidence of implementation.</w:t>
            </w:r>
          </w:p>
        </w:tc>
      </w:tr>
      <w:tr w:rsidR="004373FE" w:rsidRPr="00B6039A" w14:paraId="27B8AC2F" w14:textId="77777777" w:rsidTr="00AD5309">
        <w:trPr>
          <w:trHeight w:val="38"/>
        </w:trPr>
        <w:tc>
          <w:tcPr>
            <w:tcW w:w="1838" w:type="dxa"/>
            <w:vMerge/>
          </w:tcPr>
          <w:p w14:paraId="0AC16D84" w14:textId="77777777" w:rsidR="004373FE" w:rsidRPr="00B6039A" w:rsidRDefault="004373FE" w:rsidP="007601C3">
            <w:pPr>
              <w:ind w:left="29" w:firstLine="8"/>
            </w:pPr>
          </w:p>
        </w:tc>
        <w:tc>
          <w:tcPr>
            <w:tcW w:w="3687" w:type="dxa"/>
          </w:tcPr>
          <w:p w14:paraId="399313C1" w14:textId="77777777" w:rsidR="004373FE" w:rsidRPr="00B6039A" w:rsidRDefault="004373FE" w:rsidP="00EE0D9D">
            <w:pPr>
              <w:pStyle w:val="ListParagraph"/>
              <w:numPr>
                <w:ilvl w:val="0"/>
                <w:numId w:val="1"/>
              </w:numPr>
              <w:ind w:left="455"/>
            </w:pPr>
            <w:r w:rsidRPr="00B6039A">
              <w:t>Introduce individual entitlement to Jobseeker Support while retaining a couple-based income test.</w:t>
            </w:r>
          </w:p>
        </w:tc>
        <w:tc>
          <w:tcPr>
            <w:tcW w:w="1133" w:type="dxa"/>
            <w:vMerge/>
          </w:tcPr>
          <w:p w14:paraId="5A69B2CC" w14:textId="77777777" w:rsidR="004373FE" w:rsidRPr="00B6039A" w:rsidRDefault="004373FE" w:rsidP="00DA296E"/>
        </w:tc>
        <w:tc>
          <w:tcPr>
            <w:tcW w:w="3337" w:type="dxa"/>
            <w:vMerge/>
          </w:tcPr>
          <w:p w14:paraId="23FD143A" w14:textId="77777777" w:rsidR="004373FE" w:rsidRPr="00B6039A" w:rsidRDefault="004373FE" w:rsidP="00DA296E"/>
        </w:tc>
        <w:tc>
          <w:tcPr>
            <w:tcW w:w="3467" w:type="dxa"/>
            <w:shd w:val="clear" w:color="auto" w:fill="FFA5A5"/>
          </w:tcPr>
          <w:p w14:paraId="3EFDBFED" w14:textId="0ECBF390" w:rsidR="004373FE" w:rsidRPr="00B6039A" w:rsidRDefault="005E1481" w:rsidP="00DA296E">
            <w:r w:rsidRPr="00B6039A">
              <w:t>No evidence of implementation.</w:t>
            </w:r>
          </w:p>
        </w:tc>
      </w:tr>
      <w:tr w:rsidR="004373FE" w:rsidRPr="00B6039A" w14:paraId="78DCF4E5" w14:textId="77777777" w:rsidTr="00AD5309">
        <w:trPr>
          <w:trHeight w:val="38"/>
        </w:trPr>
        <w:tc>
          <w:tcPr>
            <w:tcW w:w="1838" w:type="dxa"/>
            <w:vMerge/>
          </w:tcPr>
          <w:p w14:paraId="72B24CAE" w14:textId="77777777" w:rsidR="004373FE" w:rsidRPr="00B6039A" w:rsidRDefault="004373FE" w:rsidP="007601C3">
            <w:pPr>
              <w:ind w:left="29" w:firstLine="8"/>
            </w:pPr>
          </w:p>
        </w:tc>
        <w:tc>
          <w:tcPr>
            <w:tcW w:w="3687" w:type="dxa"/>
          </w:tcPr>
          <w:p w14:paraId="3D34A599" w14:textId="77777777" w:rsidR="004373FE" w:rsidRPr="00B6039A" w:rsidRDefault="004373FE" w:rsidP="00EE0D9D">
            <w:pPr>
              <w:pStyle w:val="ListParagraph"/>
              <w:numPr>
                <w:ilvl w:val="0"/>
                <w:numId w:val="1"/>
              </w:numPr>
              <w:ind w:left="455"/>
            </w:pPr>
            <w:r w:rsidRPr="00B6039A">
              <w:t>Keep sole parents on Sole Parent Support until their youngest child turns 18 (rather than switching them to Jobseeker Support once their youngest child turns 14).</w:t>
            </w:r>
          </w:p>
        </w:tc>
        <w:tc>
          <w:tcPr>
            <w:tcW w:w="1133" w:type="dxa"/>
            <w:vMerge/>
          </w:tcPr>
          <w:p w14:paraId="27C1B820" w14:textId="77777777" w:rsidR="004373FE" w:rsidRPr="00B6039A" w:rsidRDefault="004373FE" w:rsidP="00DA296E"/>
        </w:tc>
        <w:tc>
          <w:tcPr>
            <w:tcW w:w="3337" w:type="dxa"/>
            <w:vMerge/>
          </w:tcPr>
          <w:p w14:paraId="4DC1596C" w14:textId="77777777" w:rsidR="004373FE" w:rsidRPr="00B6039A" w:rsidRDefault="004373FE" w:rsidP="00DA296E"/>
        </w:tc>
        <w:tc>
          <w:tcPr>
            <w:tcW w:w="3467" w:type="dxa"/>
            <w:shd w:val="clear" w:color="auto" w:fill="FFA5A5"/>
          </w:tcPr>
          <w:p w14:paraId="0D906E1D" w14:textId="09169F8D" w:rsidR="004373FE" w:rsidRPr="00B6039A" w:rsidRDefault="005E1481" w:rsidP="00DA296E">
            <w:r w:rsidRPr="00B6039A">
              <w:t>No evidence of implementation.</w:t>
            </w:r>
          </w:p>
        </w:tc>
      </w:tr>
      <w:tr w:rsidR="004373FE" w:rsidRPr="00B6039A" w14:paraId="5E0B26E0" w14:textId="77777777" w:rsidTr="00AD5309">
        <w:trPr>
          <w:trHeight w:val="38"/>
        </w:trPr>
        <w:tc>
          <w:tcPr>
            <w:tcW w:w="1838" w:type="dxa"/>
            <w:vMerge/>
          </w:tcPr>
          <w:p w14:paraId="4FABF565" w14:textId="77777777" w:rsidR="004373FE" w:rsidRPr="00B6039A" w:rsidRDefault="004373FE" w:rsidP="007601C3">
            <w:pPr>
              <w:ind w:left="29" w:firstLine="8"/>
            </w:pPr>
          </w:p>
        </w:tc>
        <w:tc>
          <w:tcPr>
            <w:tcW w:w="3687" w:type="dxa"/>
          </w:tcPr>
          <w:p w14:paraId="12F1F571" w14:textId="77777777" w:rsidR="004373FE" w:rsidRPr="00B6039A" w:rsidRDefault="004373FE" w:rsidP="00EE0D9D">
            <w:pPr>
              <w:pStyle w:val="ListParagraph"/>
              <w:numPr>
                <w:ilvl w:val="0"/>
                <w:numId w:val="1"/>
              </w:numPr>
              <w:ind w:left="455"/>
            </w:pPr>
            <w:r w:rsidRPr="00B6039A">
              <w:t>Consider changing the name of Jobseeker Support – Health Condition or Disability to better reflect people’s needs (for example, Health Support).</w:t>
            </w:r>
          </w:p>
        </w:tc>
        <w:tc>
          <w:tcPr>
            <w:tcW w:w="1133" w:type="dxa"/>
            <w:vMerge/>
          </w:tcPr>
          <w:p w14:paraId="6761AA0B" w14:textId="77777777" w:rsidR="004373FE" w:rsidRPr="00B6039A" w:rsidRDefault="004373FE" w:rsidP="00DA296E"/>
        </w:tc>
        <w:tc>
          <w:tcPr>
            <w:tcW w:w="3337" w:type="dxa"/>
            <w:vMerge/>
          </w:tcPr>
          <w:p w14:paraId="28C55877" w14:textId="77777777" w:rsidR="004373FE" w:rsidRPr="00B6039A" w:rsidRDefault="004373FE" w:rsidP="00DA296E"/>
        </w:tc>
        <w:tc>
          <w:tcPr>
            <w:tcW w:w="3467" w:type="dxa"/>
            <w:shd w:val="clear" w:color="auto" w:fill="FFA5A5"/>
          </w:tcPr>
          <w:p w14:paraId="35DF995C" w14:textId="7512088C" w:rsidR="004373FE" w:rsidRPr="00B6039A" w:rsidRDefault="005E1481" w:rsidP="00DA296E">
            <w:r w:rsidRPr="00B6039A">
              <w:t>No evidence of implementation.</w:t>
            </w:r>
          </w:p>
        </w:tc>
      </w:tr>
      <w:tr w:rsidR="004373FE" w:rsidRPr="00B6039A" w14:paraId="0FEF2329" w14:textId="77777777" w:rsidTr="00AD5309">
        <w:trPr>
          <w:trHeight w:val="135"/>
        </w:trPr>
        <w:tc>
          <w:tcPr>
            <w:tcW w:w="1838" w:type="dxa"/>
            <w:vMerge w:val="restart"/>
          </w:tcPr>
          <w:p w14:paraId="6CDF5203" w14:textId="77777777" w:rsidR="004373FE" w:rsidRPr="00B6039A" w:rsidRDefault="004373FE" w:rsidP="007601C3">
            <w:pPr>
              <w:ind w:left="29" w:firstLine="8"/>
            </w:pPr>
            <w:r w:rsidRPr="00B6039A">
              <w:t>Hardship assistance</w:t>
            </w:r>
          </w:p>
        </w:tc>
        <w:tc>
          <w:tcPr>
            <w:tcW w:w="3687" w:type="dxa"/>
          </w:tcPr>
          <w:p w14:paraId="4E5A39D8" w14:textId="77777777" w:rsidR="004373FE" w:rsidRPr="00B6039A" w:rsidRDefault="004373FE" w:rsidP="00EE0D9D">
            <w:pPr>
              <w:pStyle w:val="ListParagraph"/>
              <w:numPr>
                <w:ilvl w:val="0"/>
                <w:numId w:val="1"/>
              </w:numPr>
              <w:ind w:left="455"/>
            </w:pPr>
            <w:r w:rsidRPr="00B6039A">
              <w:t>Increase income and asset limits to allow a larger proportion of low-income working people to access payments.</w:t>
            </w:r>
          </w:p>
        </w:tc>
        <w:tc>
          <w:tcPr>
            <w:tcW w:w="1133" w:type="dxa"/>
            <w:vMerge w:val="restart"/>
          </w:tcPr>
          <w:p w14:paraId="7669FDF0" w14:textId="00195671" w:rsidR="004373FE" w:rsidRPr="00B6039A" w:rsidRDefault="004373FE" w:rsidP="00DA296E">
            <w:r w:rsidRPr="00B6039A">
              <w:t xml:space="preserve">Key </w:t>
            </w:r>
            <w:r w:rsidR="00112B50" w:rsidRPr="00B6039A">
              <w:t>Rec</w:t>
            </w:r>
            <w:r w:rsidRPr="00B6039A">
              <w:t xml:space="preserve"> 24; </w:t>
            </w:r>
            <w:r w:rsidR="00112B50" w:rsidRPr="00B6039A">
              <w:t>Ch</w:t>
            </w:r>
            <w:r w:rsidRPr="00B6039A">
              <w:t xml:space="preserve"> 7</w:t>
            </w:r>
          </w:p>
        </w:tc>
        <w:tc>
          <w:tcPr>
            <w:tcW w:w="3337" w:type="dxa"/>
            <w:vMerge w:val="restart"/>
          </w:tcPr>
          <w:p w14:paraId="5B3FE4A9" w14:textId="77777777" w:rsidR="004373FE" w:rsidRPr="00B6039A" w:rsidRDefault="004373FE" w:rsidP="00DA296E">
            <w:r w:rsidRPr="00B6039A">
              <w:t>The Government has stated that implementation of Key Recommendation 24 is part of its ‘medium and longer-</w:t>
            </w:r>
            <w:r w:rsidRPr="00B6039A">
              <w:lastRenderedPageBreak/>
              <w:t>term work programme’, stating that “further consideration of supplementary report is required”.</w:t>
            </w:r>
            <w:r w:rsidRPr="00B6039A">
              <w:rPr>
                <w:rStyle w:val="FootnoteReference"/>
              </w:rPr>
              <w:footnoteReference w:id="138"/>
            </w:r>
          </w:p>
        </w:tc>
        <w:tc>
          <w:tcPr>
            <w:tcW w:w="3467" w:type="dxa"/>
            <w:shd w:val="clear" w:color="auto" w:fill="FFA5A5"/>
          </w:tcPr>
          <w:p w14:paraId="3D3406A1" w14:textId="33581E64" w:rsidR="004373FE" w:rsidRPr="00B6039A" w:rsidRDefault="005E1481" w:rsidP="00DA296E">
            <w:r w:rsidRPr="00B6039A">
              <w:lastRenderedPageBreak/>
              <w:t>No evidence of implementation.</w:t>
            </w:r>
          </w:p>
        </w:tc>
      </w:tr>
      <w:tr w:rsidR="004373FE" w:rsidRPr="00B6039A" w14:paraId="3044D7AF" w14:textId="77777777" w:rsidTr="00AD5309">
        <w:trPr>
          <w:trHeight w:val="135"/>
        </w:trPr>
        <w:tc>
          <w:tcPr>
            <w:tcW w:w="1838" w:type="dxa"/>
            <w:vMerge/>
          </w:tcPr>
          <w:p w14:paraId="6424991C" w14:textId="77777777" w:rsidR="004373FE" w:rsidRPr="00B6039A" w:rsidRDefault="004373FE" w:rsidP="007601C3">
            <w:pPr>
              <w:ind w:left="29" w:firstLine="8"/>
            </w:pPr>
          </w:p>
        </w:tc>
        <w:tc>
          <w:tcPr>
            <w:tcW w:w="3687" w:type="dxa"/>
          </w:tcPr>
          <w:p w14:paraId="6B12B05E" w14:textId="77777777" w:rsidR="004373FE" w:rsidRPr="00B6039A" w:rsidRDefault="004373FE" w:rsidP="00EE0D9D">
            <w:pPr>
              <w:pStyle w:val="ListParagraph"/>
              <w:numPr>
                <w:ilvl w:val="0"/>
                <w:numId w:val="1"/>
              </w:numPr>
              <w:ind w:left="455"/>
            </w:pPr>
            <w:r w:rsidRPr="00B6039A">
              <w:t>Review and increase grant limits so they cover current costs, including for emergency dental treatment.</w:t>
            </w:r>
          </w:p>
        </w:tc>
        <w:tc>
          <w:tcPr>
            <w:tcW w:w="1133" w:type="dxa"/>
            <w:vMerge/>
          </w:tcPr>
          <w:p w14:paraId="47050740" w14:textId="77777777" w:rsidR="004373FE" w:rsidRPr="00B6039A" w:rsidRDefault="004373FE" w:rsidP="00DA296E"/>
        </w:tc>
        <w:tc>
          <w:tcPr>
            <w:tcW w:w="3337" w:type="dxa"/>
            <w:vMerge/>
          </w:tcPr>
          <w:p w14:paraId="26F3FAE4" w14:textId="77777777" w:rsidR="004373FE" w:rsidRPr="00B6039A" w:rsidRDefault="004373FE" w:rsidP="00DA296E"/>
        </w:tc>
        <w:tc>
          <w:tcPr>
            <w:tcW w:w="3467" w:type="dxa"/>
            <w:shd w:val="clear" w:color="auto" w:fill="FFA5A5"/>
          </w:tcPr>
          <w:p w14:paraId="78ECD218" w14:textId="5771A1F9" w:rsidR="004373FE" w:rsidRPr="00B6039A" w:rsidRDefault="005E1481" w:rsidP="00DA296E">
            <w:r w:rsidRPr="00B6039A">
              <w:t>No evidence of implementation.</w:t>
            </w:r>
          </w:p>
        </w:tc>
      </w:tr>
      <w:tr w:rsidR="004373FE" w:rsidRPr="00B6039A" w14:paraId="79C69D07" w14:textId="77777777" w:rsidTr="00AD5309">
        <w:trPr>
          <w:trHeight w:val="135"/>
        </w:trPr>
        <w:tc>
          <w:tcPr>
            <w:tcW w:w="1838" w:type="dxa"/>
            <w:vMerge/>
          </w:tcPr>
          <w:p w14:paraId="5C131CE1" w14:textId="77777777" w:rsidR="004373FE" w:rsidRPr="00B6039A" w:rsidRDefault="004373FE" w:rsidP="007601C3">
            <w:pPr>
              <w:ind w:left="29" w:firstLine="8"/>
            </w:pPr>
          </w:p>
        </w:tc>
        <w:tc>
          <w:tcPr>
            <w:tcW w:w="3687" w:type="dxa"/>
          </w:tcPr>
          <w:p w14:paraId="6447C871" w14:textId="77777777" w:rsidR="004373FE" w:rsidRPr="00B6039A" w:rsidRDefault="004373FE" w:rsidP="00EE0D9D">
            <w:pPr>
              <w:pStyle w:val="ListParagraph"/>
              <w:numPr>
                <w:ilvl w:val="0"/>
                <w:numId w:val="1"/>
              </w:numPr>
              <w:ind w:left="455"/>
            </w:pPr>
            <w:r w:rsidRPr="00B6039A">
              <w:t>Make a larger proportion of payments non-recoverable (for example, those for the costs of school uniforms).</w:t>
            </w:r>
          </w:p>
        </w:tc>
        <w:tc>
          <w:tcPr>
            <w:tcW w:w="1133" w:type="dxa"/>
            <w:vMerge/>
          </w:tcPr>
          <w:p w14:paraId="30E175B0" w14:textId="77777777" w:rsidR="004373FE" w:rsidRPr="00B6039A" w:rsidRDefault="004373FE" w:rsidP="00DA296E"/>
        </w:tc>
        <w:tc>
          <w:tcPr>
            <w:tcW w:w="3337" w:type="dxa"/>
            <w:vMerge/>
          </w:tcPr>
          <w:p w14:paraId="546CA439" w14:textId="77777777" w:rsidR="004373FE" w:rsidRPr="00B6039A" w:rsidRDefault="004373FE" w:rsidP="00DA296E"/>
        </w:tc>
        <w:tc>
          <w:tcPr>
            <w:tcW w:w="3467" w:type="dxa"/>
            <w:shd w:val="clear" w:color="auto" w:fill="FFA5A5"/>
          </w:tcPr>
          <w:p w14:paraId="66E4FCE4" w14:textId="1931C554" w:rsidR="004373FE" w:rsidRPr="00B6039A" w:rsidRDefault="005E1481" w:rsidP="00DA296E">
            <w:r w:rsidRPr="00B6039A">
              <w:t>No evidence of implementation.</w:t>
            </w:r>
          </w:p>
        </w:tc>
      </w:tr>
      <w:tr w:rsidR="004373FE" w:rsidRPr="00B6039A" w14:paraId="2D99C9CD" w14:textId="77777777" w:rsidTr="00AD5309">
        <w:trPr>
          <w:trHeight w:val="135"/>
        </w:trPr>
        <w:tc>
          <w:tcPr>
            <w:tcW w:w="1838" w:type="dxa"/>
            <w:vMerge/>
          </w:tcPr>
          <w:p w14:paraId="53830C74" w14:textId="77777777" w:rsidR="004373FE" w:rsidRPr="00B6039A" w:rsidRDefault="004373FE" w:rsidP="007601C3">
            <w:pPr>
              <w:ind w:left="29" w:firstLine="8"/>
            </w:pPr>
          </w:p>
        </w:tc>
        <w:tc>
          <w:tcPr>
            <w:tcW w:w="3687" w:type="dxa"/>
          </w:tcPr>
          <w:p w14:paraId="6581A22B" w14:textId="77777777" w:rsidR="004373FE" w:rsidRPr="00B6039A" w:rsidRDefault="004373FE" w:rsidP="00EE0D9D">
            <w:pPr>
              <w:pStyle w:val="ListParagraph"/>
              <w:numPr>
                <w:ilvl w:val="0"/>
                <w:numId w:val="1"/>
              </w:numPr>
              <w:ind w:left="455"/>
            </w:pPr>
            <w:r w:rsidRPr="00B6039A">
              <w:t>Review the Temporary Additional Support formula, including the accommodation loading and maximum amount, so it adequately covers costs.</w:t>
            </w:r>
          </w:p>
        </w:tc>
        <w:tc>
          <w:tcPr>
            <w:tcW w:w="1133" w:type="dxa"/>
            <w:vMerge/>
          </w:tcPr>
          <w:p w14:paraId="39373845" w14:textId="77777777" w:rsidR="004373FE" w:rsidRPr="00B6039A" w:rsidRDefault="004373FE" w:rsidP="00DA296E"/>
        </w:tc>
        <w:tc>
          <w:tcPr>
            <w:tcW w:w="3337" w:type="dxa"/>
            <w:vMerge/>
          </w:tcPr>
          <w:p w14:paraId="16767115" w14:textId="77777777" w:rsidR="004373FE" w:rsidRPr="00B6039A" w:rsidRDefault="004373FE" w:rsidP="00DA296E"/>
        </w:tc>
        <w:tc>
          <w:tcPr>
            <w:tcW w:w="3467" w:type="dxa"/>
            <w:shd w:val="clear" w:color="auto" w:fill="FFA5A5"/>
          </w:tcPr>
          <w:p w14:paraId="58DCE714" w14:textId="36C2A82D" w:rsidR="004373FE" w:rsidRPr="00B6039A" w:rsidRDefault="005E1481" w:rsidP="00DA296E">
            <w:r w:rsidRPr="00B6039A">
              <w:t>No evidence of implementation.</w:t>
            </w:r>
          </w:p>
        </w:tc>
      </w:tr>
      <w:tr w:rsidR="004373FE" w:rsidRPr="00B6039A" w14:paraId="02A97AD4" w14:textId="77777777" w:rsidTr="00AD5309">
        <w:trPr>
          <w:trHeight w:val="535"/>
        </w:trPr>
        <w:tc>
          <w:tcPr>
            <w:tcW w:w="1838" w:type="dxa"/>
            <w:vMerge w:val="restart"/>
          </w:tcPr>
          <w:p w14:paraId="7FDF87A6" w14:textId="77777777" w:rsidR="004373FE" w:rsidRPr="00B6039A" w:rsidRDefault="004373FE" w:rsidP="007601C3">
            <w:pPr>
              <w:ind w:left="29" w:firstLine="8"/>
            </w:pPr>
            <w:r w:rsidRPr="00B6039A">
              <w:t>Income definition</w:t>
            </w:r>
          </w:p>
        </w:tc>
        <w:tc>
          <w:tcPr>
            <w:tcW w:w="3687" w:type="dxa"/>
          </w:tcPr>
          <w:p w14:paraId="3D63E4C4" w14:textId="77777777" w:rsidR="004373FE" w:rsidRPr="00B6039A" w:rsidRDefault="004373FE" w:rsidP="00EE0D9D">
            <w:pPr>
              <w:pStyle w:val="ListParagraph"/>
              <w:numPr>
                <w:ilvl w:val="0"/>
                <w:numId w:val="1"/>
              </w:numPr>
              <w:ind w:left="455"/>
            </w:pPr>
            <w:r w:rsidRPr="00B6039A">
              <w:t>Align definitions of income and assets with those established by Inland Revenue, unless there are clear and robust reasons for a different definition.</w:t>
            </w:r>
          </w:p>
        </w:tc>
        <w:tc>
          <w:tcPr>
            <w:tcW w:w="1133" w:type="dxa"/>
            <w:vMerge w:val="restart"/>
          </w:tcPr>
          <w:p w14:paraId="3C4BF79D" w14:textId="77777777" w:rsidR="004373FE" w:rsidRPr="00B6039A" w:rsidRDefault="004373FE" w:rsidP="00DA296E"/>
        </w:tc>
        <w:tc>
          <w:tcPr>
            <w:tcW w:w="3337" w:type="dxa"/>
            <w:vMerge w:val="restart"/>
          </w:tcPr>
          <w:p w14:paraId="496715A8" w14:textId="77777777" w:rsidR="004373FE" w:rsidRPr="00B6039A" w:rsidRDefault="004373FE" w:rsidP="00DA296E"/>
        </w:tc>
        <w:tc>
          <w:tcPr>
            <w:tcW w:w="3467" w:type="dxa"/>
            <w:shd w:val="clear" w:color="auto" w:fill="FFA5A5"/>
          </w:tcPr>
          <w:p w14:paraId="12B69CC9" w14:textId="67D97503" w:rsidR="004373FE" w:rsidRPr="00B6039A" w:rsidRDefault="005E1481" w:rsidP="00DA296E">
            <w:r w:rsidRPr="00B6039A">
              <w:t>No evidence of implementation.</w:t>
            </w:r>
          </w:p>
        </w:tc>
      </w:tr>
      <w:tr w:rsidR="004373FE" w:rsidRPr="00B6039A" w14:paraId="76ADF953" w14:textId="77777777" w:rsidTr="00AD5309">
        <w:trPr>
          <w:trHeight w:val="535"/>
        </w:trPr>
        <w:tc>
          <w:tcPr>
            <w:tcW w:w="1838" w:type="dxa"/>
            <w:vMerge/>
          </w:tcPr>
          <w:p w14:paraId="3AD9C625" w14:textId="77777777" w:rsidR="004373FE" w:rsidRPr="00B6039A" w:rsidRDefault="004373FE" w:rsidP="007601C3">
            <w:pPr>
              <w:ind w:left="29" w:firstLine="8"/>
            </w:pPr>
          </w:p>
        </w:tc>
        <w:tc>
          <w:tcPr>
            <w:tcW w:w="3687" w:type="dxa"/>
          </w:tcPr>
          <w:p w14:paraId="4F935CF3" w14:textId="77777777" w:rsidR="004373FE" w:rsidRPr="00B6039A" w:rsidRDefault="004373FE" w:rsidP="00EE0D9D">
            <w:pPr>
              <w:pStyle w:val="ListParagraph"/>
              <w:numPr>
                <w:ilvl w:val="0"/>
                <w:numId w:val="1"/>
              </w:numPr>
              <w:ind w:left="455"/>
            </w:pPr>
            <w:r w:rsidRPr="00B6039A">
              <w:t>Treat earnings-related compensation from ACC the same as other income from work in the benefit system.</w:t>
            </w:r>
          </w:p>
        </w:tc>
        <w:tc>
          <w:tcPr>
            <w:tcW w:w="1133" w:type="dxa"/>
            <w:vMerge/>
          </w:tcPr>
          <w:p w14:paraId="6361A925" w14:textId="77777777" w:rsidR="004373FE" w:rsidRPr="00B6039A" w:rsidRDefault="004373FE" w:rsidP="00DA296E"/>
        </w:tc>
        <w:tc>
          <w:tcPr>
            <w:tcW w:w="3337" w:type="dxa"/>
            <w:vMerge/>
          </w:tcPr>
          <w:p w14:paraId="34A2EC99" w14:textId="77777777" w:rsidR="004373FE" w:rsidRPr="00B6039A" w:rsidRDefault="004373FE" w:rsidP="00DA296E"/>
        </w:tc>
        <w:tc>
          <w:tcPr>
            <w:tcW w:w="3467" w:type="dxa"/>
            <w:shd w:val="clear" w:color="auto" w:fill="FFA5A5"/>
          </w:tcPr>
          <w:p w14:paraId="695B8298" w14:textId="4A0602A4" w:rsidR="004373FE" w:rsidRPr="00B6039A" w:rsidRDefault="005E1481" w:rsidP="00DA296E">
            <w:r w:rsidRPr="00B6039A">
              <w:t>No evidence of implementation.</w:t>
            </w:r>
          </w:p>
        </w:tc>
      </w:tr>
      <w:tr w:rsidR="004373FE" w:rsidRPr="00B6039A" w14:paraId="119869B9" w14:textId="77777777" w:rsidTr="00AD5309">
        <w:trPr>
          <w:trHeight w:val="535"/>
        </w:trPr>
        <w:tc>
          <w:tcPr>
            <w:tcW w:w="1838" w:type="dxa"/>
            <w:vMerge/>
          </w:tcPr>
          <w:p w14:paraId="0B42EBE1" w14:textId="77777777" w:rsidR="004373FE" w:rsidRPr="00B6039A" w:rsidRDefault="004373FE" w:rsidP="007601C3">
            <w:pPr>
              <w:ind w:left="29" w:firstLine="8"/>
            </w:pPr>
          </w:p>
        </w:tc>
        <w:tc>
          <w:tcPr>
            <w:tcW w:w="3687" w:type="dxa"/>
          </w:tcPr>
          <w:p w14:paraId="215FBAA2" w14:textId="77777777" w:rsidR="004373FE" w:rsidRPr="00B6039A" w:rsidRDefault="004373FE" w:rsidP="00EE0D9D">
            <w:pPr>
              <w:pStyle w:val="ListParagraph"/>
              <w:numPr>
                <w:ilvl w:val="0"/>
                <w:numId w:val="1"/>
              </w:numPr>
              <w:ind w:left="455"/>
            </w:pPr>
            <w:r w:rsidRPr="00B6039A">
              <w:t>Review how income is measured and allocated to people, including assessment periods – especially in the treatment of lump-sum payments, retrospective payments, joint investments and annual business income.</w:t>
            </w:r>
          </w:p>
        </w:tc>
        <w:tc>
          <w:tcPr>
            <w:tcW w:w="1133" w:type="dxa"/>
            <w:vMerge/>
          </w:tcPr>
          <w:p w14:paraId="70878C8D" w14:textId="77777777" w:rsidR="004373FE" w:rsidRPr="00B6039A" w:rsidRDefault="004373FE" w:rsidP="00DA296E"/>
        </w:tc>
        <w:tc>
          <w:tcPr>
            <w:tcW w:w="3337" w:type="dxa"/>
            <w:vMerge/>
          </w:tcPr>
          <w:p w14:paraId="1B27E3CD" w14:textId="77777777" w:rsidR="004373FE" w:rsidRPr="00B6039A" w:rsidRDefault="004373FE" w:rsidP="00DA296E"/>
        </w:tc>
        <w:tc>
          <w:tcPr>
            <w:tcW w:w="3467" w:type="dxa"/>
            <w:shd w:val="clear" w:color="auto" w:fill="FFA5A5"/>
          </w:tcPr>
          <w:p w14:paraId="645AFC92" w14:textId="0FEFFE3F" w:rsidR="004373FE" w:rsidRPr="00B6039A" w:rsidRDefault="005E1481" w:rsidP="00DA296E">
            <w:r w:rsidRPr="00B6039A">
              <w:t>No evidence of implementation.</w:t>
            </w:r>
          </w:p>
        </w:tc>
      </w:tr>
      <w:tr w:rsidR="004373FE" w:rsidRPr="00B6039A" w14:paraId="4CDECC0A" w14:textId="77777777" w:rsidTr="00AD5309">
        <w:trPr>
          <w:trHeight w:val="180"/>
        </w:trPr>
        <w:tc>
          <w:tcPr>
            <w:tcW w:w="1838" w:type="dxa"/>
            <w:vMerge w:val="restart"/>
          </w:tcPr>
          <w:p w14:paraId="1F1C9B47" w14:textId="77777777" w:rsidR="004373FE" w:rsidRPr="00B6039A" w:rsidRDefault="004373FE" w:rsidP="007601C3">
            <w:pPr>
              <w:ind w:left="29" w:firstLine="8"/>
            </w:pPr>
            <w:r w:rsidRPr="00B6039A">
              <w:lastRenderedPageBreak/>
              <w:t>Family Tax Credit</w:t>
            </w:r>
          </w:p>
        </w:tc>
        <w:tc>
          <w:tcPr>
            <w:tcW w:w="3687" w:type="dxa"/>
          </w:tcPr>
          <w:p w14:paraId="277DA7B2" w14:textId="77777777" w:rsidR="004373FE" w:rsidRPr="00B6039A" w:rsidRDefault="004373FE" w:rsidP="00EE0D9D">
            <w:pPr>
              <w:pStyle w:val="ListParagraph"/>
              <w:numPr>
                <w:ilvl w:val="0"/>
                <w:numId w:val="1"/>
              </w:numPr>
              <w:ind w:left="455"/>
            </w:pPr>
            <w:r w:rsidRPr="00B6039A">
              <w:t>Align shared care rules for the Family Tax Credit with child support – 35% of care.</w:t>
            </w:r>
          </w:p>
        </w:tc>
        <w:tc>
          <w:tcPr>
            <w:tcW w:w="1133" w:type="dxa"/>
            <w:vMerge w:val="restart"/>
          </w:tcPr>
          <w:p w14:paraId="1A971449" w14:textId="4CA4149B" w:rsidR="004373FE" w:rsidRPr="00B6039A" w:rsidRDefault="00112B50" w:rsidP="00DA296E">
            <w:r w:rsidRPr="00B6039A">
              <w:t>Ch</w:t>
            </w:r>
            <w:r w:rsidR="004373FE" w:rsidRPr="00B6039A">
              <w:t xml:space="preserve"> 7</w:t>
            </w:r>
          </w:p>
        </w:tc>
        <w:tc>
          <w:tcPr>
            <w:tcW w:w="3337" w:type="dxa"/>
            <w:vMerge w:val="restart"/>
          </w:tcPr>
          <w:p w14:paraId="30F1E5F9" w14:textId="77777777" w:rsidR="004373FE" w:rsidRPr="00B6039A" w:rsidRDefault="004373FE" w:rsidP="005C7983">
            <w:pPr>
              <w:ind w:left="36" w:firstLine="50"/>
            </w:pPr>
            <w:r w:rsidRPr="00B6039A">
              <w:t>In relation to Key Recommendation 23, which concerns the Working for Families package, the Government has said “Work will continue on Working for Families, as an integral part of the income support system, its potential to reduce child poverty and reflect the value this Government sees in caregiving.”</w:t>
            </w:r>
            <w:r w:rsidRPr="00B6039A">
              <w:rPr>
                <w:rStyle w:val="FootnoteReference"/>
              </w:rPr>
              <w:footnoteReference w:id="139"/>
            </w:r>
          </w:p>
        </w:tc>
        <w:tc>
          <w:tcPr>
            <w:tcW w:w="3467" w:type="dxa"/>
            <w:shd w:val="clear" w:color="auto" w:fill="FFA5A5"/>
          </w:tcPr>
          <w:p w14:paraId="4B1056CD" w14:textId="725AC1F5" w:rsidR="004373FE" w:rsidRPr="00B6039A" w:rsidRDefault="005E1481" w:rsidP="00DA296E">
            <w:r w:rsidRPr="00B6039A">
              <w:t>No evidence of implementation.</w:t>
            </w:r>
          </w:p>
        </w:tc>
      </w:tr>
      <w:tr w:rsidR="004373FE" w:rsidRPr="00B6039A" w14:paraId="48C79741" w14:textId="77777777" w:rsidTr="00AD5309">
        <w:trPr>
          <w:trHeight w:val="180"/>
        </w:trPr>
        <w:tc>
          <w:tcPr>
            <w:tcW w:w="1838" w:type="dxa"/>
            <w:vMerge/>
          </w:tcPr>
          <w:p w14:paraId="1A46861C" w14:textId="77777777" w:rsidR="004373FE" w:rsidRPr="00B6039A" w:rsidRDefault="004373FE" w:rsidP="007601C3">
            <w:pPr>
              <w:ind w:left="29" w:firstLine="8"/>
            </w:pPr>
          </w:p>
        </w:tc>
        <w:tc>
          <w:tcPr>
            <w:tcW w:w="3687" w:type="dxa"/>
          </w:tcPr>
          <w:p w14:paraId="1E9397EC" w14:textId="77777777" w:rsidR="004373FE" w:rsidRPr="00B6039A" w:rsidRDefault="004373FE" w:rsidP="00EE0D9D">
            <w:pPr>
              <w:pStyle w:val="ListParagraph"/>
              <w:numPr>
                <w:ilvl w:val="0"/>
                <w:numId w:val="1"/>
              </w:numPr>
              <w:ind w:left="455"/>
            </w:pPr>
            <w:r w:rsidRPr="00B6039A">
              <w:t>Extend the 4 weeks ‘terminal payment’ to the Family Tax Credit.</w:t>
            </w:r>
          </w:p>
        </w:tc>
        <w:tc>
          <w:tcPr>
            <w:tcW w:w="1133" w:type="dxa"/>
            <w:vMerge/>
          </w:tcPr>
          <w:p w14:paraId="1F37F19B" w14:textId="77777777" w:rsidR="004373FE" w:rsidRPr="00B6039A" w:rsidRDefault="004373FE" w:rsidP="00DA296E"/>
        </w:tc>
        <w:tc>
          <w:tcPr>
            <w:tcW w:w="3337" w:type="dxa"/>
            <w:vMerge/>
          </w:tcPr>
          <w:p w14:paraId="403C9BFA" w14:textId="77777777" w:rsidR="004373FE" w:rsidRPr="00B6039A" w:rsidRDefault="004373FE" w:rsidP="00DA296E"/>
        </w:tc>
        <w:tc>
          <w:tcPr>
            <w:tcW w:w="3467" w:type="dxa"/>
            <w:shd w:val="clear" w:color="auto" w:fill="FFA5A5"/>
          </w:tcPr>
          <w:p w14:paraId="7038A966" w14:textId="27011BEF" w:rsidR="004373FE" w:rsidRPr="00B6039A" w:rsidRDefault="005E1481" w:rsidP="00DA296E">
            <w:r w:rsidRPr="00B6039A">
              <w:t>No evidence of implementation.</w:t>
            </w:r>
          </w:p>
        </w:tc>
      </w:tr>
      <w:tr w:rsidR="004373FE" w:rsidRPr="00B6039A" w14:paraId="7996A729" w14:textId="77777777" w:rsidTr="00AD5309">
        <w:trPr>
          <w:trHeight w:val="2762"/>
        </w:trPr>
        <w:tc>
          <w:tcPr>
            <w:tcW w:w="1838" w:type="dxa"/>
            <w:vMerge/>
          </w:tcPr>
          <w:p w14:paraId="2C02735A" w14:textId="77777777" w:rsidR="004373FE" w:rsidRPr="00B6039A" w:rsidRDefault="004373FE" w:rsidP="007601C3">
            <w:pPr>
              <w:ind w:left="29" w:firstLine="8"/>
            </w:pPr>
          </w:p>
        </w:tc>
        <w:tc>
          <w:tcPr>
            <w:tcW w:w="3687" w:type="dxa"/>
          </w:tcPr>
          <w:p w14:paraId="75101C42" w14:textId="77777777" w:rsidR="004373FE" w:rsidRPr="00B6039A" w:rsidRDefault="004373FE" w:rsidP="00EE0D9D">
            <w:pPr>
              <w:pStyle w:val="ListParagraph"/>
              <w:numPr>
                <w:ilvl w:val="0"/>
                <w:numId w:val="1"/>
              </w:numPr>
              <w:ind w:left="455"/>
            </w:pPr>
            <w:r w:rsidRPr="00B6039A">
              <w:t>Consider how increases in the Family Tax Credit should impact on the rates of Unsupported Child’s Benefit and Orphan’s Benefit.</w:t>
            </w:r>
          </w:p>
        </w:tc>
        <w:tc>
          <w:tcPr>
            <w:tcW w:w="1133" w:type="dxa"/>
            <w:vMerge/>
          </w:tcPr>
          <w:p w14:paraId="061904A5" w14:textId="77777777" w:rsidR="004373FE" w:rsidRPr="00B6039A" w:rsidRDefault="004373FE" w:rsidP="00DA296E"/>
        </w:tc>
        <w:tc>
          <w:tcPr>
            <w:tcW w:w="3337" w:type="dxa"/>
            <w:vMerge/>
          </w:tcPr>
          <w:p w14:paraId="08D3DA61" w14:textId="77777777" w:rsidR="004373FE" w:rsidRPr="00B6039A" w:rsidRDefault="004373FE" w:rsidP="00DA296E"/>
        </w:tc>
        <w:tc>
          <w:tcPr>
            <w:tcW w:w="3467" w:type="dxa"/>
            <w:shd w:val="clear" w:color="auto" w:fill="FFA5A5"/>
          </w:tcPr>
          <w:p w14:paraId="426D63B3" w14:textId="4A0B69DF" w:rsidR="004373FE" w:rsidRPr="00B6039A" w:rsidRDefault="005E1481" w:rsidP="00DA296E">
            <w:r w:rsidRPr="00B6039A">
              <w:t>No evidence of implementation.</w:t>
            </w:r>
          </w:p>
        </w:tc>
      </w:tr>
      <w:tr w:rsidR="004373FE" w:rsidRPr="00B6039A" w14:paraId="2FD8FE55" w14:textId="77777777" w:rsidTr="00AD5309">
        <w:tc>
          <w:tcPr>
            <w:tcW w:w="1838" w:type="dxa"/>
          </w:tcPr>
          <w:p w14:paraId="2397C7A2" w14:textId="77777777" w:rsidR="004373FE" w:rsidRPr="00B6039A" w:rsidRDefault="004373FE" w:rsidP="007601C3">
            <w:pPr>
              <w:ind w:left="29" w:firstLine="8"/>
            </w:pPr>
            <w:r w:rsidRPr="00B6039A">
              <w:t>Best Start Tax Credit</w:t>
            </w:r>
          </w:p>
        </w:tc>
        <w:tc>
          <w:tcPr>
            <w:tcW w:w="3687" w:type="dxa"/>
          </w:tcPr>
          <w:p w14:paraId="10D24F85" w14:textId="77777777" w:rsidR="004373FE" w:rsidRPr="00B6039A" w:rsidRDefault="004373FE" w:rsidP="00EE0D9D">
            <w:pPr>
              <w:pStyle w:val="ListParagraph"/>
              <w:numPr>
                <w:ilvl w:val="0"/>
                <w:numId w:val="1"/>
              </w:numPr>
              <w:ind w:left="455"/>
            </w:pPr>
            <w:r w:rsidRPr="00B6039A">
              <w:t>Consider changing the interaction between Best Start and Paid Parental Leave to avoid overpayments.</w:t>
            </w:r>
          </w:p>
        </w:tc>
        <w:tc>
          <w:tcPr>
            <w:tcW w:w="1133" w:type="dxa"/>
          </w:tcPr>
          <w:p w14:paraId="6F416799" w14:textId="0D252256" w:rsidR="004373FE" w:rsidRPr="00B6039A" w:rsidRDefault="00112B50" w:rsidP="00DA296E">
            <w:r w:rsidRPr="00B6039A">
              <w:t>Ch</w:t>
            </w:r>
            <w:r w:rsidR="004373FE" w:rsidRPr="00B6039A">
              <w:t xml:space="preserve"> 7</w:t>
            </w:r>
          </w:p>
        </w:tc>
        <w:tc>
          <w:tcPr>
            <w:tcW w:w="3337" w:type="dxa"/>
          </w:tcPr>
          <w:p w14:paraId="3B3040F5" w14:textId="77777777" w:rsidR="004373FE" w:rsidRPr="00B6039A" w:rsidRDefault="004373FE" w:rsidP="00DA296E">
            <w:r w:rsidRPr="00B6039A">
              <w:t>No Government response to this Detailed Recommendation.</w:t>
            </w:r>
          </w:p>
        </w:tc>
        <w:tc>
          <w:tcPr>
            <w:tcW w:w="3467" w:type="dxa"/>
            <w:shd w:val="clear" w:color="auto" w:fill="FFA5A5"/>
          </w:tcPr>
          <w:p w14:paraId="4538D1E4" w14:textId="3E976CFD" w:rsidR="004373FE" w:rsidRPr="00B6039A" w:rsidRDefault="005E1481" w:rsidP="00DA296E">
            <w:r w:rsidRPr="00B6039A">
              <w:t>No evidence of implementation.</w:t>
            </w:r>
          </w:p>
        </w:tc>
      </w:tr>
      <w:tr w:rsidR="004373FE" w:rsidRPr="00B6039A" w14:paraId="2EE76C20" w14:textId="77777777" w:rsidTr="00AD5309">
        <w:trPr>
          <w:trHeight w:val="980"/>
        </w:trPr>
        <w:tc>
          <w:tcPr>
            <w:tcW w:w="1838" w:type="dxa"/>
          </w:tcPr>
          <w:p w14:paraId="32A1C8F0" w14:textId="77777777" w:rsidR="004373FE" w:rsidRPr="00B6039A" w:rsidRDefault="004373FE" w:rsidP="007601C3">
            <w:pPr>
              <w:ind w:left="29" w:firstLine="8"/>
            </w:pPr>
            <w:r w:rsidRPr="00B6039A">
              <w:t>Child Tax Credit</w:t>
            </w:r>
          </w:p>
        </w:tc>
        <w:tc>
          <w:tcPr>
            <w:tcW w:w="3687" w:type="dxa"/>
          </w:tcPr>
          <w:p w14:paraId="03A672A9" w14:textId="77777777" w:rsidR="004373FE" w:rsidRPr="00B6039A" w:rsidRDefault="004373FE" w:rsidP="00EE0D9D">
            <w:pPr>
              <w:pStyle w:val="ListParagraph"/>
              <w:numPr>
                <w:ilvl w:val="0"/>
                <w:numId w:val="1"/>
              </w:numPr>
              <w:ind w:left="455"/>
            </w:pPr>
            <w:r w:rsidRPr="00B6039A">
              <w:t>Repeal the Child Tax Credit</w:t>
            </w:r>
          </w:p>
        </w:tc>
        <w:tc>
          <w:tcPr>
            <w:tcW w:w="1133" w:type="dxa"/>
          </w:tcPr>
          <w:p w14:paraId="23897E36" w14:textId="58250998" w:rsidR="004373FE" w:rsidRPr="00B6039A" w:rsidRDefault="00112B50" w:rsidP="00DA296E">
            <w:r w:rsidRPr="00B6039A">
              <w:t>Ch</w:t>
            </w:r>
            <w:r w:rsidR="004373FE" w:rsidRPr="00B6039A">
              <w:t xml:space="preserve"> 7</w:t>
            </w:r>
          </w:p>
        </w:tc>
        <w:tc>
          <w:tcPr>
            <w:tcW w:w="3337" w:type="dxa"/>
          </w:tcPr>
          <w:p w14:paraId="6CBB95A9" w14:textId="77777777" w:rsidR="004373FE" w:rsidRPr="00B6039A" w:rsidRDefault="004373FE" w:rsidP="00DA296E">
            <w:r w:rsidRPr="00B6039A">
              <w:t>No Government response to this Detailed Recommendation.</w:t>
            </w:r>
          </w:p>
        </w:tc>
        <w:tc>
          <w:tcPr>
            <w:tcW w:w="3467" w:type="dxa"/>
            <w:shd w:val="clear" w:color="auto" w:fill="FFA5A5"/>
          </w:tcPr>
          <w:p w14:paraId="73696F80" w14:textId="0A79AB6C" w:rsidR="004373FE" w:rsidRPr="00B6039A" w:rsidRDefault="005E1481" w:rsidP="00DA296E">
            <w:r w:rsidRPr="00B6039A">
              <w:t>No evidence of implementation.</w:t>
            </w:r>
          </w:p>
        </w:tc>
      </w:tr>
      <w:tr w:rsidR="004373FE" w:rsidRPr="00B6039A" w14:paraId="03FBA9A8" w14:textId="77777777" w:rsidTr="00AD5309">
        <w:trPr>
          <w:trHeight w:val="1478"/>
        </w:trPr>
        <w:tc>
          <w:tcPr>
            <w:tcW w:w="1838" w:type="dxa"/>
            <w:vMerge w:val="restart"/>
          </w:tcPr>
          <w:p w14:paraId="7F2BCD61" w14:textId="77777777" w:rsidR="004373FE" w:rsidRPr="00B6039A" w:rsidRDefault="004373FE" w:rsidP="007601C3">
            <w:pPr>
              <w:ind w:left="29" w:firstLine="8"/>
            </w:pPr>
            <w:r w:rsidRPr="00B6039A">
              <w:t>Childcare Assistance</w:t>
            </w:r>
          </w:p>
        </w:tc>
        <w:tc>
          <w:tcPr>
            <w:tcW w:w="3687" w:type="dxa"/>
          </w:tcPr>
          <w:p w14:paraId="4E730690" w14:textId="77777777" w:rsidR="004373FE" w:rsidRPr="00B6039A" w:rsidRDefault="004373FE" w:rsidP="00EE0D9D">
            <w:pPr>
              <w:pStyle w:val="ListParagraph"/>
              <w:numPr>
                <w:ilvl w:val="0"/>
                <w:numId w:val="1"/>
              </w:numPr>
              <w:ind w:left="455"/>
            </w:pPr>
            <w:r w:rsidRPr="00B6039A">
              <w:t>Change the definition of income to remove other non-taxable transfer payments (for example, Accommodation Supplement, Disability Allowance and Temporary Additional Support).</w:t>
            </w:r>
          </w:p>
        </w:tc>
        <w:tc>
          <w:tcPr>
            <w:tcW w:w="1133" w:type="dxa"/>
            <w:vMerge w:val="restart"/>
          </w:tcPr>
          <w:p w14:paraId="2DCF93C3" w14:textId="077C9E26" w:rsidR="004373FE" w:rsidRPr="00B6039A" w:rsidRDefault="00112B50" w:rsidP="00DA296E">
            <w:r w:rsidRPr="00B6039A">
              <w:t>Ch</w:t>
            </w:r>
            <w:r w:rsidR="004373FE" w:rsidRPr="00B6039A">
              <w:t xml:space="preserve"> 7</w:t>
            </w:r>
          </w:p>
        </w:tc>
        <w:tc>
          <w:tcPr>
            <w:tcW w:w="3337" w:type="dxa"/>
            <w:vMerge w:val="restart"/>
          </w:tcPr>
          <w:p w14:paraId="0F646454" w14:textId="77777777" w:rsidR="004373FE" w:rsidRPr="00B6039A" w:rsidRDefault="004373FE" w:rsidP="00DA296E">
            <w:r w:rsidRPr="00B6039A">
              <w:t xml:space="preserve">In November 2019 the Government stated that there are “significant opportunities to improve Childcare Assistance” and that “the adequacy of this </w:t>
            </w:r>
            <w:r w:rsidRPr="00B6039A">
              <w:lastRenderedPageBreak/>
              <w:t>support for parents has reduced over time”.</w:t>
            </w:r>
            <w:r w:rsidRPr="00B6039A">
              <w:rPr>
                <w:rStyle w:val="FootnoteReference"/>
              </w:rPr>
              <w:footnoteReference w:id="140"/>
            </w:r>
            <w:r w:rsidRPr="00B6039A">
              <w:t xml:space="preserve"> Minister </w:t>
            </w:r>
            <w:proofErr w:type="spellStart"/>
            <w:r w:rsidRPr="00B6039A">
              <w:t>Sepuloni</w:t>
            </w:r>
            <w:proofErr w:type="spellEnd"/>
            <w:r w:rsidRPr="00B6039A">
              <w:t xml:space="preserve"> stated that she would be “seeking further advice on how we can improve access to Childcare Assistance in the short term, with a further broader review to be considered in the long-term”. She stated that she does not expect to seek Cabinet decisions on this review of childcare assistance settings for “several years”.</w:t>
            </w:r>
          </w:p>
        </w:tc>
        <w:tc>
          <w:tcPr>
            <w:tcW w:w="3467" w:type="dxa"/>
            <w:shd w:val="clear" w:color="auto" w:fill="FFA5A5"/>
          </w:tcPr>
          <w:p w14:paraId="19699EBE" w14:textId="630091DF" w:rsidR="004373FE" w:rsidRPr="00B6039A" w:rsidRDefault="005E1481" w:rsidP="00DA296E">
            <w:r w:rsidRPr="00B6039A">
              <w:lastRenderedPageBreak/>
              <w:t>No evidence of implementation.</w:t>
            </w:r>
          </w:p>
        </w:tc>
      </w:tr>
      <w:tr w:rsidR="004373FE" w:rsidRPr="00B6039A" w14:paraId="22F8467A" w14:textId="77777777" w:rsidTr="00AD5309">
        <w:trPr>
          <w:trHeight w:val="1477"/>
        </w:trPr>
        <w:tc>
          <w:tcPr>
            <w:tcW w:w="1838" w:type="dxa"/>
            <w:vMerge/>
          </w:tcPr>
          <w:p w14:paraId="68A84235" w14:textId="77777777" w:rsidR="004373FE" w:rsidRPr="00B6039A" w:rsidRDefault="004373FE" w:rsidP="007601C3">
            <w:pPr>
              <w:ind w:left="29" w:firstLine="8"/>
            </w:pPr>
          </w:p>
        </w:tc>
        <w:tc>
          <w:tcPr>
            <w:tcW w:w="3687" w:type="dxa"/>
          </w:tcPr>
          <w:p w14:paraId="1A00E397" w14:textId="77777777" w:rsidR="004373FE" w:rsidRPr="00B6039A" w:rsidRDefault="004373FE" w:rsidP="00EE0D9D">
            <w:pPr>
              <w:pStyle w:val="ListParagraph"/>
              <w:numPr>
                <w:ilvl w:val="0"/>
                <w:numId w:val="1"/>
              </w:numPr>
              <w:ind w:left="455"/>
            </w:pPr>
            <w:r w:rsidRPr="00B6039A">
              <w:t>Improve take-up by promoting greater awareness to working families, alongside Inland Revenue (given its role in administering Working for Families).</w:t>
            </w:r>
          </w:p>
        </w:tc>
        <w:tc>
          <w:tcPr>
            <w:tcW w:w="1133" w:type="dxa"/>
            <w:vMerge/>
          </w:tcPr>
          <w:p w14:paraId="2F27E6C2" w14:textId="77777777" w:rsidR="004373FE" w:rsidRPr="00B6039A" w:rsidRDefault="004373FE" w:rsidP="00DA296E"/>
        </w:tc>
        <w:tc>
          <w:tcPr>
            <w:tcW w:w="3337" w:type="dxa"/>
            <w:vMerge/>
          </w:tcPr>
          <w:p w14:paraId="28CC5E38" w14:textId="77777777" w:rsidR="004373FE" w:rsidRPr="00B6039A" w:rsidRDefault="004373FE" w:rsidP="00DA296E"/>
        </w:tc>
        <w:tc>
          <w:tcPr>
            <w:tcW w:w="3467" w:type="dxa"/>
            <w:shd w:val="clear" w:color="auto" w:fill="FFA5A5"/>
          </w:tcPr>
          <w:p w14:paraId="43475798" w14:textId="2E7C0AE7" w:rsidR="004373FE" w:rsidRPr="00B6039A" w:rsidRDefault="005E1481" w:rsidP="00DA296E">
            <w:r w:rsidRPr="00B6039A">
              <w:t>No evidence of implementation.</w:t>
            </w:r>
          </w:p>
        </w:tc>
      </w:tr>
      <w:tr w:rsidR="004373FE" w:rsidRPr="00B6039A" w14:paraId="42F22AEC" w14:textId="77777777" w:rsidTr="00AD5309">
        <w:trPr>
          <w:trHeight w:val="135"/>
        </w:trPr>
        <w:tc>
          <w:tcPr>
            <w:tcW w:w="1838" w:type="dxa"/>
            <w:vMerge/>
          </w:tcPr>
          <w:p w14:paraId="29B46B25" w14:textId="77777777" w:rsidR="004373FE" w:rsidRPr="00B6039A" w:rsidRDefault="004373FE" w:rsidP="007601C3">
            <w:pPr>
              <w:ind w:left="29" w:firstLine="8"/>
            </w:pPr>
          </w:p>
        </w:tc>
        <w:tc>
          <w:tcPr>
            <w:tcW w:w="3687" w:type="dxa"/>
          </w:tcPr>
          <w:p w14:paraId="097F4675" w14:textId="77777777" w:rsidR="004373FE" w:rsidRPr="00B6039A" w:rsidRDefault="004373FE" w:rsidP="00EE0D9D">
            <w:pPr>
              <w:pStyle w:val="ListParagraph"/>
              <w:numPr>
                <w:ilvl w:val="0"/>
                <w:numId w:val="1"/>
              </w:numPr>
              <w:ind w:left="455"/>
            </w:pPr>
            <w:r w:rsidRPr="00B6039A">
              <w:t>Review subsidy rates (and their interaction with minimum session times in childcare and Out of School Care and Recreation (OSCAR) services), to determine if they are adequately subsidising costs, and increase the rates if they are inadequate.</w:t>
            </w:r>
          </w:p>
        </w:tc>
        <w:tc>
          <w:tcPr>
            <w:tcW w:w="1133" w:type="dxa"/>
            <w:vMerge/>
          </w:tcPr>
          <w:p w14:paraId="72BEAC13" w14:textId="77777777" w:rsidR="004373FE" w:rsidRPr="00B6039A" w:rsidRDefault="004373FE" w:rsidP="00DA296E"/>
        </w:tc>
        <w:tc>
          <w:tcPr>
            <w:tcW w:w="3337" w:type="dxa"/>
            <w:vMerge/>
          </w:tcPr>
          <w:p w14:paraId="17DC503D" w14:textId="77777777" w:rsidR="004373FE" w:rsidRPr="00B6039A" w:rsidRDefault="004373FE" w:rsidP="00DA296E"/>
        </w:tc>
        <w:tc>
          <w:tcPr>
            <w:tcW w:w="3467" w:type="dxa"/>
            <w:shd w:val="clear" w:color="auto" w:fill="FFA5A5"/>
          </w:tcPr>
          <w:p w14:paraId="79FEE709" w14:textId="0EF7C33D" w:rsidR="004373FE" w:rsidRPr="00B6039A" w:rsidRDefault="005E1481" w:rsidP="00DA296E">
            <w:r w:rsidRPr="00B6039A">
              <w:t>No evidence of implementation.</w:t>
            </w:r>
          </w:p>
        </w:tc>
      </w:tr>
      <w:tr w:rsidR="004373FE" w:rsidRPr="00B6039A" w14:paraId="2A239935" w14:textId="77777777" w:rsidTr="00AD5309">
        <w:trPr>
          <w:trHeight w:val="1880"/>
        </w:trPr>
        <w:tc>
          <w:tcPr>
            <w:tcW w:w="1838" w:type="dxa"/>
            <w:vMerge/>
          </w:tcPr>
          <w:p w14:paraId="5F6573E1" w14:textId="77777777" w:rsidR="004373FE" w:rsidRPr="00B6039A" w:rsidRDefault="004373FE" w:rsidP="007601C3">
            <w:pPr>
              <w:ind w:left="29" w:firstLine="8"/>
            </w:pPr>
          </w:p>
        </w:tc>
        <w:tc>
          <w:tcPr>
            <w:tcW w:w="3687" w:type="dxa"/>
          </w:tcPr>
          <w:p w14:paraId="521B57E7" w14:textId="77777777" w:rsidR="004373FE" w:rsidRPr="00B6039A" w:rsidRDefault="004373FE" w:rsidP="00EE0D9D">
            <w:pPr>
              <w:pStyle w:val="ListParagraph"/>
              <w:numPr>
                <w:ilvl w:val="0"/>
                <w:numId w:val="1"/>
              </w:numPr>
              <w:ind w:left="455"/>
            </w:pPr>
            <w:r w:rsidRPr="00B6039A">
              <w:t>Consider increasing income thresholds to provide greater subsidisation of childcare costs for low- and middle-income working families, so that effective marginal tax rates for these families are not too high.</w:t>
            </w:r>
          </w:p>
        </w:tc>
        <w:tc>
          <w:tcPr>
            <w:tcW w:w="1133" w:type="dxa"/>
            <w:vMerge/>
          </w:tcPr>
          <w:p w14:paraId="7E081899" w14:textId="77777777" w:rsidR="004373FE" w:rsidRPr="00B6039A" w:rsidRDefault="004373FE" w:rsidP="00DA296E"/>
        </w:tc>
        <w:tc>
          <w:tcPr>
            <w:tcW w:w="3337" w:type="dxa"/>
            <w:vMerge/>
          </w:tcPr>
          <w:p w14:paraId="17A4A410" w14:textId="77777777" w:rsidR="004373FE" w:rsidRPr="00B6039A" w:rsidRDefault="004373FE" w:rsidP="00DA296E"/>
        </w:tc>
        <w:tc>
          <w:tcPr>
            <w:tcW w:w="3467" w:type="dxa"/>
            <w:shd w:val="clear" w:color="auto" w:fill="FFA5A5"/>
          </w:tcPr>
          <w:p w14:paraId="2236C4AB" w14:textId="5A99DC92" w:rsidR="004373FE" w:rsidRPr="00B6039A" w:rsidRDefault="005E1481" w:rsidP="00DA296E">
            <w:r w:rsidRPr="00B6039A">
              <w:t>No evidence of implementation.</w:t>
            </w:r>
          </w:p>
        </w:tc>
      </w:tr>
      <w:tr w:rsidR="004373FE" w:rsidRPr="00B6039A" w14:paraId="0200FA7D" w14:textId="77777777" w:rsidTr="00AD5309">
        <w:trPr>
          <w:trHeight w:val="54"/>
        </w:trPr>
        <w:tc>
          <w:tcPr>
            <w:tcW w:w="1838" w:type="dxa"/>
            <w:vMerge w:val="restart"/>
          </w:tcPr>
          <w:p w14:paraId="32B94BDD" w14:textId="77777777" w:rsidR="004373FE" w:rsidRPr="00B6039A" w:rsidRDefault="004373FE" w:rsidP="007601C3">
            <w:pPr>
              <w:ind w:left="29" w:firstLine="8"/>
            </w:pPr>
            <w:r w:rsidRPr="00B6039A">
              <w:t>Child support</w:t>
            </w:r>
          </w:p>
        </w:tc>
        <w:tc>
          <w:tcPr>
            <w:tcW w:w="3687" w:type="dxa"/>
          </w:tcPr>
          <w:p w14:paraId="09A02D50" w14:textId="77777777" w:rsidR="004373FE" w:rsidRPr="00B6039A" w:rsidRDefault="004373FE" w:rsidP="00EE0D9D">
            <w:pPr>
              <w:pStyle w:val="ListParagraph"/>
              <w:numPr>
                <w:ilvl w:val="0"/>
                <w:numId w:val="1"/>
              </w:numPr>
              <w:ind w:left="455"/>
            </w:pPr>
            <w:r w:rsidRPr="00B6039A">
              <w:t>Treat child support received as income for benefit abatement (already income for the Family Tax Credit).</w:t>
            </w:r>
          </w:p>
        </w:tc>
        <w:tc>
          <w:tcPr>
            <w:tcW w:w="1133" w:type="dxa"/>
            <w:vMerge w:val="restart"/>
          </w:tcPr>
          <w:p w14:paraId="60F7093D" w14:textId="6CEF5599" w:rsidR="004373FE" w:rsidRPr="00B6039A" w:rsidRDefault="00112B50" w:rsidP="00DA296E">
            <w:r w:rsidRPr="00B6039A">
              <w:t>Ch</w:t>
            </w:r>
            <w:r w:rsidR="004373FE" w:rsidRPr="00B6039A">
              <w:t xml:space="preserve"> 7</w:t>
            </w:r>
          </w:p>
        </w:tc>
        <w:tc>
          <w:tcPr>
            <w:tcW w:w="3337" w:type="dxa"/>
            <w:vMerge w:val="restart"/>
          </w:tcPr>
          <w:p w14:paraId="002A4554" w14:textId="77777777" w:rsidR="004373FE" w:rsidRPr="00B6039A" w:rsidRDefault="004373FE" w:rsidP="005C7983">
            <w:pPr>
              <w:ind w:left="178" w:hanging="92"/>
            </w:pPr>
            <w:r w:rsidRPr="00B6039A">
              <w:t xml:space="preserve">In relation to Key Recommendation 27, which states that all child support should be passed onto carers, the Government has stated that “Work is already underway on the inequity around child support for parents depending </w:t>
            </w:r>
            <w:r w:rsidRPr="00B6039A">
              <w:lastRenderedPageBreak/>
              <w:t>on whether or not they receive a main benefit.”</w:t>
            </w:r>
            <w:r w:rsidRPr="00B6039A">
              <w:rPr>
                <w:rStyle w:val="FootnoteReference"/>
              </w:rPr>
              <w:footnoteReference w:id="141"/>
            </w:r>
          </w:p>
        </w:tc>
        <w:tc>
          <w:tcPr>
            <w:tcW w:w="3467" w:type="dxa"/>
            <w:shd w:val="clear" w:color="auto" w:fill="FFA5A5"/>
          </w:tcPr>
          <w:p w14:paraId="70B244A9" w14:textId="0130E2E8" w:rsidR="004373FE" w:rsidRPr="00B6039A" w:rsidRDefault="005E1481" w:rsidP="00DA296E">
            <w:r w:rsidRPr="00B6039A">
              <w:lastRenderedPageBreak/>
              <w:t>No evidence of implementation.</w:t>
            </w:r>
          </w:p>
        </w:tc>
      </w:tr>
      <w:tr w:rsidR="004373FE" w:rsidRPr="00B6039A" w14:paraId="222FD18A" w14:textId="77777777" w:rsidTr="00AD5309">
        <w:trPr>
          <w:trHeight w:val="54"/>
        </w:trPr>
        <w:tc>
          <w:tcPr>
            <w:tcW w:w="1838" w:type="dxa"/>
            <w:vMerge/>
          </w:tcPr>
          <w:p w14:paraId="7A964F45" w14:textId="77777777" w:rsidR="004373FE" w:rsidRPr="00B6039A" w:rsidRDefault="004373FE" w:rsidP="007601C3">
            <w:pPr>
              <w:ind w:left="29" w:firstLine="8"/>
            </w:pPr>
          </w:p>
        </w:tc>
        <w:tc>
          <w:tcPr>
            <w:tcW w:w="3687" w:type="dxa"/>
          </w:tcPr>
          <w:p w14:paraId="736BFD4E" w14:textId="77777777" w:rsidR="004373FE" w:rsidRPr="00B6039A" w:rsidRDefault="004373FE" w:rsidP="00EE0D9D">
            <w:pPr>
              <w:pStyle w:val="ListParagraph"/>
              <w:numPr>
                <w:ilvl w:val="0"/>
                <w:numId w:val="1"/>
              </w:numPr>
              <w:ind w:left="455"/>
            </w:pPr>
            <w:r w:rsidRPr="00B6039A">
              <w:t>Treat child support paid as a reduction in income for benefit abatement (already a reduction in income for the Family Tax Credit).</w:t>
            </w:r>
          </w:p>
        </w:tc>
        <w:tc>
          <w:tcPr>
            <w:tcW w:w="1133" w:type="dxa"/>
            <w:vMerge/>
          </w:tcPr>
          <w:p w14:paraId="10E19831" w14:textId="77777777" w:rsidR="004373FE" w:rsidRPr="00B6039A" w:rsidRDefault="004373FE" w:rsidP="00DA296E"/>
        </w:tc>
        <w:tc>
          <w:tcPr>
            <w:tcW w:w="3337" w:type="dxa"/>
            <w:vMerge/>
          </w:tcPr>
          <w:p w14:paraId="39985735" w14:textId="77777777" w:rsidR="004373FE" w:rsidRPr="00B6039A" w:rsidRDefault="004373FE" w:rsidP="005C7983">
            <w:pPr>
              <w:ind w:left="178" w:hanging="92"/>
            </w:pPr>
          </w:p>
        </w:tc>
        <w:tc>
          <w:tcPr>
            <w:tcW w:w="3467" w:type="dxa"/>
            <w:shd w:val="clear" w:color="auto" w:fill="FFA5A5"/>
          </w:tcPr>
          <w:p w14:paraId="24566A11" w14:textId="2D757852" w:rsidR="004373FE" w:rsidRPr="00B6039A" w:rsidRDefault="005E1481" w:rsidP="00DA296E">
            <w:r w:rsidRPr="00B6039A">
              <w:t>No evidence of implementation.</w:t>
            </w:r>
          </w:p>
        </w:tc>
      </w:tr>
      <w:tr w:rsidR="004373FE" w:rsidRPr="00B6039A" w14:paraId="6EF18969" w14:textId="77777777" w:rsidTr="00AD5309">
        <w:trPr>
          <w:trHeight w:val="54"/>
        </w:trPr>
        <w:tc>
          <w:tcPr>
            <w:tcW w:w="1838" w:type="dxa"/>
            <w:vMerge/>
          </w:tcPr>
          <w:p w14:paraId="1F8659ED" w14:textId="77777777" w:rsidR="004373FE" w:rsidRPr="00B6039A" w:rsidRDefault="004373FE" w:rsidP="007601C3">
            <w:pPr>
              <w:ind w:left="29" w:firstLine="8"/>
            </w:pPr>
          </w:p>
        </w:tc>
        <w:tc>
          <w:tcPr>
            <w:tcW w:w="3687" w:type="dxa"/>
          </w:tcPr>
          <w:p w14:paraId="003494D2" w14:textId="77777777" w:rsidR="004373FE" w:rsidRPr="00B6039A" w:rsidRDefault="004373FE" w:rsidP="00EE0D9D">
            <w:pPr>
              <w:pStyle w:val="ListParagraph"/>
              <w:numPr>
                <w:ilvl w:val="0"/>
                <w:numId w:val="1"/>
              </w:numPr>
              <w:ind w:left="455"/>
            </w:pPr>
            <w:r w:rsidRPr="00B6039A">
              <w:t>Remove compulsory application for child support (except for recipients of Unsupported Child’s Benefit).</w:t>
            </w:r>
          </w:p>
        </w:tc>
        <w:tc>
          <w:tcPr>
            <w:tcW w:w="1133" w:type="dxa"/>
            <w:vMerge/>
          </w:tcPr>
          <w:p w14:paraId="7C3DE6D8" w14:textId="77777777" w:rsidR="004373FE" w:rsidRPr="00B6039A" w:rsidRDefault="004373FE" w:rsidP="00DA296E"/>
        </w:tc>
        <w:tc>
          <w:tcPr>
            <w:tcW w:w="3337" w:type="dxa"/>
            <w:vMerge/>
          </w:tcPr>
          <w:p w14:paraId="6DCDF344" w14:textId="77777777" w:rsidR="004373FE" w:rsidRPr="00B6039A" w:rsidRDefault="004373FE" w:rsidP="005C7983">
            <w:pPr>
              <w:ind w:left="178" w:hanging="92"/>
            </w:pPr>
          </w:p>
        </w:tc>
        <w:tc>
          <w:tcPr>
            <w:tcW w:w="3467" w:type="dxa"/>
            <w:shd w:val="clear" w:color="auto" w:fill="FFA5A5"/>
          </w:tcPr>
          <w:p w14:paraId="10FA573D" w14:textId="1F5A9789" w:rsidR="004373FE" w:rsidRPr="00B6039A" w:rsidRDefault="005E1481" w:rsidP="00DA296E">
            <w:r w:rsidRPr="00B6039A">
              <w:t>No evidence of implementation.</w:t>
            </w:r>
          </w:p>
        </w:tc>
      </w:tr>
      <w:tr w:rsidR="004373FE" w:rsidRPr="00B6039A" w14:paraId="572087DC" w14:textId="77777777" w:rsidTr="00AD5309">
        <w:trPr>
          <w:trHeight w:val="54"/>
        </w:trPr>
        <w:tc>
          <w:tcPr>
            <w:tcW w:w="1838" w:type="dxa"/>
            <w:vMerge/>
          </w:tcPr>
          <w:p w14:paraId="43318192" w14:textId="77777777" w:rsidR="004373FE" w:rsidRPr="00B6039A" w:rsidRDefault="004373FE" w:rsidP="007601C3">
            <w:pPr>
              <w:ind w:left="29" w:firstLine="8"/>
            </w:pPr>
          </w:p>
        </w:tc>
        <w:tc>
          <w:tcPr>
            <w:tcW w:w="3687" w:type="dxa"/>
          </w:tcPr>
          <w:p w14:paraId="5D44A4C4" w14:textId="77777777" w:rsidR="004373FE" w:rsidRPr="00B6039A" w:rsidRDefault="004373FE" w:rsidP="00EE0D9D">
            <w:pPr>
              <w:pStyle w:val="ListParagraph"/>
              <w:numPr>
                <w:ilvl w:val="0"/>
                <w:numId w:val="1"/>
              </w:numPr>
              <w:ind w:left="455"/>
            </w:pPr>
            <w:r w:rsidRPr="00B6039A">
              <w:t>Shorten the application form and make more application options available (for example, online).</w:t>
            </w:r>
          </w:p>
        </w:tc>
        <w:tc>
          <w:tcPr>
            <w:tcW w:w="1133" w:type="dxa"/>
            <w:vMerge/>
          </w:tcPr>
          <w:p w14:paraId="2D71CE2B" w14:textId="77777777" w:rsidR="004373FE" w:rsidRPr="00B6039A" w:rsidRDefault="004373FE" w:rsidP="00DA296E"/>
        </w:tc>
        <w:tc>
          <w:tcPr>
            <w:tcW w:w="3337" w:type="dxa"/>
            <w:vMerge/>
          </w:tcPr>
          <w:p w14:paraId="01FF0EBB" w14:textId="77777777" w:rsidR="004373FE" w:rsidRPr="00B6039A" w:rsidRDefault="004373FE" w:rsidP="005C7983">
            <w:pPr>
              <w:ind w:left="178" w:hanging="92"/>
            </w:pPr>
          </w:p>
        </w:tc>
        <w:tc>
          <w:tcPr>
            <w:tcW w:w="3467" w:type="dxa"/>
            <w:shd w:val="clear" w:color="auto" w:fill="FFA5A5"/>
          </w:tcPr>
          <w:p w14:paraId="30E4DDDF" w14:textId="10D07AAB" w:rsidR="004373FE" w:rsidRPr="00B6039A" w:rsidRDefault="005E1481" w:rsidP="00DA296E">
            <w:r w:rsidRPr="00B6039A">
              <w:t>No evidence of implementation.</w:t>
            </w:r>
          </w:p>
        </w:tc>
      </w:tr>
      <w:tr w:rsidR="004373FE" w:rsidRPr="00B6039A" w14:paraId="55F09C58" w14:textId="77777777" w:rsidTr="00AD5309">
        <w:trPr>
          <w:trHeight w:val="54"/>
        </w:trPr>
        <w:tc>
          <w:tcPr>
            <w:tcW w:w="1838" w:type="dxa"/>
            <w:vMerge/>
          </w:tcPr>
          <w:p w14:paraId="1608D738" w14:textId="77777777" w:rsidR="004373FE" w:rsidRPr="00B6039A" w:rsidRDefault="004373FE" w:rsidP="007601C3">
            <w:pPr>
              <w:ind w:left="29" w:firstLine="8"/>
            </w:pPr>
          </w:p>
        </w:tc>
        <w:tc>
          <w:tcPr>
            <w:tcW w:w="3687" w:type="dxa"/>
          </w:tcPr>
          <w:p w14:paraId="6C354014" w14:textId="77777777" w:rsidR="004373FE" w:rsidRPr="00B6039A" w:rsidRDefault="004373FE" w:rsidP="00EE0D9D">
            <w:pPr>
              <w:pStyle w:val="ListParagraph"/>
              <w:numPr>
                <w:ilvl w:val="0"/>
                <w:numId w:val="1"/>
              </w:numPr>
              <w:ind w:left="455"/>
            </w:pPr>
            <w:r w:rsidRPr="00B6039A">
              <w:t>Review the expenditure table to reflect changes in Family Tax Credit payments.</w:t>
            </w:r>
          </w:p>
        </w:tc>
        <w:tc>
          <w:tcPr>
            <w:tcW w:w="1133" w:type="dxa"/>
            <w:vMerge/>
          </w:tcPr>
          <w:p w14:paraId="51E83D12" w14:textId="77777777" w:rsidR="004373FE" w:rsidRPr="00B6039A" w:rsidRDefault="004373FE" w:rsidP="00DA296E"/>
        </w:tc>
        <w:tc>
          <w:tcPr>
            <w:tcW w:w="3337" w:type="dxa"/>
            <w:vMerge/>
          </w:tcPr>
          <w:p w14:paraId="557BB47A" w14:textId="77777777" w:rsidR="004373FE" w:rsidRPr="00B6039A" w:rsidRDefault="004373FE" w:rsidP="005C7983">
            <w:pPr>
              <w:ind w:left="178" w:hanging="92"/>
            </w:pPr>
          </w:p>
        </w:tc>
        <w:tc>
          <w:tcPr>
            <w:tcW w:w="3467" w:type="dxa"/>
            <w:shd w:val="clear" w:color="auto" w:fill="FFA5A5"/>
          </w:tcPr>
          <w:p w14:paraId="05C79D77" w14:textId="4F1A8E1C" w:rsidR="004373FE" w:rsidRPr="00B6039A" w:rsidRDefault="005E1481" w:rsidP="00DA296E">
            <w:r w:rsidRPr="00B6039A">
              <w:t>No evidence of implementation.</w:t>
            </w:r>
          </w:p>
        </w:tc>
      </w:tr>
      <w:tr w:rsidR="004373FE" w:rsidRPr="00B6039A" w14:paraId="3B3FE8DB" w14:textId="77777777" w:rsidTr="00AD5309">
        <w:tc>
          <w:tcPr>
            <w:tcW w:w="1838" w:type="dxa"/>
          </w:tcPr>
          <w:p w14:paraId="0AAACC11" w14:textId="77777777" w:rsidR="004373FE" w:rsidRPr="00B6039A" w:rsidRDefault="004373FE" w:rsidP="007601C3">
            <w:pPr>
              <w:ind w:left="29" w:firstLine="8"/>
            </w:pPr>
            <w:r w:rsidRPr="00B6039A">
              <w:t>Shared care</w:t>
            </w:r>
          </w:p>
        </w:tc>
        <w:tc>
          <w:tcPr>
            <w:tcW w:w="3687" w:type="dxa"/>
          </w:tcPr>
          <w:p w14:paraId="55635176" w14:textId="77777777" w:rsidR="004373FE" w:rsidRPr="00B6039A" w:rsidRDefault="004373FE" w:rsidP="00EE0D9D">
            <w:pPr>
              <w:pStyle w:val="ListParagraph"/>
              <w:numPr>
                <w:ilvl w:val="0"/>
                <w:numId w:val="1"/>
              </w:numPr>
              <w:ind w:left="455"/>
            </w:pPr>
            <w:r w:rsidRPr="00B6039A">
              <w:t>Align shared and split care rules for main and supplementary payments with the Family Tax Credit and child support.</w:t>
            </w:r>
          </w:p>
        </w:tc>
        <w:tc>
          <w:tcPr>
            <w:tcW w:w="1133" w:type="dxa"/>
          </w:tcPr>
          <w:p w14:paraId="5E38F8ED" w14:textId="6C9B9A2E" w:rsidR="004373FE" w:rsidRPr="00B6039A" w:rsidRDefault="00112B50" w:rsidP="00DA296E">
            <w:r w:rsidRPr="00B6039A">
              <w:t>Ch</w:t>
            </w:r>
            <w:r w:rsidR="004373FE" w:rsidRPr="00B6039A">
              <w:t xml:space="preserve"> 7</w:t>
            </w:r>
          </w:p>
        </w:tc>
        <w:tc>
          <w:tcPr>
            <w:tcW w:w="3337" w:type="dxa"/>
          </w:tcPr>
          <w:p w14:paraId="4AB28CDD" w14:textId="77777777" w:rsidR="004373FE" w:rsidRPr="00B6039A" w:rsidRDefault="004373FE" w:rsidP="005C7983">
            <w:pPr>
              <w:ind w:left="178" w:hanging="92"/>
            </w:pPr>
            <w:r w:rsidRPr="00B6039A">
              <w:t>The Government has stated in November 2019 that they “intend to seek further advice on recognising split-care and shared care arrangements in the welfare system”.</w:t>
            </w:r>
            <w:r w:rsidRPr="00B6039A">
              <w:rPr>
                <w:rStyle w:val="FootnoteReference"/>
              </w:rPr>
              <w:footnoteReference w:id="142"/>
            </w:r>
          </w:p>
        </w:tc>
        <w:tc>
          <w:tcPr>
            <w:tcW w:w="3467" w:type="dxa"/>
            <w:shd w:val="clear" w:color="auto" w:fill="FFA5A5"/>
          </w:tcPr>
          <w:p w14:paraId="3ED2E249" w14:textId="2453B51F" w:rsidR="004373FE" w:rsidRPr="00B6039A" w:rsidRDefault="005E1481" w:rsidP="00DA296E">
            <w:r w:rsidRPr="00B6039A">
              <w:t>No evidence of implementation.</w:t>
            </w:r>
          </w:p>
        </w:tc>
      </w:tr>
      <w:tr w:rsidR="004373FE" w:rsidRPr="00B6039A" w14:paraId="2B441E80" w14:textId="77777777" w:rsidTr="00AD5309">
        <w:trPr>
          <w:trHeight w:val="454"/>
        </w:trPr>
        <w:tc>
          <w:tcPr>
            <w:tcW w:w="1838" w:type="dxa"/>
            <w:vMerge w:val="restart"/>
          </w:tcPr>
          <w:p w14:paraId="1DD4E756" w14:textId="77777777" w:rsidR="004373FE" w:rsidRPr="00B6039A" w:rsidRDefault="004373FE" w:rsidP="007601C3">
            <w:pPr>
              <w:ind w:left="29" w:firstLine="8"/>
            </w:pPr>
            <w:r w:rsidRPr="00B6039A">
              <w:t>Ensuring benefit settings have less impact on partnering decisions</w:t>
            </w:r>
          </w:p>
        </w:tc>
        <w:tc>
          <w:tcPr>
            <w:tcW w:w="3687" w:type="dxa"/>
          </w:tcPr>
          <w:p w14:paraId="0BBB968D" w14:textId="77777777" w:rsidR="004373FE" w:rsidRPr="00B6039A" w:rsidRDefault="004373FE" w:rsidP="00EE0D9D">
            <w:pPr>
              <w:pStyle w:val="ListParagraph"/>
              <w:numPr>
                <w:ilvl w:val="0"/>
                <w:numId w:val="1"/>
              </w:numPr>
              <w:ind w:left="455"/>
            </w:pPr>
            <w:r w:rsidRPr="00B6039A">
              <w:t>Allow a 6-month period (rather than the current 6 weeks) after people move in together as a couple before a relationship is deemed to exist for the purposes of determining benefit eligibility.</w:t>
            </w:r>
          </w:p>
        </w:tc>
        <w:tc>
          <w:tcPr>
            <w:tcW w:w="1133" w:type="dxa"/>
            <w:vMerge w:val="restart"/>
          </w:tcPr>
          <w:p w14:paraId="368B5D90" w14:textId="721CC0F5" w:rsidR="004373FE" w:rsidRPr="00B6039A" w:rsidRDefault="004373FE" w:rsidP="00DA296E">
            <w:r w:rsidRPr="00B6039A">
              <w:t xml:space="preserve">Key </w:t>
            </w:r>
            <w:r w:rsidR="00112B50" w:rsidRPr="00B6039A">
              <w:t>Rec</w:t>
            </w:r>
            <w:r w:rsidRPr="00B6039A">
              <w:t xml:space="preserve"> 28; </w:t>
            </w:r>
            <w:r w:rsidR="00112B50" w:rsidRPr="00B6039A">
              <w:t>Ch</w:t>
            </w:r>
            <w:r w:rsidRPr="00B6039A">
              <w:t xml:space="preserve"> 7</w:t>
            </w:r>
          </w:p>
        </w:tc>
        <w:tc>
          <w:tcPr>
            <w:tcW w:w="3337" w:type="dxa"/>
            <w:vMerge w:val="restart"/>
          </w:tcPr>
          <w:p w14:paraId="1B913BF3" w14:textId="77777777" w:rsidR="004373FE" w:rsidRPr="00B6039A" w:rsidRDefault="004373FE" w:rsidP="005C7983">
            <w:pPr>
              <w:ind w:left="178" w:hanging="92"/>
            </w:pPr>
            <w:r w:rsidRPr="00B6039A">
              <w:t>The Government has stated that implementation of Key Recommendation 28 is part of its medium and longer-term work programme.</w:t>
            </w:r>
            <w:r w:rsidRPr="00B6039A">
              <w:rPr>
                <w:rStyle w:val="FootnoteReference"/>
              </w:rPr>
              <w:footnoteReference w:id="143"/>
            </w:r>
            <w:r w:rsidRPr="00B6039A">
              <w:t xml:space="preserve"> It has stated that this “will be considered as part of further advice on income support settings”. </w:t>
            </w:r>
          </w:p>
        </w:tc>
        <w:tc>
          <w:tcPr>
            <w:tcW w:w="3467" w:type="dxa"/>
            <w:shd w:val="clear" w:color="auto" w:fill="FFA5A5"/>
          </w:tcPr>
          <w:p w14:paraId="2DB59C90" w14:textId="632A9EF3" w:rsidR="004373FE" w:rsidRPr="00B6039A" w:rsidRDefault="005E1481" w:rsidP="00DA296E">
            <w:r w:rsidRPr="00B6039A">
              <w:t>No evidence of implementation.</w:t>
            </w:r>
          </w:p>
        </w:tc>
      </w:tr>
      <w:tr w:rsidR="004373FE" w:rsidRPr="00B6039A" w14:paraId="4AFC1F37" w14:textId="77777777" w:rsidTr="00AD5309">
        <w:trPr>
          <w:trHeight w:val="453"/>
        </w:trPr>
        <w:tc>
          <w:tcPr>
            <w:tcW w:w="1838" w:type="dxa"/>
            <w:vMerge/>
          </w:tcPr>
          <w:p w14:paraId="6F52D456" w14:textId="77777777" w:rsidR="004373FE" w:rsidRPr="00B6039A" w:rsidRDefault="004373FE" w:rsidP="007601C3">
            <w:pPr>
              <w:ind w:left="29" w:firstLine="8"/>
            </w:pPr>
          </w:p>
        </w:tc>
        <w:tc>
          <w:tcPr>
            <w:tcW w:w="3687" w:type="dxa"/>
          </w:tcPr>
          <w:p w14:paraId="57A8DE27" w14:textId="77777777" w:rsidR="004373FE" w:rsidRPr="00B6039A" w:rsidRDefault="004373FE" w:rsidP="00EE0D9D">
            <w:pPr>
              <w:pStyle w:val="ListParagraph"/>
              <w:numPr>
                <w:ilvl w:val="0"/>
                <w:numId w:val="1"/>
              </w:numPr>
              <w:ind w:left="455"/>
            </w:pPr>
            <w:r w:rsidRPr="00B6039A">
              <w:t>Do not deem two people who do not live together as being in a relationship for the purposes of welfare support.</w:t>
            </w:r>
          </w:p>
        </w:tc>
        <w:tc>
          <w:tcPr>
            <w:tcW w:w="1133" w:type="dxa"/>
            <w:vMerge/>
          </w:tcPr>
          <w:p w14:paraId="045F6234" w14:textId="77777777" w:rsidR="004373FE" w:rsidRPr="00B6039A" w:rsidRDefault="004373FE" w:rsidP="00DA296E"/>
        </w:tc>
        <w:tc>
          <w:tcPr>
            <w:tcW w:w="3337" w:type="dxa"/>
            <w:vMerge/>
          </w:tcPr>
          <w:p w14:paraId="5A4704CF" w14:textId="77777777" w:rsidR="004373FE" w:rsidRPr="00B6039A" w:rsidRDefault="004373FE" w:rsidP="005C7983">
            <w:pPr>
              <w:ind w:left="178" w:hanging="92"/>
            </w:pPr>
          </w:p>
        </w:tc>
        <w:tc>
          <w:tcPr>
            <w:tcW w:w="3467" w:type="dxa"/>
            <w:shd w:val="clear" w:color="auto" w:fill="FFA5A5"/>
          </w:tcPr>
          <w:p w14:paraId="71906192" w14:textId="01984DA9" w:rsidR="004373FE" w:rsidRPr="00B6039A" w:rsidRDefault="005E1481" w:rsidP="00DA296E">
            <w:r w:rsidRPr="00B6039A">
              <w:t>No evidence of implementation.</w:t>
            </w:r>
          </w:p>
        </w:tc>
      </w:tr>
      <w:tr w:rsidR="004373FE" w:rsidRPr="00B6039A" w14:paraId="35481E4F" w14:textId="77777777" w:rsidTr="00AD5309">
        <w:trPr>
          <w:trHeight w:val="453"/>
        </w:trPr>
        <w:tc>
          <w:tcPr>
            <w:tcW w:w="1838" w:type="dxa"/>
            <w:vMerge/>
          </w:tcPr>
          <w:p w14:paraId="45466084" w14:textId="77777777" w:rsidR="004373FE" w:rsidRPr="00B6039A" w:rsidRDefault="004373FE" w:rsidP="007601C3">
            <w:pPr>
              <w:ind w:left="29" w:firstLine="8"/>
            </w:pPr>
          </w:p>
        </w:tc>
        <w:tc>
          <w:tcPr>
            <w:tcW w:w="3687" w:type="dxa"/>
          </w:tcPr>
          <w:p w14:paraId="37F17222" w14:textId="77777777" w:rsidR="004373FE" w:rsidRPr="00B6039A" w:rsidRDefault="004373FE" w:rsidP="00EE0D9D">
            <w:pPr>
              <w:pStyle w:val="ListParagraph"/>
              <w:numPr>
                <w:ilvl w:val="0"/>
                <w:numId w:val="1"/>
              </w:numPr>
              <w:ind w:left="455"/>
            </w:pPr>
            <w:r w:rsidRPr="00B6039A">
              <w:t xml:space="preserve">Investigate other moves towards greater neutrality in respect of relationship status, including </w:t>
            </w:r>
            <w:r w:rsidRPr="00B6039A">
              <w:lastRenderedPageBreak/>
              <w:t>increased individualisation of benefit entitlement, bringing the couple rate of benefit closer to two times the single rate, and improving alignment between the approach taken by MSD and in other legislation.</w:t>
            </w:r>
          </w:p>
        </w:tc>
        <w:tc>
          <w:tcPr>
            <w:tcW w:w="1133" w:type="dxa"/>
            <w:vMerge/>
          </w:tcPr>
          <w:p w14:paraId="44B45572" w14:textId="77777777" w:rsidR="004373FE" w:rsidRPr="00B6039A" w:rsidRDefault="004373FE" w:rsidP="00DA296E"/>
        </w:tc>
        <w:tc>
          <w:tcPr>
            <w:tcW w:w="3337" w:type="dxa"/>
            <w:vMerge/>
          </w:tcPr>
          <w:p w14:paraId="553EE11C" w14:textId="77777777" w:rsidR="004373FE" w:rsidRPr="00B6039A" w:rsidRDefault="004373FE" w:rsidP="005C7983">
            <w:pPr>
              <w:ind w:left="178" w:hanging="92"/>
            </w:pPr>
          </w:p>
        </w:tc>
        <w:tc>
          <w:tcPr>
            <w:tcW w:w="3467" w:type="dxa"/>
            <w:shd w:val="clear" w:color="auto" w:fill="FFA5A5"/>
          </w:tcPr>
          <w:p w14:paraId="684EE22F" w14:textId="40C5E5E5" w:rsidR="004373FE" w:rsidRPr="00B6039A" w:rsidRDefault="005E1481" w:rsidP="00DA296E">
            <w:r w:rsidRPr="00B6039A">
              <w:t>No evidence of implementation.</w:t>
            </w:r>
          </w:p>
        </w:tc>
      </w:tr>
      <w:tr w:rsidR="004373FE" w:rsidRPr="00B6039A" w14:paraId="04CDA2E2" w14:textId="77777777" w:rsidTr="00AD5309">
        <w:trPr>
          <w:trHeight w:val="453"/>
        </w:trPr>
        <w:tc>
          <w:tcPr>
            <w:tcW w:w="1838" w:type="dxa"/>
            <w:vMerge/>
          </w:tcPr>
          <w:p w14:paraId="2ABF927E" w14:textId="77777777" w:rsidR="004373FE" w:rsidRPr="00B6039A" w:rsidRDefault="004373FE" w:rsidP="007601C3">
            <w:pPr>
              <w:ind w:left="29" w:firstLine="8"/>
            </w:pPr>
          </w:p>
        </w:tc>
        <w:tc>
          <w:tcPr>
            <w:tcW w:w="3687" w:type="dxa"/>
          </w:tcPr>
          <w:p w14:paraId="1263C4CB" w14:textId="77777777" w:rsidR="004373FE" w:rsidRPr="00B6039A" w:rsidRDefault="004373FE" w:rsidP="00EE0D9D">
            <w:pPr>
              <w:pStyle w:val="ListParagraph"/>
              <w:numPr>
                <w:ilvl w:val="0"/>
                <w:numId w:val="1"/>
              </w:numPr>
              <w:ind w:left="455"/>
            </w:pPr>
            <w:r w:rsidRPr="00B6039A">
              <w:t>Consider introducing a short-term entitlement (for example, 6 months) to a main benefit for partnered people who lose their jobs or incomes (due to redundancy, a health condition or disability, or a health condition or disability of a dependent child) through an earnings disregard of their partner’s income (up to a cap of around $48,000 a year) for this period.</w:t>
            </w:r>
          </w:p>
        </w:tc>
        <w:tc>
          <w:tcPr>
            <w:tcW w:w="1133" w:type="dxa"/>
            <w:vMerge/>
          </w:tcPr>
          <w:p w14:paraId="18814B22" w14:textId="77777777" w:rsidR="004373FE" w:rsidRPr="00B6039A" w:rsidRDefault="004373FE" w:rsidP="00DA296E"/>
        </w:tc>
        <w:tc>
          <w:tcPr>
            <w:tcW w:w="3337" w:type="dxa"/>
            <w:vMerge/>
          </w:tcPr>
          <w:p w14:paraId="332C1159" w14:textId="77777777" w:rsidR="004373FE" w:rsidRPr="00B6039A" w:rsidRDefault="004373FE" w:rsidP="005C7983">
            <w:pPr>
              <w:ind w:left="178" w:hanging="92"/>
            </w:pPr>
          </w:p>
        </w:tc>
        <w:tc>
          <w:tcPr>
            <w:tcW w:w="3467" w:type="dxa"/>
            <w:shd w:val="clear" w:color="auto" w:fill="FFA5A5"/>
          </w:tcPr>
          <w:p w14:paraId="3CA24D70" w14:textId="48D13570" w:rsidR="004373FE" w:rsidRPr="00B6039A" w:rsidRDefault="005E1481" w:rsidP="00DA296E">
            <w:r w:rsidRPr="00B6039A">
              <w:t>No evidence of implementation.</w:t>
            </w:r>
          </w:p>
          <w:p w14:paraId="39818DD1" w14:textId="77777777" w:rsidR="004373FE" w:rsidRPr="00B6039A" w:rsidRDefault="004373FE" w:rsidP="00DA296E"/>
          <w:p w14:paraId="3A2A5362" w14:textId="77777777" w:rsidR="004373FE" w:rsidRPr="00B6039A" w:rsidRDefault="004373FE" w:rsidP="00DA296E">
            <w:r w:rsidRPr="00B6039A">
              <w:t>It is relevant to note that the Covid-19 Income Relief Payment for those who lost work from 1 March 2020 was paid to people irrespective of their partner earnings (up to $2,000 per week),</w:t>
            </w:r>
            <w:r w:rsidRPr="00B6039A">
              <w:rPr>
                <w:rStyle w:val="FootnoteReference"/>
              </w:rPr>
              <w:footnoteReference w:id="144"/>
            </w:r>
            <w:r w:rsidRPr="00B6039A">
              <w:t xml:space="preserve"> temporarily strengthening support for displaced workers whose partners were still earning. However, this has not applied to main benefits, and was only a temporary measure.</w:t>
            </w:r>
          </w:p>
        </w:tc>
      </w:tr>
      <w:tr w:rsidR="004373FE" w:rsidRPr="00B6039A" w14:paraId="744E3765" w14:textId="77777777" w:rsidTr="00AD5309">
        <w:trPr>
          <w:trHeight w:val="89"/>
        </w:trPr>
        <w:tc>
          <w:tcPr>
            <w:tcW w:w="1838" w:type="dxa"/>
            <w:vMerge w:val="restart"/>
          </w:tcPr>
          <w:p w14:paraId="5FEE6821" w14:textId="77777777" w:rsidR="004373FE" w:rsidRPr="00B6039A" w:rsidRDefault="004373FE" w:rsidP="007601C3">
            <w:pPr>
              <w:ind w:left="29" w:firstLine="8"/>
            </w:pPr>
            <w:r w:rsidRPr="00B6039A">
              <w:t>Subsidising housing costs for those on low incomes</w:t>
            </w:r>
          </w:p>
        </w:tc>
        <w:tc>
          <w:tcPr>
            <w:tcW w:w="3687" w:type="dxa"/>
          </w:tcPr>
          <w:p w14:paraId="581DA463" w14:textId="77777777" w:rsidR="004373FE" w:rsidRPr="00B6039A" w:rsidRDefault="004373FE" w:rsidP="00EE0D9D">
            <w:pPr>
              <w:pStyle w:val="ListParagraph"/>
              <w:numPr>
                <w:ilvl w:val="0"/>
                <w:numId w:val="1"/>
              </w:numPr>
              <w:ind w:left="455"/>
            </w:pPr>
            <w:r w:rsidRPr="00B6039A">
              <w:t xml:space="preserve">Improve housing subsidies by extending the period from 2 months to 6 months before income-related rent for public housing is increased after the tenant moves into employment </w:t>
            </w:r>
          </w:p>
        </w:tc>
        <w:tc>
          <w:tcPr>
            <w:tcW w:w="1133" w:type="dxa"/>
            <w:vMerge w:val="restart"/>
          </w:tcPr>
          <w:p w14:paraId="0438411C" w14:textId="6C84C1E5" w:rsidR="004373FE" w:rsidRPr="00B6039A" w:rsidRDefault="004373FE" w:rsidP="00DA296E">
            <w:r w:rsidRPr="00B6039A">
              <w:t xml:space="preserve">Key </w:t>
            </w:r>
            <w:r w:rsidR="00112B50" w:rsidRPr="00B6039A">
              <w:t>Rec</w:t>
            </w:r>
            <w:r w:rsidRPr="00B6039A">
              <w:t xml:space="preserve"> 33; </w:t>
            </w:r>
            <w:r w:rsidR="00112B50" w:rsidRPr="00B6039A">
              <w:t>Ch</w:t>
            </w:r>
            <w:r w:rsidRPr="00B6039A">
              <w:t xml:space="preserve"> 8</w:t>
            </w:r>
          </w:p>
        </w:tc>
        <w:tc>
          <w:tcPr>
            <w:tcW w:w="3337" w:type="dxa"/>
            <w:vMerge w:val="restart"/>
          </w:tcPr>
          <w:p w14:paraId="7D268C29" w14:textId="77777777" w:rsidR="004373FE" w:rsidRPr="00B6039A" w:rsidRDefault="004373FE" w:rsidP="005C7983">
            <w:pPr>
              <w:ind w:left="178" w:hanging="92"/>
            </w:pPr>
            <w:r w:rsidRPr="00B6039A">
              <w:t xml:space="preserve">The Government has stated that implementation of Key Recommendation 33 is part of its medium and longer-term work programme. Minister </w:t>
            </w:r>
            <w:proofErr w:type="spellStart"/>
            <w:r w:rsidRPr="00B6039A">
              <w:t>Sepuloni</w:t>
            </w:r>
            <w:proofErr w:type="spellEnd"/>
            <w:r w:rsidRPr="00B6039A">
              <w:t xml:space="preserve"> stated in November 2019 that housing subsidies are part of the longer-term work </w:t>
            </w:r>
            <w:r w:rsidRPr="00B6039A">
              <w:lastRenderedPageBreak/>
              <w:t>programme. She expressed that “this work will require significant considerable time and resource, due to the level of complexity involved in making structural changes to housing subsidies, the need to consider the wider context of income support, and the impact of potential changes.”</w:t>
            </w:r>
            <w:r w:rsidRPr="00B6039A">
              <w:rPr>
                <w:rStyle w:val="FootnoteReference"/>
              </w:rPr>
              <w:footnoteReference w:id="145"/>
            </w:r>
          </w:p>
        </w:tc>
        <w:tc>
          <w:tcPr>
            <w:tcW w:w="3467" w:type="dxa"/>
            <w:shd w:val="clear" w:color="auto" w:fill="FFA5A5"/>
          </w:tcPr>
          <w:p w14:paraId="4ADBFB8D" w14:textId="040D14FA" w:rsidR="004373FE" w:rsidRPr="00B6039A" w:rsidRDefault="005E1481" w:rsidP="00DA296E">
            <w:r w:rsidRPr="00B6039A">
              <w:lastRenderedPageBreak/>
              <w:t>No evidence of implementation.</w:t>
            </w:r>
          </w:p>
        </w:tc>
      </w:tr>
      <w:tr w:rsidR="004373FE" w:rsidRPr="00B6039A" w14:paraId="3BAC0F94" w14:textId="77777777" w:rsidTr="00AD5309">
        <w:trPr>
          <w:trHeight w:val="87"/>
        </w:trPr>
        <w:tc>
          <w:tcPr>
            <w:tcW w:w="1838" w:type="dxa"/>
            <w:vMerge/>
          </w:tcPr>
          <w:p w14:paraId="77B02276" w14:textId="77777777" w:rsidR="004373FE" w:rsidRPr="00B6039A" w:rsidRDefault="004373FE" w:rsidP="007601C3">
            <w:pPr>
              <w:ind w:left="29" w:firstLine="8"/>
            </w:pPr>
          </w:p>
        </w:tc>
        <w:tc>
          <w:tcPr>
            <w:tcW w:w="3687" w:type="dxa"/>
          </w:tcPr>
          <w:p w14:paraId="3B2703FA" w14:textId="77777777" w:rsidR="004373FE" w:rsidRPr="00B6039A" w:rsidRDefault="004373FE" w:rsidP="00EE0D9D">
            <w:pPr>
              <w:pStyle w:val="ListParagraph"/>
              <w:numPr>
                <w:ilvl w:val="0"/>
                <w:numId w:val="1"/>
              </w:numPr>
              <w:ind w:left="455"/>
            </w:pPr>
            <w:r w:rsidRPr="00B6039A">
              <w:t xml:space="preserve">Improve housing subsidies by changing the way </w:t>
            </w:r>
            <w:r w:rsidRPr="00B6039A">
              <w:lastRenderedPageBreak/>
              <w:t>Accommodation Supplement payments are calculated, so indexing maintains relativity with housing costs, and removing differences between renters and homeowners.</w:t>
            </w:r>
          </w:p>
        </w:tc>
        <w:tc>
          <w:tcPr>
            <w:tcW w:w="1133" w:type="dxa"/>
            <w:vMerge/>
          </w:tcPr>
          <w:p w14:paraId="62D05214" w14:textId="77777777" w:rsidR="004373FE" w:rsidRPr="00B6039A" w:rsidRDefault="004373FE" w:rsidP="00DA296E"/>
        </w:tc>
        <w:tc>
          <w:tcPr>
            <w:tcW w:w="3337" w:type="dxa"/>
            <w:vMerge/>
          </w:tcPr>
          <w:p w14:paraId="6CE9B54F" w14:textId="77777777" w:rsidR="004373FE" w:rsidRPr="00B6039A" w:rsidRDefault="004373FE" w:rsidP="005C7983">
            <w:pPr>
              <w:ind w:left="178" w:hanging="92"/>
            </w:pPr>
          </w:p>
        </w:tc>
        <w:tc>
          <w:tcPr>
            <w:tcW w:w="3467" w:type="dxa"/>
            <w:shd w:val="clear" w:color="auto" w:fill="FFA5A5"/>
          </w:tcPr>
          <w:p w14:paraId="5CDD950E" w14:textId="2E0C8883" w:rsidR="004373FE" w:rsidRPr="00B6039A" w:rsidRDefault="005E1481" w:rsidP="00DA296E">
            <w:r w:rsidRPr="00B6039A">
              <w:t>No evidence of implementation.</w:t>
            </w:r>
          </w:p>
        </w:tc>
      </w:tr>
      <w:tr w:rsidR="004373FE" w:rsidRPr="00B6039A" w14:paraId="233F016F" w14:textId="77777777" w:rsidTr="00AD5309">
        <w:trPr>
          <w:trHeight w:val="87"/>
        </w:trPr>
        <w:tc>
          <w:tcPr>
            <w:tcW w:w="1838" w:type="dxa"/>
            <w:vMerge/>
          </w:tcPr>
          <w:p w14:paraId="52DE8445" w14:textId="77777777" w:rsidR="004373FE" w:rsidRPr="00B6039A" w:rsidRDefault="004373FE" w:rsidP="007601C3">
            <w:pPr>
              <w:ind w:left="29" w:firstLine="8"/>
            </w:pPr>
          </w:p>
        </w:tc>
        <w:tc>
          <w:tcPr>
            <w:tcW w:w="3687" w:type="dxa"/>
          </w:tcPr>
          <w:p w14:paraId="3D852D4C" w14:textId="77777777" w:rsidR="004373FE" w:rsidRPr="00B6039A" w:rsidRDefault="004373FE" w:rsidP="00EE0D9D">
            <w:pPr>
              <w:pStyle w:val="ListParagraph"/>
              <w:numPr>
                <w:ilvl w:val="0"/>
                <w:numId w:val="1"/>
              </w:numPr>
              <w:ind w:left="455"/>
            </w:pPr>
            <w:r w:rsidRPr="00B6039A">
              <w:t>For the Accommodation Supplement, increase the maxima to the median regional rental rates (for the latest year available).</w:t>
            </w:r>
          </w:p>
        </w:tc>
        <w:tc>
          <w:tcPr>
            <w:tcW w:w="1133" w:type="dxa"/>
            <w:vMerge/>
          </w:tcPr>
          <w:p w14:paraId="39279B78" w14:textId="77777777" w:rsidR="004373FE" w:rsidRPr="00B6039A" w:rsidRDefault="004373FE" w:rsidP="00DA296E"/>
        </w:tc>
        <w:tc>
          <w:tcPr>
            <w:tcW w:w="3337" w:type="dxa"/>
            <w:vMerge/>
          </w:tcPr>
          <w:p w14:paraId="3F8422C9" w14:textId="77777777" w:rsidR="004373FE" w:rsidRPr="00B6039A" w:rsidRDefault="004373FE" w:rsidP="005C7983">
            <w:pPr>
              <w:ind w:left="178" w:hanging="92"/>
            </w:pPr>
          </w:p>
        </w:tc>
        <w:tc>
          <w:tcPr>
            <w:tcW w:w="3467" w:type="dxa"/>
            <w:shd w:val="clear" w:color="auto" w:fill="FFA5A5"/>
          </w:tcPr>
          <w:p w14:paraId="4B374AD7" w14:textId="2431F543" w:rsidR="004373FE" w:rsidRPr="00B6039A" w:rsidRDefault="005E1481" w:rsidP="00DA296E">
            <w:r w:rsidRPr="00B6039A">
              <w:t>No evidence of implementation.</w:t>
            </w:r>
          </w:p>
        </w:tc>
      </w:tr>
      <w:tr w:rsidR="004373FE" w:rsidRPr="00B6039A" w14:paraId="6281768D" w14:textId="77777777" w:rsidTr="00AD5309">
        <w:trPr>
          <w:trHeight w:val="87"/>
        </w:trPr>
        <w:tc>
          <w:tcPr>
            <w:tcW w:w="1838" w:type="dxa"/>
            <w:vMerge/>
          </w:tcPr>
          <w:p w14:paraId="4326C54F" w14:textId="77777777" w:rsidR="004373FE" w:rsidRPr="00B6039A" w:rsidRDefault="004373FE" w:rsidP="007601C3">
            <w:pPr>
              <w:ind w:left="29" w:firstLine="8"/>
            </w:pPr>
          </w:p>
        </w:tc>
        <w:tc>
          <w:tcPr>
            <w:tcW w:w="3687" w:type="dxa"/>
          </w:tcPr>
          <w:p w14:paraId="416C3434" w14:textId="77777777" w:rsidR="004373FE" w:rsidRPr="00B6039A" w:rsidRDefault="004373FE" w:rsidP="00EE0D9D">
            <w:pPr>
              <w:pStyle w:val="ListParagraph"/>
              <w:numPr>
                <w:ilvl w:val="0"/>
                <w:numId w:val="1"/>
              </w:numPr>
              <w:ind w:left="455"/>
            </w:pPr>
            <w:r w:rsidRPr="00B6039A">
              <w:t>For the Accommodation Supplement, review the maxima and the area locations annually to maintain the value of the payments with changes in median rental rates in different parts of the country over time.</w:t>
            </w:r>
          </w:p>
        </w:tc>
        <w:tc>
          <w:tcPr>
            <w:tcW w:w="1133" w:type="dxa"/>
            <w:vMerge/>
          </w:tcPr>
          <w:p w14:paraId="6F1B73D2" w14:textId="77777777" w:rsidR="004373FE" w:rsidRPr="00B6039A" w:rsidRDefault="004373FE" w:rsidP="00DA296E"/>
        </w:tc>
        <w:tc>
          <w:tcPr>
            <w:tcW w:w="3337" w:type="dxa"/>
            <w:vMerge/>
          </w:tcPr>
          <w:p w14:paraId="0B3743B1" w14:textId="77777777" w:rsidR="004373FE" w:rsidRPr="00B6039A" w:rsidRDefault="004373FE" w:rsidP="005C7983">
            <w:pPr>
              <w:ind w:left="178" w:hanging="92"/>
            </w:pPr>
          </w:p>
        </w:tc>
        <w:tc>
          <w:tcPr>
            <w:tcW w:w="3467" w:type="dxa"/>
            <w:shd w:val="clear" w:color="auto" w:fill="FFA5A5"/>
          </w:tcPr>
          <w:p w14:paraId="622C8F47" w14:textId="6CC4D082" w:rsidR="004373FE" w:rsidRPr="00B6039A" w:rsidRDefault="005E1481" w:rsidP="00DA296E">
            <w:r w:rsidRPr="00B6039A">
              <w:t>No evidence of implementation.</w:t>
            </w:r>
          </w:p>
        </w:tc>
      </w:tr>
      <w:tr w:rsidR="004373FE" w:rsidRPr="00B6039A" w14:paraId="7BD25E28" w14:textId="77777777" w:rsidTr="00AD5309">
        <w:trPr>
          <w:trHeight w:val="87"/>
        </w:trPr>
        <w:tc>
          <w:tcPr>
            <w:tcW w:w="1838" w:type="dxa"/>
            <w:vMerge/>
          </w:tcPr>
          <w:p w14:paraId="1BADDE4F" w14:textId="77777777" w:rsidR="004373FE" w:rsidRPr="00B6039A" w:rsidRDefault="004373FE" w:rsidP="007601C3">
            <w:pPr>
              <w:ind w:left="29" w:firstLine="8"/>
            </w:pPr>
          </w:p>
        </w:tc>
        <w:tc>
          <w:tcPr>
            <w:tcW w:w="3687" w:type="dxa"/>
          </w:tcPr>
          <w:p w14:paraId="7836436E" w14:textId="77777777" w:rsidR="004373FE" w:rsidRPr="00B6039A" w:rsidRDefault="004373FE" w:rsidP="00EE0D9D">
            <w:pPr>
              <w:pStyle w:val="ListParagraph"/>
              <w:numPr>
                <w:ilvl w:val="0"/>
                <w:numId w:val="1"/>
              </w:numPr>
              <w:ind w:left="455"/>
            </w:pPr>
            <w:r w:rsidRPr="00B6039A">
              <w:t>For the Accommodation Supplement, decrease the co-payment rate from 30% to 25% (that is, increase the Government contribution from 70% to 75%).</w:t>
            </w:r>
          </w:p>
        </w:tc>
        <w:tc>
          <w:tcPr>
            <w:tcW w:w="1133" w:type="dxa"/>
            <w:vMerge/>
          </w:tcPr>
          <w:p w14:paraId="54C5BEC8" w14:textId="77777777" w:rsidR="004373FE" w:rsidRPr="00B6039A" w:rsidRDefault="004373FE" w:rsidP="00DA296E"/>
        </w:tc>
        <w:tc>
          <w:tcPr>
            <w:tcW w:w="3337" w:type="dxa"/>
            <w:vMerge/>
          </w:tcPr>
          <w:p w14:paraId="4134E72E" w14:textId="77777777" w:rsidR="004373FE" w:rsidRPr="00B6039A" w:rsidRDefault="004373FE" w:rsidP="005C7983">
            <w:pPr>
              <w:ind w:left="178" w:hanging="92"/>
            </w:pPr>
          </w:p>
        </w:tc>
        <w:tc>
          <w:tcPr>
            <w:tcW w:w="3467" w:type="dxa"/>
            <w:shd w:val="clear" w:color="auto" w:fill="FFA5A5"/>
          </w:tcPr>
          <w:p w14:paraId="2595B876" w14:textId="275E0518" w:rsidR="004373FE" w:rsidRPr="00B6039A" w:rsidRDefault="005E1481" w:rsidP="00DA296E">
            <w:r w:rsidRPr="00B6039A">
              <w:t>No evidence of implementation.</w:t>
            </w:r>
          </w:p>
        </w:tc>
      </w:tr>
      <w:tr w:rsidR="004373FE" w:rsidRPr="00B6039A" w14:paraId="533904AB" w14:textId="77777777" w:rsidTr="00AD5309">
        <w:trPr>
          <w:trHeight w:val="87"/>
        </w:trPr>
        <w:tc>
          <w:tcPr>
            <w:tcW w:w="1838" w:type="dxa"/>
            <w:vMerge/>
          </w:tcPr>
          <w:p w14:paraId="507315D2" w14:textId="77777777" w:rsidR="004373FE" w:rsidRPr="00B6039A" w:rsidRDefault="004373FE" w:rsidP="007601C3">
            <w:pPr>
              <w:ind w:left="29" w:firstLine="8"/>
            </w:pPr>
          </w:p>
        </w:tc>
        <w:tc>
          <w:tcPr>
            <w:tcW w:w="3687" w:type="dxa"/>
          </w:tcPr>
          <w:p w14:paraId="6A190BB4" w14:textId="77777777" w:rsidR="004373FE" w:rsidRPr="00B6039A" w:rsidRDefault="004373FE" w:rsidP="00EE0D9D">
            <w:pPr>
              <w:pStyle w:val="ListParagraph"/>
              <w:numPr>
                <w:ilvl w:val="0"/>
                <w:numId w:val="1"/>
              </w:numPr>
              <w:ind w:left="455"/>
            </w:pPr>
            <w:r w:rsidRPr="00B6039A">
              <w:t>For the Accommodation Supplement, decrease the entry threshold for homeowners from 30% to 25% to align with renters.</w:t>
            </w:r>
          </w:p>
        </w:tc>
        <w:tc>
          <w:tcPr>
            <w:tcW w:w="1133" w:type="dxa"/>
            <w:vMerge/>
          </w:tcPr>
          <w:p w14:paraId="5DE2E03D" w14:textId="77777777" w:rsidR="004373FE" w:rsidRPr="00B6039A" w:rsidRDefault="004373FE" w:rsidP="00DA296E"/>
        </w:tc>
        <w:tc>
          <w:tcPr>
            <w:tcW w:w="3337" w:type="dxa"/>
            <w:vMerge/>
          </w:tcPr>
          <w:p w14:paraId="63C17AEB" w14:textId="77777777" w:rsidR="004373FE" w:rsidRPr="00B6039A" w:rsidRDefault="004373FE" w:rsidP="005C7983">
            <w:pPr>
              <w:ind w:left="178" w:hanging="92"/>
            </w:pPr>
          </w:p>
        </w:tc>
        <w:tc>
          <w:tcPr>
            <w:tcW w:w="3467" w:type="dxa"/>
            <w:shd w:val="clear" w:color="auto" w:fill="FFA5A5"/>
          </w:tcPr>
          <w:p w14:paraId="109585C1" w14:textId="6E93363B" w:rsidR="004373FE" w:rsidRPr="00B6039A" w:rsidRDefault="005E1481" w:rsidP="00DA296E">
            <w:r w:rsidRPr="00B6039A">
              <w:t>No evidence of implementation.</w:t>
            </w:r>
          </w:p>
        </w:tc>
      </w:tr>
      <w:tr w:rsidR="004373FE" w:rsidRPr="00B6039A" w14:paraId="3C096089" w14:textId="77777777" w:rsidTr="00AD5309">
        <w:trPr>
          <w:trHeight w:val="87"/>
        </w:trPr>
        <w:tc>
          <w:tcPr>
            <w:tcW w:w="1838" w:type="dxa"/>
            <w:vMerge/>
          </w:tcPr>
          <w:p w14:paraId="4D74FFDE" w14:textId="77777777" w:rsidR="004373FE" w:rsidRPr="00B6039A" w:rsidRDefault="004373FE" w:rsidP="007601C3">
            <w:pPr>
              <w:ind w:left="29" w:firstLine="8"/>
            </w:pPr>
          </w:p>
        </w:tc>
        <w:tc>
          <w:tcPr>
            <w:tcW w:w="3687" w:type="dxa"/>
          </w:tcPr>
          <w:p w14:paraId="1C88C922" w14:textId="77777777" w:rsidR="004373FE" w:rsidRPr="00B6039A" w:rsidRDefault="004373FE" w:rsidP="00EE0D9D">
            <w:pPr>
              <w:pStyle w:val="ListParagraph"/>
              <w:numPr>
                <w:ilvl w:val="0"/>
                <w:numId w:val="1"/>
              </w:numPr>
              <w:ind w:left="455"/>
            </w:pPr>
            <w:r w:rsidRPr="00B6039A">
              <w:t xml:space="preserve">Allow people who are studying (and meet the criteria for Student Allowance) but who do not receive Student Allowance, </w:t>
            </w:r>
            <w:r w:rsidRPr="00B6039A">
              <w:lastRenderedPageBreak/>
              <w:t>to apply for Accommodation Supplement.</w:t>
            </w:r>
          </w:p>
        </w:tc>
        <w:tc>
          <w:tcPr>
            <w:tcW w:w="1133" w:type="dxa"/>
            <w:vMerge/>
          </w:tcPr>
          <w:p w14:paraId="4698DCE4" w14:textId="77777777" w:rsidR="004373FE" w:rsidRPr="00B6039A" w:rsidRDefault="004373FE" w:rsidP="00DA296E"/>
        </w:tc>
        <w:tc>
          <w:tcPr>
            <w:tcW w:w="3337" w:type="dxa"/>
            <w:vMerge/>
          </w:tcPr>
          <w:p w14:paraId="715EF1DD" w14:textId="77777777" w:rsidR="004373FE" w:rsidRPr="00B6039A" w:rsidRDefault="004373FE" w:rsidP="005C7983">
            <w:pPr>
              <w:ind w:left="178" w:hanging="92"/>
            </w:pPr>
          </w:p>
        </w:tc>
        <w:tc>
          <w:tcPr>
            <w:tcW w:w="3467" w:type="dxa"/>
            <w:shd w:val="clear" w:color="auto" w:fill="FFA5A5"/>
          </w:tcPr>
          <w:p w14:paraId="62719FB9" w14:textId="78863600" w:rsidR="004373FE" w:rsidRPr="00B6039A" w:rsidRDefault="005E1481" w:rsidP="00DA296E">
            <w:r w:rsidRPr="00B6039A">
              <w:t>No evidence of implementation.</w:t>
            </w:r>
          </w:p>
        </w:tc>
      </w:tr>
      <w:tr w:rsidR="004373FE" w:rsidRPr="00B6039A" w14:paraId="323B4531" w14:textId="77777777" w:rsidTr="00AD5309">
        <w:trPr>
          <w:trHeight w:val="87"/>
        </w:trPr>
        <w:tc>
          <w:tcPr>
            <w:tcW w:w="1838" w:type="dxa"/>
            <w:vMerge/>
          </w:tcPr>
          <w:p w14:paraId="4EC949ED" w14:textId="77777777" w:rsidR="004373FE" w:rsidRPr="00B6039A" w:rsidRDefault="004373FE" w:rsidP="007601C3">
            <w:pPr>
              <w:ind w:left="29" w:firstLine="8"/>
            </w:pPr>
          </w:p>
        </w:tc>
        <w:tc>
          <w:tcPr>
            <w:tcW w:w="3687" w:type="dxa"/>
          </w:tcPr>
          <w:p w14:paraId="1B25E0FE" w14:textId="77777777" w:rsidR="004373FE" w:rsidRPr="00B6039A" w:rsidRDefault="004373FE" w:rsidP="00EE0D9D">
            <w:pPr>
              <w:pStyle w:val="ListParagraph"/>
              <w:numPr>
                <w:ilvl w:val="0"/>
                <w:numId w:val="1"/>
              </w:numPr>
              <w:ind w:left="455"/>
            </w:pPr>
            <w:r w:rsidRPr="00B6039A">
              <w:t>Increase the cash asset limit on Accommodation Supplement to $42,700, to align with the cash asset limit for social housing.</w:t>
            </w:r>
          </w:p>
        </w:tc>
        <w:tc>
          <w:tcPr>
            <w:tcW w:w="1133" w:type="dxa"/>
            <w:vMerge/>
          </w:tcPr>
          <w:p w14:paraId="1735263A" w14:textId="77777777" w:rsidR="004373FE" w:rsidRPr="00B6039A" w:rsidRDefault="004373FE" w:rsidP="00DA296E"/>
        </w:tc>
        <w:tc>
          <w:tcPr>
            <w:tcW w:w="3337" w:type="dxa"/>
            <w:vMerge/>
          </w:tcPr>
          <w:p w14:paraId="6D082A27" w14:textId="77777777" w:rsidR="004373FE" w:rsidRPr="00B6039A" w:rsidRDefault="004373FE" w:rsidP="005C7983">
            <w:pPr>
              <w:ind w:left="178" w:hanging="92"/>
            </w:pPr>
          </w:p>
        </w:tc>
        <w:tc>
          <w:tcPr>
            <w:tcW w:w="3467" w:type="dxa"/>
            <w:shd w:val="clear" w:color="auto" w:fill="FFA5A5"/>
          </w:tcPr>
          <w:p w14:paraId="6D460503" w14:textId="5A5A4D42" w:rsidR="004373FE" w:rsidRPr="00B6039A" w:rsidRDefault="005E1481" w:rsidP="00DA296E">
            <w:r w:rsidRPr="00B6039A">
              <w:t>No evidence of implementation.</w:t>
            </w:r>
          </w:p>
        </w:tc>
      </w:tr>
      <w:tr w:rsidR="004373FE" w:rsidRPr="00B6039A" w14:paraId="076FFF54" w14:textId="77777777" w:rsidTr="00AD5309">
        <w:trPr>
          <w:trHeight w:val="87"/>
        </w:trPr>
        <w:tc>
          <w:tcPr>
            <w:tcW w:w="1838" w:type="dxa"/>
            <w:vMerge/>
          </w:tcPr>
          <w:p w14:paraId="26DA4171" w14:textId="77777777" w:rsidR="004373FE" w:rsidRPr="00B6039A" w:rsidRDefault="004373FE" w:rsidP="007601C3">
            <w:pPr>
              <w:ind w:left="29" w:firstLine="8"/>
            </w:pPr>
          </w:p>
        </w:tc>
        <w:tc>
          <w:tcPr>
            <w:tcW w:w="3687" w:type="dxa"/>
          </w:tcPr>
          <w:p w14:paraId="1E0D6152" w14:textId="77777777" w:rsidR="004373FE" w:rsidRPr="00B6039A" w:rsidRDefault="004373FE" w:rsidP="00EE0D9D">
            <w:pPr>
              <w:pStyle w:val="ListParagraph"/>
              <w:numPr>
                <w:ilvl w:val="0"/>
                <w:numId w:val="1"/>
              </w:numPr>
              <w:ind w:left="455"/>
            </w:pPr>
            <w:r w:rsidRPr="00B6039A">
              <w:t>Index the Accommodation Supplement cash asset limit to maintain relativity over time.</w:t>
            </w:r>
          </w:p>
        </w:tc>
        <w:tc>
          <w:tcPr>
            <w:tcW w:w="1133" w:type="dxa"/>
            <w:vMerge/>
          </w:tcPr>
          <w:p w14:paraId="025B5565" w14:textId="77777777" w:rsidR="004373FE" w:rsidRPr="00B6039A" w:rsidRDefault="004373FE" w:rsidP="00DA296E"/>
        </w:tc>
        <w:tc>
          <w:tcPr>
            <w:tcW w:w="3337" w:type="dxa"/>
            <w:vMerge/>
          </w:tcPr>
          <w:p w14:paraId="04E7A590" w14:textId="77777777" w:rsidR="004373FE" w:rsidRPr="00B6039A" w:rsidRDefault="004373FE" w:rsidP="005C7983">
            <w:pPr>
              <w:ind w:left="178" w:hanging="92"/>
            </w:pPr>
          </w:p>
        </w:tc>
        <w:tc>
          <w:tcPr>
            <w:tcW w:w="3467" w:type="dxa"/>
            <w:shd w:val="clear" w:color="auto" w:fill="FFA5A5"/>
          </w:tcPr>
          <w:p w14:paraId="45C73CB0" w14:textId="6538B3AF" w:rsidR="004373FE" w:rsidRPr="00B6039A" w:rsidRDefault="005E1481" w:rsidP="00DA296E">
            <w:r w:rsidRPr="00B6039A">
              <w:t>No evidence of implementation.</w:t>
            </w:r>
          </w:p>
        </w:tc>
      </w:tr>
      <w:tr w:rsidR="004373FE" w:rsidRPr="00B6039A" w14:paraId="4CE98FEB" w14:textId="77777777" w:rsidTr="00AD5309">
        <w:trPr>
          <w:trHeight w:val="87"/>
        </w:trPr>
        <w:tc>
          <w:tcPr>
            <w:tcW w:w="1838" w:type="dxa"/>
            <w:vMerge/>
          </w:tcPr>
          <w:p w14:paraId="6EA2E413" w14:textId="77777777" w:rsidR="004373FE" w:rsidRPr="00B6039A" w:rsidRDefault="004373FE" w:rsidP="007601C3">
            <w:pPr>
              <w:ind w:left="29" w:firstLine="8"/>
            </w:pPr>
          </w:p>
        </w:tc>
        <w:tc>
          <w:tcPr>
            <w:tcW w:w="3687" w:type="dxa"/>
          </w:tcPr>
          <w:p w14:paraId="7A148D55" w14:textId="77777777" w:rsidR="004373FE" w:rsidRPr="00B6039A" w:rsidRDefault="004373FE" w:rsidP="00EE0D9D">
            <w:pPr>
              <w:pStyle w:val="ListParagraph"/>
              <w:numPr>
                <w:ilvl w:val="0"/>
                <w:numId w:val="1"/>
              </w:numPr>
              <w:ind w:left="455"/>
            </w:pPr>
            <w:r w:rsidRPr="00B6039A">
              <w:t>Remove the cash asset abatement test for Accommodation Supplement.</w:t>
            </w:r>
          </w:p>
        </w:tc>
        <w:tc>
          <w:tcPr>
            <w:tcW w:w="1133" w:type="dxa"/>
            <w:vMerge/>
          </w:tcPr>
          <w:p w14:paraId="017EED65" w14:textId="77777777" w:rsidR="004373FE" w:rsidRPr="00B6039A" w:rsidRDefault="004373FE" w:rsidP="00DA296E"/>
        </w:tc>
        <w:tc>
          <w:tcPr>
            <w:tcW w:w="3337" w:type="dxa"/>
            <w:vMerge/>
          </w:tcPr>
          <w:p w14:paraId="7D65E460" w14:textId="77777777" w:rsidR="004373FE" w:rsidRPr="00B6039A" w:rsidRDefault="004373FE" w:rsidP="005C7983">
            <w:pPr>
              <w:ind w:left="178" w:hanging="92"/>
            </w:pPr>
          </w:p>
        </w:tc>
        <w:tc>
          <w:tcPr>
            <w:tcW w:w="3467" w:type="dxa"/>
            <w:shd w:val="clear" w:color="auto" w:fill="FFA5A5"/>
          </w:tcPr>
          <w:p w14:paraId="48F728EB" w14:textId="2CB44DAA" w:rsidR="004373FE" w:rsidRPr="00B6039A" w:rsidRDefault="005E1481" w:rsidP="00DA296E">
            <w:r w:rsidRPr="00B6039A">
              <w:t>No evidence of implementation.</w:t>
            </w:r>
          </w:p>
        </w:tc>
      </w:tr>
      <w:tr w:rsidR="004373FE" w:rsidRPr="00B6039A" w14:paraId="7E1FCB5D" w14:textId="77777777" w:rsidTr="00AD5309">
        <w:trPr>
          <w:trHeight w:val="87"/>
        </w:trPr>
        <w:tc>
          <w:tcPr>
            <w:tcW w:w="1838" w:type="dxa"/>
            <w:vMerge/>
          </w:tcPr>
          <w:p w14:paraId="37430E54" w14:textId="77777777" w:rsidR="004373FE" w:rsidRPr="00B6039A" w:rsidRDefault="004373FE" w:rsidP="007601C3">
            <w:pPr>
              <w:ind w:left="29" w:firstLine="8"/>
            </w:pPr>
          </w:p>
        </w:tc>
        <w:tc>
          <w:tcPr>
            <w:tcW w:w="3687" w:type="dxa"/>
          </w:tcPr>
          <w:p w14:paraId="22896BD5" w14:textId="77777777" w:rsidR="004373FE" w:rsidRPr="00B6039A" w:rsidRDefault="004373FE" w:rsidP="00EE0D9D">
            <w:pPr>
              <w:pStyle w:val="ListParagraph"/>
              <w:numPr>
                <w:ilvl w:val="0"/>
                <w:numId w:val="1"/>
              </w:numPr>
              <w:ind w:left="455"/>
            </w:pPr>
            <w:r w:rsidRPr="00B6039A">
              <w:t>Amend the definition of cash asset for the Accommodation Supplement to exclude the proceeds from the sale of a house, for a reasonable period, to allow the person to re-enter the housing market, taking account of any special requirements or modifications the person or their family may require to a house.</w:t>
            </w:r>
          </w:p>
        </w:tc>
        <w:tc>
          <w:tcPr>
            <w:tcW w:w="1133" w:type="dxa"/>
            <w:vMerge/>
          </w:tcPr>
          <w:p w14:paraId="0CFA9084" w14:textId="77777777" w:rsidR="004373FE" w:rsidRPr="00B6039A" w:rsidRDefault="004373FE" w:rsidP="00DA296E"/>
        </w:tc>
        <w:tc>
          <w:tcPr>
            <w:tcW w:w="3337" w:type="dxa"/>
            <w:vMerge/>
          </w:tcPr>
          <w:p w14:paraId="0386CC08" w14:textId="77777777" w:rsidR="004373FE" w:rsidRPr="00B6039A" w:rsidRDefault="004373FE" w:rsidP="005C7983">
            <w:pPr>
              <w:ind w:left="178" w:hanging="92"/>
            </w:pPr>
          </w:p>
        </w:tc>
        <w:tc>
          <w:tcPr>
            <w:tcW w:w="3467" w:type="dxa"/>
            <w:shd w:val="clear" w:color="auto" w:fill="FFA5A5"/>
          </w:tcPr>
          <w:p w14:paraId="654E0B99" w14:textId="520D7847" w:rsidR="004373FE" w:rsidRPr="00B6039A" w:rsidRDefault="005E1481" w:rsidP="00DA296E">
            <w:r w:rsidRPr="00B6039A">
              <w:t>No evidence of implementation.</w:t>
            </w:r>
          </w:p>
        </w:tc>
      </w:tr>
      <w:tr w:rsidR="004373FE" w:rsidRPr="00B6039A" w14:paraId="2F9AB2FD" w14:textId="77777777" w:rsidTr="00AD5309">
        <w:trPr>
          <w:trHeight w:val="87"/>
        </w:trPr>
        <w:tc>
          <w:tcPr>
            <w:tcW w:w="1838" w:type="dxa"/>
            <w:vMerge/>
          </w:tcPr>
          <w:p w14:paraId="24C9A65F" w14:textId="77777777" w:rsidR="004373FE" w:rsidRPr="00B6039A" w:rsidRDefault="004373FE" w:rsidP="007601C3">
            <w:pPr>
              <w:ind w:left="29" w:firstLine="8"/>
            </w:pPr>
          </w:p>
        </w:tc>
        <w:tc>
          <w:tcPr>
            <w:tcW w:w="3687" w:type="dxa"/>
          </w:tcPr>
          <w:p w14:paraId="67006074" w14:textId="77777777" w:rsidR="004373FE" w:rsidRPr="00B6039A" w:rsidRDefault="004373FE" w:rsidP="00EE0D9D">
            <w:pPr>
              <w:pStyle w:val="ListParagraph"/>
              <w:numPr>
                <w:ilvl w:val="0"/>
                <w:numId w:val="1"/>
              </w:numPr>
              <w:ind w:left="455"/>
            </w:pPr>
            <w:r w:rsidRPr="00B6039A">
              <w:t>Improve the take-up rate of Accommodation Supplement and Temporary Additional Support for non-benefit recipients through greater cooperation with Inland Revenue, better use of its information, and increased publicity and proactive activity.</w:t>
            </w:r>
          </w:p>
        </w:tc>
        <w:tc>
          <w:tcPr>
            <w:tcW w:w="1133" w:type="dxa"/>
            <w:vMerge/>
          </w:tcPr>
          <w:p w14:paraId="14812918" w14:textId="77777777" w:rsidR="004373FE" w:rsidRPr="00B6039A" w:rsidRDefault="004373FE" w:rsidP="00DA296E"/>
        </w:tc>
        <w:tc>
          <w:tcPr>
            <w:tcW w:w="3337" w:type="dxa"/>
            <w:vMerge/>
          </w:tcPr>
          <w:p w14:paraId="3A124739" w14:textId="77777777" w:rsidR="004373FE" w:rsidRPr="00B6039A" w:rsidRDefault="004373FE" w:rsidP="005C7983">
            <w:pPr>
              <w:ind w:left="178" w:hanging="92"/>
            </w:pPr>
          </w:p>
        </w:tc>
        <w:tc>
          <w:tcPr>
            <w:tcW w:w="3467" w:type="dxa"/>
            <w:shd w:val="clear" w:color="auto" w:fill="FFA5A5"/>
          </w:tcPr>
          <w:p w14:paraId="6A4336D0" w14:textId="58607740" w:rsidR="004373FE" w:rsidRPr="00B6039A" w:rsidRDefault="005E1481" w:rsidP="00DA296E">
            <w:r w:rsidRPr="00B6039A">
              <w:t>No evidence of implementation.</w:t>
            </w:r>
          </w:p>
        </w:tc>
      </w:tr>
      <w:tr w:rsidR="004373FE" w:rsidRPr="00B6039A" w14:paraId="700FCD6E" w14:textId="77777777" w:rsidTr="00AD5309">
        <w:trPr>
          <w:trHeight w:val="87"/>
        </w:trPr>
        <w:tc>
          <w:tcPr>
            <w:tcW w:w="1838" w:type="dxa"/>
            <w:vMerge/>
          </w:tcPr>
          <w:p w14:paraId="5CD15D30" w14:textId="77777777" w:rsidR="004373FE" w:rsidRPr="00B6039A" w:rsidRDefault="004373FE" w:rsidP="007601C3">
            <w:pPr>
              <w:ind w:left="29" w:firstLine="8"/>
            </w:pPr>
          </w:p>
        </w:tc>
        <w:tc>
          <w:tcPr>
            <w:tcW w:w="3687" w:type="dxa"/>
          </w:tcPr>
          <w:p w14:paraId="66F0ED00" w14:textId="77777777" w:rsidR="004373FE" w:rsidRPr="00B6039A" w:rsidRDefault="004373FE" w:rsidP="00EE0D9D">
            <w:pPr>
              <w:pStyle w:val="ListParagraph"/>
              <w:numPr>
                <w:ilvl w:val="0"/>
                <w:numId w:val="1"/>
              </w:numPr>
              <w:ind w:left="455"/>
            </w:pPr>
            <w:r w:rsidRPr="00B6039A">
              <w:t xml:space="preserve">Increase the flexibility in the requirement to review and </w:t>
            </w:r>
            <w:r w:rsidRPr="00B6039A">
              <w:lastRenderedPageBreak/>
              <w:t>renew Temporary Additional Support when assessments relate to housing costs, with reviews between 3 and 12 months tailored to individual circumstances, and accordingly rename, such as ‘Tailored Additional Support’.</w:t>
            </w:r>
          </w:p>
        </w:tc>
        <w:tc>
          <w:tcPr>
            <w:tcW w:w="1133" w:type="dxa"/>
            <w:vMerge/>
          </w:tcPr>
          <w:p w14:paraId="43C10ECA" w14:textId="77777777" w:rsidR="004373FE" w:rsidRPr="00B6039A" w:rsidRDefault="004373FE" w:rsidP="00DA296E"/>
        </w:tc>
        <w:tc>
          <w:tcPr>
            <w:tcW w:w="3337" w:type="dxa"/>
            <w:vMerge/>
          </w:tcPr>
          <w:p w14:paraId="60612389" w14:textId="77777777" w:rsidR="004373FE" w:rsidRPr="00B6039A" w:rsidRDefault="004373FE" w:rsidP="005C7983">
            <w:pPr>
              <w:ind w:left="178" w:hanging="92"/>
            </w:pPr>
          </w:p>
        </w:tc>
        <w:tc>
          <w:tcPr>
            <w:tcW w:w="3467" w:type="dxa"/>
            <w:shd w:val="clear" w:color="auto" w:fill="FFA5A5"/>
          </w:tcPr>
          <w:p w14:paraId="099D3BE7" w14:textId="2E953D80" w:rsidR="004373FE" w:rsidRPr="00B6039A" w:rsidRDefault="005E1481" w:rsidP="00DA296E">
            <w:r w:rsidRPr="00B6039A">
              <w:t>No evidence of implementation.</w:t>
            </w:r>
          </w:p>
        </w:tc>
      </w:tr>
      <w:tr w:rsidR="004373FE" w:rsidRPr="00B6039A" w14:paraId="5ECF50C4" w14:textId="77777777" w:rsidTr="00AD5309">
        <w:trPr>
          <w:trHeight w:val="87"/>
        </w:trPr>
        <w:tc>
          <w:tcPr>
            <w:tcW w:w="1838" w:type="dxa"/>
            <w:vMerge/>
          </w:tcPr>
          <w:p w14:paraId="2948DDDD" w14:textId="77777777" w:rsidR="004373FE" w:rsidRPr="00B6039A" w:rsidRDefault="004373FE" w:rsidP="007601C3">
            <w:pPr>
              <w:ind w:left="29" w:firstLine="8"/>
            </w:pPr>
          </w:p>
        </w:tc>
        <w:tc>
          <w:tcPr>
            <w:tcW w:w="3687" w:type="dxa"/>
          </w:tcPr>
          <w:p w14:paraId="6B742626" w14:textId="77777777" w:rsidR="004373FE" w:rsidRPr="00B6039A" w:rsidRDefault="004373FE" w:rsidP="00EE0D9D">
            <w:pPr>
              <w:pStyle w:val="ListParagraph"/>
              <w:numPr>
                <w:ilvl w:val="0"/>
                <w:numId w:val="1"/>
              </w:numPr>
              <w:ind w:left="455"/>
            </w:pPr>
            <w:r w:rsidRPr="00B6039A">
              <w:t>Ensure the combination of changes to housing support and abatement rates, alongside other income support, make low- and low–middle income households substantially better off.</w:t>
            </w:r>
          </w:p>
        </w:tc>
        <w:tc>
          <w:tcPr>
            <w:tcW w:w="1133" w:type="dxa"/>
            <w:vMerge/>
          </w:tcPr>
          <w:p w14:paraId="61E868DA" w14:textId="77777777" w:rsidR="004373FE" w:rsidRPr="00B6039A" w:rsidRDefault="004373FE" w:rsidP="00DA296E"/>
        </w:tc>
        <w:tc>
          <w:tcPr>
            <w:tcW w:w="3337" w:type="dxa"/>
            <w:vMerge/>
          </w:tcPr>
          <w:p w14:paraId="2C0B6683" w14:textId="77777777" w:rsidR="004373FE" w:rsidRPr="00B6039A" w:rsidRDefault="004373FE" w:rsidP="005C7983">
            <w:pPr>
              <w:ind w:left="178" w:hanging="92"/>
            </w:pPr>
          </w:p>
        </w:tc>
        <w:tc>
          <w:tcPr>
            <w:tcW w:w="3467" w:type="dxa"/>
            <w:shd w:val="clear" w:color="auto" w:fill="FFA5A5"/>
          </w:tcPr>
          <w:p w14:paraId="4C6877F8" w14:textId="7726362F" w:rsidR="004373FE" w:rsidRPr="00B6039A" w:rsidRDefault="005E1481" w:rsidP="00DA296E">
            <w:r w:rsidRPr="00B6039A">
              <w:t>No evidence of implementation.</w:t>
            </w:r>
          </w:p>
        </w:tc>
      </w:tr>
      <w:tr w:rsidR="004373FE" w:rsidRPr="00B6039A" w14:paraId="4134D621" w14:textId="77777777" w:rsidTr="00AD5309">
        <w:trPr>
          <w:trHeight w:val="183"/>
        </w:trPr>
        <w:tc>
          <w:tcPr>
            <w:tcW w:w="1838" w:type="dxa"/>
            <w:vMerge w:val="restart"/>
          </w:tcPr>
          <w:p w14:paraId="525A49B7" w14:textId="77777777" w:rsidR="004373FE" w:rsidRPr="00B6039A" w:rsidRDefault="004373FE" w:rsidP="007601C3">
            <w:pPr>
              <w:ind w:left="29" w:firstLine="8"/>
            </w:pPr>
            <w:r w:rsidRPr="00B6039A">
              <w:rPr>
                <w:rFonts w:ascii="Calibri" w:hAnsi="Calibri" w:cs="Calibri"/>
                <w:bCs/>
                <w:color w:val="000000"/>
              </w:rPr>
              <w:t>Government to undertake further work</w:t>
            </w:r>
          </w:p>
        </w:tc>
        <w:tc>
          <w:tcPr>
            <w:tcW w:w="3687" w:type="dxa"/>
          </w:tcPr>
          <w:p w14:paraId="6CCADB80" w14:textId="77777777" w:rsidR="004373FE" w:rsidRPr="00B6039A" w:rsidRDefault="004373FE" w:rsidP="00EE0D9D">
            <w:pPr>
              <w:pStyle w:val="ListParagraph"/>
              <w:numPr>
                <w:ilvl w:val="0"/>
                <w:numId w:val="1"/>
              </w:numPr>
              <w:ind w:left="455"/>
            </w:pPr>
            <w:r w:rsidRPr="00B6039A">
              <w:t>Determine the impact on low-income households of maintaining levels of Accommodation Supplement for a reasonable period for beneficiaries who move into full-time work, so they are well supported to remain in work and able to clear debts and build savings, similar to the recommendation on income-related rent subsidy.</w:t>
            </w:r>
          </w:p>
        </w:tc>
        <w:tc>
          <w:tcPr>
            <w:tcW w:w="1133" w:type="dxa"/>
            <w:vMerge w:val="restart"/>
          </w:tcPr>
          <w:p w14:paraId="3D53BE87" w14:textId="37A90367" w:rsidR="004373FE" w:rsidRPr="00B6039A" w:rsidRDefault="00112B50" w:rsidP="00DA296E">
            <w:r w:rsidRPr="00B6039A">
              <w:t>Ch</w:t>
            </w:r>
            <w:r w:rsidR="004373FE" w:rsidRPr="00B6039A">
              <w:t xml:space="preserve"> 8</w:t>
            </w:r>
          </w:p>
        </w:tc>
        <w:tc>
          <w:tcPr>
            <w:tcW w:w="3337" w:type="dxa"/>
            <w:vMerge w:val="restart"/>
          </w:tcPr>
          <w:p w14:paraId="50C112CA" w14:textId="77777777" w:rsidR="004373FE" w:rsidRPr="00B6039A" w:rsidRDefault="004373FE" w:rsidP="005C7983">
            <w:pPr>
              <w:ind w:left="178" w:hanging="92"/>
            </w:pPr>
            <w:r w:rsidRPr="00B6039A">
              <w:t xml:space="preserve">As stated above, reviewing housing subsidies is part of the Government’s longer-term work plan. There have been no Government announcements specific to these Detailed Recommendations. </w:t>
            </w:r>
          </w:p>
        </w:tc>
        <w:tc>
          <w:tcPr>
            <w:tcW w:w="3467" w:type="dxa"/>
            <w:shd w:val="clear" w:color="auto" w:fill="FFA5A5"/>
          </w:tcPr>
          <w:p w14:paraId="19FAAFBE" w14:textId="7894F277" w:rsidR="004373FE" w:rsidRPr="00B6039A" w:rsidRDefault="005E1481" w:rsidP="00DA296E">
            <w:r w:rsidRPr="00B6039A">
              <w:t>No evidence of implementation.</w:t>
            </w:r>
          </w:p>
        </w:tc>
      </w:tr>
      <w:tr w:rsidR="004373FE" w:rsidRPr="00B6039A" w14:paraId="72193E2C" w14:textId="77777777" w:rsidTr="00AD5309">
        <w:trPr>
          <w:trHeight w:val="183"/>
        </w:trPr>
        <w:tc>
          <w:tcPr>
            <w:tcW w:w="1838" w:type="dxa"/>
            <w:vMerge/>
          </w:tcPr>
          <w:p w14:paraId="23077C1E" w14:textId="77777777" w:rsidR="004373FE" w:rsidRPr="00B6039A" w:rsidRDefault="004373FE" w:rsidP="007601C3">
            <w:pPr>
              <w:ind w:left="29" w:firstLine="8"/>
              <w:rPr>
                <w:rFonts w:ascii="Calibri" w:hAnsi="Calibri" w:cs="Calibri"/>
                <w:bCs/>
                <w:color w:val="000000"/>
              </w:rPr>
            </w:pPr>
          </w:p>
        </w:tc>
        <w:tc>
          <w:tcPr>
            <w:tcW w:w="3687" w:type="dxa"/>
          </w:tcPr>
          <w:p w14:paraId="7131535A" w14:textId="77777777" w:rsidR="004373FE" w:rsidRPr="00B6039A" w:rsidRDefault="004373FE" w:rsidP="00EE0D9D">
            <w:pPr>
              <w:pStyle w:val="ListParagraph"/>
              <w:numPr>
                <w:ilvl w:val="0"/>
                <w:numId w:val="1"/>
              </w:numPr>
              <w:ind w:left="455"/>
            </w:pPr>
            <w:r w:rsidRPr="00B6039A">
              <w:t xml:space="preserve">Change the way Accommodation Supplement payments are calculated to move away from family size to being based on the number of bedrooms, including allowing bedroom space for a disability support person and for </w:t>
            </w:r>
            <w:r w:rsidRPr="00B6039A">
              <w:lastRenderedPageBreak/>
              <w:t>children in shared custody, and determine the impact of this change on low-income households.</w:t>
            </w:r>
          </w:p>
        </w:tc>
        <w:tc>
          <w:tcPr>
            <w:tcW w:w="1133" w:type="dxa"/>
            <w:vMerge/>
          </w:tcPr>
          <w:p w14:paraId="0C579657" w14:textId="77777777" w:rsidR="004373FE" w:rsidRPr="00B6039A" w:rsidRDefault="004373FE" w:rsidP="00DA296E"/>
        </w:tc>
        <w:tc>
          <w:tcPr>
            <w:tcW w:w="3337" w:type="dxa"/>
            <w:vMerge/>
          </w:tcPr>
          <w:p w14:paraId="172F37CA" w14:textId="77777777" w:rsidR="004373FE" w:rsidRPr="00B6039A" w:rsidRDefault="004373FE" w:rsidP="005C7983">
            <w:pPr>
              <w:ind w:left="178" w:hanging="92"/>
            </w:pPr>
          </w:p>
        </w:tc>
        <w:tc>
          <w:tcPr>
            <w:tcW w:w="3467" w:type="dxa"/>
            <w:shd w:val="clear" w:color="auto" w:fill="FFA5A5"/>
          </w:tcPr>
          <w:p w14:paraId="097BEBFF" w14:textId="382692B1" w:rsidR="004373FE" w:rsidRPr="00B6039A" w:rsidRDefault="005E1481" w:rsidP="00DA296E">
            <w:r w:rsidRPr="00B6039A">
              <w:t>No evidence of implementation.</w:t>
            </w:r>
          </w:p>
        </w:tc>
      </w:tr>
      <w:tr w:rsidR="004373FE" w:rsidRPr="00B6039A" w14:paraId="68228102" w14:textId="77777777" w:rsidTr="00AD5309">
        <w:trPr>
          <w:trHeight w:val="183"/>
        </w:trPr>
        <w:tc>
          <w:tcPr>
            <w:tcW w:w="1838" w:type="dxa"/>
            <w:vMerge/>
          </w:tcPr>
          <w:p w14:paraId="4D730217" w14:textId="77777777" w:rsidR="004373FE" w:rsidRPr="00B6039A" w:rsidRDefault="004373FE" w:rsidP="007601C3">
            <w:pPr>
              <w:ind w:left="29" w:firstLine="8"/>
              <w:rPr>
                <w:rFonts w:ascii="Calibri" w:hAnsi="Calibri" w:cs="Calibri"/>
                <w:bCs/>
                <w:color w:val="000000"/>
              </w:rPr>
            </w:pPr>
          </w:p>
        </w:tc>
        <w:tc>
          <w:tcPr>
            <w:tcW w:w="3687" w:type="dxa"/>
          </w:tcPr>
          <w:p w14:paraId="5023F99B" w14:textId="77777777" w:rsidR="004373FE" w:rsidRPr="00B6039A" w:rsidRDefault="004373FE" w:rsidP="00EE0D9D">
            <w:pPr>
              <w:pStyle w:val="ListParagraph"/>
              <w:numPr>
                <w:ilvl w:val="0"/>
                <w:numId w:val="1"/>
              </w:numPr>
              <w:ind w:left="455"/>
            </w:pPr>
            <w:r w:rsidRPr="00B6039A">
              <w:t>Review the level of the cash asset limit for the income-related rent subsidy and Accommodation Supplement, to maintain the principle that it allows people to save for a mortgage deposit for a median-priced house.</w:t>
            </w:r>
          </w:p>
          <w:p w14:paraId="0F2B9391" w14:textId="77777777" w:rsidR="004373FE" w:rsidRPr="00B6039A" w:rsidRDefault="004373FE" w:rsidP="00EE0D9D">
            <w:pPr>
              <w:tabs>
                <w:tab w:val="left" w:pos="1186"/>
              </w:tabs>
              <w:ind w:left="455"/>
            </w:pPr>
          </w:p>
        </w:tc>
        <w:tc>
          <w:tcPr>
            <w:tcW w:w="1133" w:type="dxa"/>
            <w:vMerge/>
          </w:tcPr>
          <w:p w14:paraId="15C8D681" w14:textId="77777777" w:rsidR="004373FE" w:rsidRPr="00B6039A" w:rsidRDefault="004373FE" w:rsidP="00DA296E"/>
        </w:tc>
        <w:tc>
          <w:tcPr>
            <w:tcW w:w="3337" w:type="dxa"/>
            <w:vMerge/>
          </w:tcPr>
          <w:p w14:paraId="54D9C883" w14:textId="77777777" w:rsidR="004373FE" w:rsidRPr="00B6039A" w:rsidRDefault="004373FE" w:rsidP="005C7983">
            <w:pPr>
              <w:ind w:left="178" w:hanging="92"/>
            </w:pPr>
          </w:p>
        </w:tc>
        <w:tc>
          <w:tcPr>
            <w:tcW w:w="3467" w:type="dxa"/>
            <w:shd w:val="clear" w:color="auto" w:fill="FFA5A5"/>
          </w:tcPr>
          <w:p w14:paraId="41EE2587" w14:textId="5008C95C" w:rsidR="004373FE" w:rsidRPr="00B6039A" w:rsidRDefault="005E1481" w:rsidP="00DA296E">
            <w:r w:rsidRPr="00B6039A">
              <w:t>No evidence of implementation.</w:t>
            </w:r>
          </w:p>
        </w:tc>
      </w:tr>
      <w:tr w:rsidR="004373FE" w:rsidRPr="00B6039A" w14:paraId="4A24B104" w14:textId="77777777" w:rsidTr="00AD5309">
        <w:trPr>
          <w:trHeight w:val="183"/>
        </w:trPr>
        <w:tc>
          <w:tcPr>
            <w:tcW w:w="1838" w:type="dxa"/>
            <w:vMerge/>
          </w:tcPr>
          <w:p w14:paraId="0EBC292F" w14:textId="77777777" w:rsidR="004373FE" w:rsidRPr="00B6039A" w:rsidRDefault="004373FE" w:rsidP="007601C3">
            <w:pPr>
              <w:ind w:left="29" w:firstLine="8"/>
              <w:rPr>
                <w:rFonts w:ascii="Calibri" w:hAnsi="Calibri" w:cs="Calibri"/>
                <w:bCs/>
                <w:color w:val="000000"/>
              </w:rPr>
            </w:pPr>
          </w:p>
        </w:tc>
        <w:tc>
          <w:tcPr>
            <w:tcW w:w="3687" w:type="dxa"/>
          </w:tcPr>
          <w:p w14:paraId="6384A26D" w14:textId="77777777" w:rsidR="004373FE" w:rsidRPr="00B6039A" w:rsidRDefault="004373FE" w:rsidP="00EE0D9D">
            <w:pPr>
              <w:pStyle w:val="ListParagraph"/>
              <w:numPr>
                <w:ilvl w:val="0"/>
                <w:numId w:val="1"/>
              </w:numPr>
              <w:ind w:left="455"/>
            </w:pPr>
            <w:r w:rsidRPr="00B6039A">
              <w:t>Review, as the supply-side measures increase and affordability improves, the roles of MSD, Housing New Zealand and the Ministry of Housing and Urban Development to consider whether an integrated, single-agency approach to housing might be preferable.</w:t>
            </w:r>
          </w:p>
        </w:tc>
        <w:tc>
          <w:tcPr>
            <w:tcW w:w="1133" w:type="dxa"/>
            <w:vMerge/>
          </w:tcPr>
          <w:p w14:paraId="72580BD5" w14:textId="77777777" w:rsidR="004373FE" w:rsidRPr="00B6039A" w:rsidRDefault="004373FE" w:rsidP="00DA296E"/>
        </w:tc>
        <w:tc>
          <w:tcPr>
            <w:tcW w:w="3337" w:type="dxa"/>
            <w:vMerge/>
          </w:tcPr>
          <w:p w14:paraId="36CADB39" w14:textId="77777777" w:rsidR="004373FE" w:rsidRPr="00B6039A" w:rsidRDefault="004373FE" w:rsidP="005C7983">
            <w:pPr>
              <w:ind w:left="178" w:hanging="92"/>
            </w:pPr>
          </w:p>
        </w:tc>
        <w:tc>
          <w:tcPr>
            <w:tcW w:w="3467" w:type="dxa"/>
            <w:shd w:val="clear" w:color="auto" w:fill="FFA5A5"/>
          </w:tcPr>
          <w:p w14:paraId="1F48E277" w14:textId="336EB66F" w:rsidR="004373FE" w:rsidRPr="00B6039A" w:rsidRDefault="005E1481" w:rsidP="00DA296E">
            <w:r w:rsidRPr="00B6039A">
              <w:t>No evidence of implementation.</w:t>
            </w:r>
          </w:p>
        </w:tc>
      </w:tr>
      <w:tr w:rsidR="004373FE" w:rsidRPr="00B6039A" w14:paraId="4624192A" w14:textId="77777777" w:rsidTr="00AD5309">
        <w:trPr>
          <w:trHeight w:val="183"/>
        </w:trPr>
        <w:tc>
          <w:tcPr>
            <w:tcW w:w="1838" w:type="dxa"/>
            <w:vMerge/>
          </w:tcPr>
          <w:p w14:paraId="7CA7D2B9" w14:textId="77777777" w:rsidR="004373FE" w:rsidRPr="00B6039A" w:rsidRDefault="004373FE" w:rsidP="007601C3">
            <w:pPr>
              <w:ind w:left="29" w:firstLine="8"/>
              <w:rPr>
                <w:rFonts w:ascii="Calibri" w:hAnsi="Calibri" w:cs="Calibri"/>
                <w:bCs/>
                <w:color w:val="000000"/>
              </w:rPr>
            </w:pPr>
          </w:p>
        </w:tc>
        <w:tc>
          <w:tcPr>
            <w:tcW w:w="3687" w:type="dxa"/>
          </w:tcPr>
          <w:p w14:paraId="4D4BEF1A" w14:textId="77777777" w:rsidR="004373FE" w:rsidRPr="00B6039A" w:rsidRDefault="004373FE" w:rsidP="00EE0D9D">
            <w:pPr>
              <w:pStyle w:val="ListParagraph"/>
              <w:numPr>
                <w:ilvl w:val="0"/>
                <w:numId w:val="1"/>
              </w:numPr>
              <w:ind w:left="455"/>
            </w:pPr>
            <w:r w:rsidRPr="00B6039A">
              <w:t>Review the housing assessment and allocation process so there is an appropriate balance between placing locals waiting to be housed and high-needs households from outside the region.</w:t>
            </w:r>
          </w:p>
        </w:tc>
        <w:tc>
          <w:tcPr>
            <w:tcW w:w="1133" w:type="dxa"/>
            <w:vMerge/>
          </w:tcPr>
          <w:p w14:paraId="7520A7DC" w14:textId="77777777" w:rsidR="004373FE" w:rsidRPr="00B6039A" w:rsidRDefault="004373FE" w:rsidP="00DA296E"/>
        </w:tc>
        <w:tc>
          <w:tcPr>
            <w:tcW w:w="3337" w:type="dxa"/>
            <w:vMerge/>
          </w:tcPr>
          <w:p w14:paraId="00D4A6F3" w14:textId="77777777" w:rsidR="004373FE" w:rsidRPr="00B6039A" w:rsidRDefault="004373FE" w:rsidP="005C7983">
            <w:pPr>
              <w:ind w:left="178" w:hanging="92"/>
            </w:pPr>
          </w:p>
        </w:tc>
        <w:tc>
          <w:tcPr>
            <w:tcW w:w="3467" w:type="dxa"/>
            <w:shd w:val="clear" w:color="auto" w:fill="FFA5A5"/>
          </w:tcPr>
          <w:p w14:paraId="79156DD9" w14:textId="3BD2A212" w:rsidR="004373FE" w:rsidRPr="00B6039A" w:rsidRDefault="005E1481" w:rsidP="00DA296E">
            <w:r w:rsidRPr="00B6039A">
              <w:t>No evidence of implementation.</w:t>
            </w:r>
          </w:p>
        </w:tc>
      </w:tr>
      <w:tr w:rsidR="004373FE" w:rsidRPr="00B6039A" w14:paraId="34F90937" w14:textId="77777777" w:rsidTr="00AD5309">
        <w:trPr>
          <w:trHeight w:val="605"/>
        </w:trPr>
        <w:tc>
          <w:tcPr>
            <w:tcW w:w="1838" w:type="dxa"/>
            <w:vMerge w:val="restart"/>
          </w:tcPr>
          <w:p w14:paraId="71E644E2"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Home ownership and tenure options and</w:t>
            </w:r>
          </w:p>
          <w:p w14:paraId="29ED9022"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ending homelessness</w:t>
            </w:r>
          </w:p>
        </w:tc>
        <w:tc>
          <w:tcPr>
            <w:tcW w:w="3687" w:type="dxa"/>
          </w:tcPr>
          <w:p w14:paraId="19BF2FE9" w14:textId="77777777" w:rsidR="004373FE" w:rsidRPr="00B6039A" w:rsidRDefault="004373FE" w:rsidP="00EE0D9D">
            <w:pPr>
              <w:pStyle w:val="ListParagraph"/>
              <w:numPr>
                <w:ilvl w:val="0"/>
                <w:numId w:val="1"/>
              </w:numPr>
              <w:ind w:left="455"/>
            </w:pPr>
            <w:r w:rsidRPr="00B6039A">
              <w:t xml:space="preserve">Consider facilitating innovative thinking and action to increase home ownership through rent-to-buy schemes, shared equity schemes, low-interest rate loans </w:t>
            </w:r>
            <w:r w:rsidRPr="00B6039A">
              <w:lastRenderedPageBreak/>
              <w:t>or fixed mortgages, microfinancing and similar</w:t>
            </w:r>
          </w:p>
        </w:tc>
        <w:tc>
          <w:tcPr>
            <w:tcW w:w="1133" w:type="dxa"/>
            <w:vMerge w:val="restart"/>
          </w:tcPr>
          <w:p w14:paraId="569DC307" w14:textId="5BEA5A81" w:rsidR="004373FE" w:rsidRPr="00B6039A" w:rsidRDefault="004373FE" w:rsidP="00DA296E">
            <w:r w:rsidRPr="00B6039A">
              <w:lastRenderedPageBreak/>
              <w:t xml:space="preserve">Key </w:t>
            </w:r>
            <w:r w:rsidR="00112B50" w:rsidRPr="00B6039A">
              <w:t>Recs</w:t>
            </w:r>
            <w:r w:rsidRPr="00B6039A">
              <w:t xml:space="preserve"> 30, 31 and </w:t>
            </w:r>
            <w:r w:rsidRPr="00B6039A">
              <w:lastRenderedPageBreak/>
              <w:t xml:space="preserve">34; </w:t>
            </w:r>
            <w:r w:rsidR="00112B50" w:rsidRPr="00B6039A">
              <w:t>Ch</w:t>
            </w:r>
            <w:r w:rsidRPr="00B6039A">
              <w:t xml:space="preserve"> 8</w:t>
            </w:r>
          </w:p>
        </w:tc>
        <w:tc>
          <w:tcPr>
            <w:tcW w:w="3337" w:type="dxa"/>
            <w:vMerge w:val="restart"/>
          </w:tcPr>
          <w:p w14:paraId="7D4FC505" w14:textId="77777777" w:rsidR="004373FE" w:rsidRPr="00B6039A" w:rsidRDefault="004373FE" w:rsidP="005C7983">
            <w:pPr>
              <w:ind w:left="178" w:hanging="92"/>
            </w:pPr>
            <w:r w:rsidRPr="00B6039A">
              <w:lastRenderedPageBreak/>
              <w:t xml:space="preserve">The Government has stated that partial implementation of Key Recommendation 30 – that homeownership and tenure options for those on lower </w:t>
            </w:r>
            <w:r w:rsidRPr="00B6039A">
              <w:lastRenderedPageBreak/>
              <w:t>incomes are increased – is being actively considered.</w:t>
            </w:r>
            <w:r w:rsidRPr="00B6039A">
              <w:rPr>
                <w:rStyle w:val="FootnoteReference"/>
              </w:rPr>
              <w:footnoteReference w:id="146"/>
            </w:r>
          </w:p>
          <w:p w14:paraId="78465D14" w14:textId="77777777" w:rsidR="004373FE" w:rsidRPr="00B6039A" w:rsidRDefault="004373FE" w:rsidP="005C7983">
            <w:pPr>
              <w:ind w:left="178" w:hanging="92"/>
            </w:pPr>
          </w:p>
          <w:p w14:paraId="3E6DC9AB" w14:textId="77777777" w:rsidR="004373FE" w:rsidRPr="00B6039A" w:rsidRDefault="004373FE" w:rsidP="005C7983">
            <w:pPr>
              <w:ind w:left="178" w:hanging="92"/>
            </w:pPr>
            <w:r w:rsidRPr="00B6039A">
              <w:t xml:space="preserve">In 2020, the Government launched a $400 million Progressive Home Ownership Fund to help between 1,500 and 4,000 families buy their own homes, with the specific aim to address affordability for Māori, Pacific peoples, and families with children.  </w:t>
            </w:r>
          </w:p>
        </w:tc>
        <w:tc>
          <w:tcPr>
            <w:tcW w:w="3467" w:type="dxa"/>
            <w:shd w:val="clear" w:color="auto" w:fill="FFE599" w:themeFill="accent4" w:themeFillTint="66"/>
          </w:tcPr>
          <w:p w14:paraId="14DE7346" w14:textId="77777777" w:rsidR="004373FE" w:rsidRPr="00B6039A" w:rsidRDefault="004373FE" w:rsidP="00DA296E">
            <w:r w:rsidRPr="00B6039A">
              <w:lastRenderedPageBreak/>
              <w:t xml:space="preserve">Partial implementation of Detailed Recommendation 85 noted through the Progressive Home Ownership Fund. </w:t>
            </w:r>
          </w:p>
        </w:tc>
      </w:tr>
      <w:tr w:rsidR="004373FE" w:rsidRPr="00B6039A" w14:paraId="1345C8A2" w14:textId="77777777" w:rsidTr="00AD5309">
        <w:trPr>
          <w:trHeight w:val="604"/>
        </w:trPr>
        <w:tc>
          <w:tcPr>
            <w:tcW w:w="1838" w:type="dxa"/>
            <w:vMerge/>
          </w:tcPr>
          <w:p w14:paraId="50E35314" w14:textId="77777777" w:rsidR="004373FE" w:rsidRPr="00B6039A" w:rsidRDefault="004373FE" w:rsidP="007601C3">
            <w:pPr>
              <w:ind w:left="29" w:firstLine="8"/>
              <w:rPr>
                <w:rFonts w:ascii="Calibri" w:hAnsi="Calibri" w:cs="Calibri"/>
                <w:bCs/>
                <w:color w:val="000000"/>
              </w:rPr>
            </w:pPr>
          </w:p>
        </w:tc>
        <w:tc>
          <w:tcPr>
            <w:tcW w:w="3687" w:type="dxa"/>
          </w:tcPr>
          <w:p w14:paraId="3BF706C6" w14:textId="77777777" w:rsidR="004373FE" w:rsidRPr="00B6039A" w:rsidRDefault="004373FE" w:rsidP="00EE0D9D">
            <w:pPr>
              <w:pStyle w:val="ListParagraph"/>
              <w:numPr>
                <w:ilvl w:val="0"/>
                <w:numId w:val="1"/>
              </w:numPr>
              <w:ind w:left="455"/>
            </w:pPr>
            <w:r w:rsidRPr="00B6039A">
              <w:t>Request Housing New Zealand to develop affordable options for tenants to purchase their state house.</w:t>
            </w:r>
          </w:p>
        </w:tc>
        <w:tc>
          <w:tcPr>
            <w:tcW w:w="1133" w:type="dxa"/>
            <w:vMerge/>
          </w:tcPr>
          <w:p w14:paraId="0ECBB1F9" w14:textId="77777777" w:rsidR="004373FE" w:rsidRPr="00B6039A" w:rsidRDefault="004373FE" w:rsidP="00DA296E"/>
        </w:tc>
        <w:tc>
          <w:tcPr>
            <w:tcW w:w="3337" w:type="dxa"/>
            <w:vMerge/>
          </w:tcPr>
          <w:p w14:paraId="37776158" w14:textId="77777777" w:rsidR="004373FE" w:rsidRPr="00B6039A" w:rsidRDefault="004373FE" w:rsidP="005C7983">
            <w:pPr>
              <w:ind w:left="178" w:hanging="92"/>
            </w:pPr>
          </w:p>
        </w:tc>
        <w:tc>
          <w:tcPr>
            <w:tcW w:w="3467" w:type="dxa"/>
            <w:shd w:val="clear" w:color="auto" w:fill="FFA5A5"/>
          </w:tcPr>
          <w:p w14:paraId="79DE362C" w14:textId="15DDB06A" w:rsidR="004373FE" w:rsidRPr="00B6039A" w:rsidRDefault="005E1481" w:rsidP="001719DC">
            <w:r w:rsidRPr="00B6039A">
              <w:t>No evidence of implementation.</w:t>
            </w:r>
          </w:p>
          <w:p w14:paraId="5CD12194" w14:textId="77777777" w:rsidR="004373FE" w:rsidRPr="00B6039A" w:rsidRDefault="004373FE" w:rsidP="001719DC"/>
          <w:p w14:paraId="5E0224AC" w14:textId="77777777" w:rsidR="004373FE" w:rsidRPr="00B6039A" w:rsidRDefault="004373FE" w:rsidP="001719DC">
            <w:pPr>
              <w:ind w:left="95" w:hanging="9"/>
            </w:pPr>
            <w:r w:rsidRPr="00B6039A">
              <w:t xml:space="preserve">Since 2015 a Tenant Home Ownership scheme has been in place that offers a grant of 10 percent, up to a maximum of $20,000, towards the purchase price of selected </w:t>
            </w:r>
            <w:proofErr w:type="spellStart"/>
            <w:r w:rsidRPr="00B6039A">
              <w:t>Kāinga</w:t>
            </w:r>
            <w:proofErr w:type="spellEnd"/>
            <w:r w:rsidRPr="00B6039A">
              <w:t xml:space="preserve"> Ora houses, excluding those in Auckland, Wellington, Christchurch, Hamilton and Tauranga.</w:t>
            </w:r>
            <w:r w:rsidRPr="00B6039A">
              <w:rPr>
                <w:rStyle w:val="FootnoteReference"/>
              </w:rPr>
              <w:footnoteReference w:id="147"/>
            </w:r>
          </w:p>
        </w:tc>
      </w:tr>
      <w:tr w:rsidR="004373FE" w:rsidRPr="00B6039A" w14:paraId="653977D5" w14:textId="77777777" w:rsidTr="00AD5309">
        <w:trPr>
          <w:trHeight w:val="604"/>
        </w:trPr>
        <w:tc>
          <w:tcPr>
            <w:tcW w:w="1838" w:type="dxa"/>
            <w:vMerge/>
          </w:tcPr>
          <w:p w14:paraId="772EA2C6" w14:textId="77777777" w:rsidR="004373FE" w:rsidRPr="00B6039A" w:rsidRDefault="004373FE" w:rsidP="007601C3">
            <w:pPr>
              <w:ind w:left="29" w:firstLine="8"/>
              <w:rPr>
                <w:rFonts w:ascii="Calibri" w:hAnsi="Calibri" w:cs="Calibri"/>
                <w:bCs/>
                <w:color w:val="000000"/>
              </w:rPr>
            </w:pPr>
          </w:p>
        </w:tc>
        <w:tc>
          <w:tcPr>
            <w:tcW w:w="3687" w:type="dxa"/>
          </w:tcPr>
          <w:p w14:paraId="53278169" w14:textId="77777777" w:rsidR="004373FE" w:rsidRPr="00B6039A" w:rsidRDefault="004373FE" w:rsidP="00EE0D9D">
            <w:pPr>
              <w:pStyle w:val="ListParagraph"/>
              <w:numPr>
                <w:ilvl w:val="0"/>
                <w:numId w:val="1"/>
              </w:numPr>
              <w:ind w:left="455"/>
            </w:pPr>
            <w:r w:rsidRPr="00B6039A">
              <w:t xml:space="preserve">These approaches must be based on achieving equity in housing outcomes, including ownership, for Māori and Pacific People. This should result in culturally appropriate rental and ownership housing, including household size and function, and include </w:t>
            </w:r>
            <w:proofErr w:type="spellStart"/>
            <w:r w:rsidRPr="00B6039A">
              <w:t>papakāinga</w:t>
            </w:r>
            <w:proofErr w:type="spellEnd"/>
            <w:r w:rsidRPr="00B6039A">
              <w:t xml:space="preserve"> options.</w:t>
            </w:r>
          </w:p>
        </w:tc>
        <w:tc>
          <w:tcPr>
            <w:tcW w:w="1133" w:type="dxa"/>
            <w:vMerge/>
          </w:tcPr>
          <w:p w14:paraId="2D9C802C" w14:textId="77777777" w:rsidR="004373FE" w:rsidRPr="00B6039A" w:rsidRDefault="004373FE" w:rsidP="00DA296E"/>
        </w:tc>
        <w:tc>
          <w:tcPr>
            <w:tcW w:w="3337" w:type="dxa"/>
            <w:vMerge/>
          </w:tcPr>
          <w:p w14:paraId="67EDE875" w14:textId="77777777" w:rsidR="004373FE" w:rsidRPr="00B6039A" w:rsidRDefault="004373FE" w:rsidP="005C7983">
            <w:pPr>
              <w:ind w:left="178" w:hanging="92"/>
            </w:pPr>
          </w:p>
        </w:tc>
        <w:tc>
          <w:tcPr>
            <w:tcW w:w="3467" w:type="dxa"/>
            <w:shd w:val="clear" w:color="auto" w:fill="FFE599" w:themeFill="accent4" w:themeFillTint="66"/>
          </w:tcPr>
          <w:p w14:paraId="2CFBAD7E" w14:textId="77777777" w:rsidR="004373FE" w:rsidRPr="00B6039A" w:rsidRDefault="004373FE" w:rsidP="00DA296E">
            <w:r w:rsidRPr="00B6039A">
              <w:t>Partial implementation.</w:t>
            </w:r>
          </w:p>
          <w:p w14:paraId="4E3B7E35" w14:textId="77777777" w:rsidR="004373FE" w:rsidRPr="00B6039A" w:rsidRDefault="004373FE" w:rsidP="00DA296E"/>
          <w:p w14:paraId="5B65A360" w14:textId="77777777" w:rsidR="004373FE" w:rsidRPr="00B6039A" w:rsidRDefault="004373FE" w:rsidP="00474692">
            <w:pPr>
              <w:ind w:left="95" w:hanging="9"/>
            </w:pPr>
            <w:r w:rsidRPr="00B6039A">
              <w:t>The Progressive Home Ownership Fund, specifically aims to address affordability for Māori, Pacific peoples and families with children.</w:t>
            </w:r>
          </w:p>
        </w:tc>
      </w:tr>
      <w:tr w:rsidR="004373FE" w:rsidRPr="00B6039A" w14:paraId="1FFBEA40" w14:textId="77777777" w:rsidTr="00AD5309">
        <w:trPr>
          <w:trHeight w:val="183"/>
        </w:trPr>
        <w:tc>
          <w:tcPr>
            <w:tcW w:w="1838" w:type="dxa"/>
            <w:vMerge w:val="restart"/>
          </w:tcPr>
          <w:p w14:paraId="68B71E0A"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An effective employment service</w:t>
            </w:r>
          </w:p>
        </w:tc>
        <w:tc>
          <w:tcPr>
            <w:tcW w:w="3687" w:type="dxa"/>
          </w:tcPr>
          <w:p w14:paraId="5408428B" w14:textId="77777777" w:rsidR="004373FE" w:rsidRPr="00B6039A" w:rsidRDefault="004373FE" w:rsidP="00EE0D9D">
            <w:pPr>
              <w:pStyle w:val="ListParagraph"/>
              <w:numPr>
                <w:ilvl w:val="0"/>
                <w:numId w:val="1"/>
              </w:numPr>
              <w:ind w:left="455"/>
            </w:pPr>
            <w:r w:rsidRPr="00B6039A">
              <w:t xml:space="preserve">Institute a new operating model that provides people at risk of poor labour market outcomes (including Māori, Pacific People, people with health conditions or disabilities, and people whose </w:t>
            </w:r>
            <w:r w:rsidRPr="00B6039A">
              <w:lastRenderedPageBreak/>
              <w:t>jobs have been made redundant) with proactive and sustained support to obtain good, sustainable work.</w:t>
            </w:r>
          </w:p>
        </w:tc>
        <w:tc>
          <w:tcPr>
            <w:tcW w:w="1133" w:type="dxa"/>
            <w:vMerge w:val="restart"/>
          </w:tcPr>
          <w:p w14:paraId="5BEDB153" w14:textId="1597631B" w:rsidR="004373FE" w:rsidRPr="00B6039A" w:rsidRDefault="004373FE" w:rsidP="00DA296E">
            <w:r w:rsidRPr="00B6039A">
              <w:lastRenderedPageBreak/>
              <w:t xml:space="preserve">Key </w:t>
            </w:r>
            <w:r w:rsidR="00112B50" w:rsidRPr="00B6039A">
              <w:t>Recs</w:t>
            </w:r>
            <w:r w:rsidRPr="00B6039A">
              <w:t xml:space="preserve"> 35 and 36; </w:t>
            </w:r>
            <w:r w:rsidR="00112B50" w:rsidRPr="00B6039A">
              <w:t>Ch</w:t>
            </w:r>
            <w:r w:rsidRPr="00B6039A">
              <w:t xml:space="preserve"> 9</w:t>
            </w:r>
          </w:p>
        </w:tc>
        <w:tc>
          <w:tcPr>
            <w:tcW w:w="3337" w:type="dxa"/>
            <w:vMerge w:val="restart"/>
          </w:tcPr>
          <w:p w14:paraId="48B8AD65" w14:textId="0EFCC984" w:rsidR="004373FE" w:rsidRPr="00B6039A" w:rsidRDefault="004373FE" w:rsidP="005C7983">
            <w:pPr>
              <w:ind w:left="178" w:hanging="92"/>
            </w:pPr>
            <w:r w:rsidRPr="00B6039A">
              <w:t>The Government has stated that Key Recommendation 35 is being partial implementation of Key Recommendation 35,</w:t>
            </w:r>
            <w:r w:rsidRPr="00B6039A">
              <w:rPr>
                <w:rStyle w:val="FootnoteReference"/>
              </w:rPr>
              <w:footnoteReference w:id="148"/>
            </w:r>
            <w:r w:rsidRPr="00B6039A">
              <w:t xml:space="preserve"> which calls for establishing an effective employment service of </w:t>
            </w:r>
            <w:r w:rsidRPr="00B6039A">
              <w:lastRenderedPageBreak/>
              <w:t>MSD. The Government has also stated that work is ‘already underway’ to address Key Recommendation 36,</w:t>
            </w:r>
            <w:r w:rsidRPr="00B6039A">
              <w:rPr>
                <w:rStyle w:val="FootnoteReference"/>
              </w:rPr>
              <w:footnoteReference w:id="149"/>
            </w:r>
            <w:r w:rsidRPr="00B6039A">
              <w:t xml:space="preserve"> which calls for a revamp of active labour market, employment and training policies across government. </w:t>
            </w:r>
          </w:p>
          <w:p w14:paraId="6FE0D946" w14:textId="77777777" w:rsidR="004373FE" w:rsidRPr="00B6039A" w:rsidRDefault="004373FE" w:rsidP="005C7983">
            <w:pPr>
              <w:ind w:left="178" w:hanging="92"/>
            </w:pPr>
          </w:p>
          <w:p w14:paraId="1FFC4D9D" w14:textId="77777777" w:rsidR="004373FE" w:rsidRPr="00B6039A" w:rsidRDefault="004373FE" w:rsidP="005C7983">
            <w:pPr>
              <w:ind w:left="178" w:hanging="92"/>
            </w:pPr>
            <w:r w:rsidRPr="00B6039A">
              <w:t>In Budget 2019, the Government announced 263 new frontline staff at MSD with the sole "focus of helping more people into meaningful and sustainable work".</w:t>
            </w:r>
            <w:r w:rsidRPr="00B6039A">
              <w:rPr>
                <w:rStyle w:val="FootnoteReference"/>
              </w:rPr>
              <w:footnoteReference w:id="150"/>
            </w:r>
            <w:r w:rsidRPr="00B6039A">
              <w:t xml:space="preserve"> The Government also announced additional funding to support disabled people and people with health conditions into employment.</w:t>
            </w:r>
            <w:r w:rsidRPr="00B6039A">
              <w:rPr>
                <w:rStyle w:val="FootnoteReference"/>
              </w:rPr>
              <w:footnoteReference w:id="151"/>
            </w:r>
            <w:r w:rsidRPr="00B6039A">
              <w:t xml:space="preserve"> As part of its medium to long-term work programme, the Government has also stated that it will “focus on better supporting people into employment and valuing underpaid work”.</w:t>
            </w:r>
          </w:p>
          <w:p w14:paraId="2D3A4B31" w14:textId="77777777" w:rsidR="004373FE" w:rsidRPr="00B6039A" w:rsidRDefault="004373FE" w:rsidP="005C7983">
            <w:pPr>
              <w:ind w:left="178" w:hanging="92"/>
            </w:pPr>
          </w:p>
        </w:tc>
        <w:tc>
          <w:tcPr>
            <w:tcW w:w="3467" w:type="dxa"/>
            <w:shd w:val="clear" w:color="auto" w:fill="FFE599" w:themeFill="accent4" w:themeFillTint="66"/>
          </w:tcPr>
          <w:p w14:paraId="30635165" w14:textId="77777777" w:rsidR="004373FE" w:rsidRPr="00B6039A" w:rsidRDefault="004373FE" w:rsidP="00DA296E">
            <w:r w:rsidRPr="00B6039A">
              <w:lastRenderedPageBreak/>
              <w:t>Partial implementation.</w:t>
            </w:r>
          </w:p>
          <w:p w14:paraId="6D366B2D" w14:textId="77777777" w:rsidR="004373FE" w:rsidRPr="00B6039A" w:rsidRDefault="004373FE" w:rsidP="00DA296E"/>
          <w:p w14:paraId="5BBA953B" w14:textId="77777777" w:rsidR="004373FE" w:rsidRPr="00B6039A" w:rsidRDefault="004373FE" w:rsidP="00474692">
            <w:pPr>
              <w:ind w:left="95" w:hanging="9"/>
            </w:pPr>
            <w:r w:rsidRPr="00B6039A">
              <w:t xml:space="preserve">Budget 2019 initiatives suggest partial implementation, including additional funding to support people with health conditions and </w:t>
            </w:r>
            <w:r w:rsidRPr="00B6039A">
              <w:lastRenderedPageBreak/>
              <w:t xml:space="preserve">disabled people into employment through </w:t>
            </w:r>
            <w:proofErr w:type="spellStart"/>
            <w:r w:rsidRPr="00B6039A">
              <w:t>Oranga</w:t>
            </w:r>
            <w:proofErr w:type="spellEnd"/>
            <w:r w:rsidRPr="00B6039A">
              <w:t xml:space="preserve"> Mahi, disability Employment Services and Support Funds. </w:t>
            </w:r>
          </w:p>
        </w:tc>
      </w:tr>
      <w:tr w:rsidR="004373FE" w:rsidRPr="00B6039A" w14:paraId="5C142E8A" w14:textId="77777777" w:rsidTr="00AD5309">
        <w:trPr>
          <w:trHeight w:val="183"/>
        </w:trPr>
        <w:tc>
          <w:tcPr>
            <w:tcW w:w="1838" w:type="dxa"/>
            <w:vMerge/>
          </w:tcPr>
          <w:p w14:paraId="1E566FB8" w14:textId="77777777" w:rsidR="004373FE" w:rsidRPr="00B6039A" w:rsidRDefault="004373FE" w:rsidP="007601C3">
            <w:pPr>
              <w:ind w:left="29" w:firstLine="8"/>
              <w:rPr>
                <w:rFonts w:ascii="Calibri" w:hAnsi="Calibri" w:cs="Calibri"/>
                <w:bCs/>
                <w:color w:val="000000"/>
              </w:rPr>
            </w:pPr>
          </w:p>
        </w:tc>
        <w:tc>
          <w:tcPr>
            <w:tcW w:w="3687" w:type="dxa"/>
          </w:tcPr>
          <w:p w14:paraId="7508B0D8" w14:textId="77777777" w:rsidR="004373FE" w:rsidRPr="00B6039A" w:rsidRDefault="004373FE" w:rsidP="00EE0D9D">
            <w:pPr>
              <w:pStyle w:val="ListParagraph"/>
              <w:numPr>
                <w:ilvl w:val="0"/>
                <w:numId w:val="1"/>
              </w:numPr>
              <w:ind w:left="455"/>
            </w:pPr>
            <w:r w:rsidRPr="00B6039A">
              <w:t>Increase significantly investment (with appropriate monitoring and reporting) in active labour market programmes.</w:t>
            </w:r>
          </w:p>
        </w:tc>
        <w:tc>
          <w:tcPr>
            <w:tcW w:w="1133" w:type="dxa"/>
            <w:vMerge/>
          </w:tcPr>
          <w:p w14:paraId="697547DA" w14:textId="77777777" w:rsidR="004373FE" w:rsidRPr="00B6039A" w:rsidRDefault="004373FE" w:rsidP="00DA296E"/>
        </w:tc>
        <w:tc>
          <w:tcPr>
            <w:tcW w:w="3337" w:type="dxa"/>
            <w:vMerge/>
          </w:tcPr>
          <w:p w14:paraId="535259ED" w14:textId="77777777" w:rsidR="004373FE" w:rsidRPr="00B6039A" w:rsidRDefault="004373FE" w:rsidP="00DA296E"/>
        </w:tc>
        <w:tc>
          <w:tcPr>
            <w:tcW w:w="3467" w:type="dxa"/>
            <w:shd w:val="clear" w:color="auto" w:fill="FFA5A5"/>
          </w:tcPr>
          <w:p w14:paraId="1950A9DF" w14:textId="59F3D7BC" w:rsidR="004373FE" w:rsidRPr="00B6039A" w:rsidRDefault="005E1481" w:rsidP="00DA296E">
            <w:r w:rsidRPr="00B6039A">
              <w:t>No evidence of implementation.</w:t>
            </w:r>
          </w:p>
          <w:p w14:paraId="4691A282" w14:textId="77777777" w:rsidR="004373FE" w:rsidRPr="00B6039A" w:rsidRDefault="004373FE" w:rsidP="00DA296E"/>
        </w:tc>
      </w:tr>
      <w:tr w:rsidR="004373FE" w:rsidRPr="00B6039A" w14:paraId="597CDE8A" w14:textId="77777777" w:rsidTr="00AD5309">
        <w:trPr>
          <w:trHeight w:val="183"/>
        </w:trPr>
        <w:tc>
          <w:tcPr>
            <w:tcW w:w="1838" w:type="dxa"/>
            <w:vMerge/>
          </w:tcPr>
          <w:p w14:paraId="0D4A51C2" w14:textId="77777777" w:rsidR="004373FE" w:rsidRPr="00B6039A" w:rsidRDefault="004373FE" w:rsidP="007601C3">
            <w:pPr>
              <w:ind w:left="29" w:firstLine="8"/>
              <w:rPr>
                <w:rFonts w:ascii="Calibri" w:hAnsi="Calibri" w:cs="Calibri"/>
                <w:bCs/>
                <w:color w:val="000000"/>
              </w:rPr>
            </w:pPr>
          </w:p>
        </w:tc>
        <w:tc>
          <w:tcPr>
            <w:tcW w:w="3687" w:type="dxa"/>
          </w:tcPr>
          <w:p w14:paraId="772F28FC" w14:textId="77777777" w:rsidR="004373FE" w:rsidRPr="00B6039A" w:rsidRDefault="004373FE" w:rsidP="00EE0D9D">
            <w:pPr>
              <w:pStyle w:val="ListParagraph"/>
              <w:numPr>
                <w:ilvl w:val="0"/>
                <w:numId w:val="1"/>
              </w:numPr>
              <w:ind w:left="455"/>
            </w:pPr>
            <w:r w:rsidRPr="00B6039A">
              <w:t>Establish a dedicated deputy Chief Executive for employment in MSD.</w:t>
            </w:r>
          </w:p>
        </w:tc>
        <w:tc>
          <w:tcPr>
            <w:tcW w:w="1133" w:type="dxa"/>
            <w:vMerge/>
          </w:tcPr>
          <w:p w14:paraId="67443D83" w14:textId="77777777" w:rsidR="004373FE" w:rsidRPr="00B6039A" w:rsidRDefault="004373FE" w:rsidP="00DA296E"/>
        </w:tc>
        <w:tc>
          <w:tcPr>
            <w:tcW w:w="3337" w:type="dxa"/>
            <w:vMerge/>
          </w:tcPr>
          <w:p w14:paraId="3FF8AF12" w14:textId="77777777" w:rsidR="004373FE" w:rsidRPr="00B6039A" w:rsidRDefault="004373FE" w:rsidP="00DA296E"/>
        </w:tc>
        <w:tc>
          <w:tcPr>
            <w:tcW w:w="3467" w:type="dxa"/>
            <w:shd w:val="clear" w:color="auto" w:fill="FFA5A5"/>
          </w:tcPr>
          <w:p w14:paraId="42610F45" w14:textId="1ED28FFA" w:rsidR="004373FE" w:rsidRPr="00B6039A" w:rsidRDefault="005E1481" w:rsidP="00DA296E">
            <w:r w:rsidRPr="00B6039A">
              <w:t>No evidence of implementation.</w:t>
            </w:r>
          </w:p>
          <w:p w14:paraId="209399B8" w14:textId="77777777" w:rsidR="004373FE" w:rsidRPr="00B6039A" w:rsidRDefault="004373FE" w:rsidP="00DA296E"/>
        </w:tc>
      </w:tr>
      <w:tr w:rsidR="004373FE" w:rsidRPr="00B6039A" w14:paraId="53BA7C4D" w14:textId="77777777" w:rsidTr="00AD5309">
        <w:trPr>
          <w:trHeight w:val="183"/>
        </w:trPr>
        <w:tc>
          <w:tcPr>
            <w:tcW w:w="1838" w:type="dxa"/>
            <w:vMerge/>
          </w:tcPr>
          <w:p w14:paraId="267244E7" w14:textId="77777777" w:rsidR="004373FE" w:rsidRPr="00B6039A" w:rsidRDefault="004373FE" w:rsidP="007601C3">
            <w:pPr>
              <w:ind w:left="29" w:firstLine="8"/>
              <w:rPr>
                <w:rFonts w:ascii="Calibri" w:hAnsi="Calibri" w:cs="Calibri"/>
                <w:bCs/>
                <w:color w:val="000000"/>
              </w:rPr>
            </w:pPr>
          </w:p>
        </w:tc>
        <w:tc>
          <w:tcPr>
            <w:tcW w:w="3687" w:type="dxa"/>
          </w:tcPr>
          <w:p w14:paraId="08CA138F" w14:textId="77777777" w:rsidR="004373FE" w:rsidRPr="00B6039A" w:rsidRDefault="004373FE" w:rsidP="00EE0D9D">
            <w:pPr>
              <w:pStyle w:val="ListParagraph"/>
              <w:numPr>
                <w:ilvl w:val="0"/>
                <w:numId w:val="1"/>
              </w:numPr>
              <w:ind w:left="455"/>
            </w:pPr>
            <w:r w:rsidRPr="00B6039A">
              <w:t>Provide sufficient numbers of well-trained, well-resourced, regional labour market managers and specialist employment case managers in MSD.</w:t>
            </w:r>
          </w:p>
        </w:tc>
        <w:tc>
          <w:tcPr>
            <w:tcW w:w="1133" w:type="dxa"/>
            <w:vMerge/>
          </w:tcPr>
          <w:p w14:paraId="4B5D0CEC" w14:textId="77777777" w:rsidR="004373FE" w:rsidRPr="00B6039A" w:rsidRDefault="004373FE" w:rsidP="00DA296E"/>
        </w:tc>
        <w:tc>
          <w:tcPr>
            <w:tcW w:w="3337" w:type="dxa"/>
            <w:vMerge/>
          </w:tcPr>
          <w:p w14:paraId="4BC58782" w14:textId="77777777" w:rsidR="004373FE" w:rsidRPr="00B6039A" w:rsidRDefault="004373FE" w:rsidP="00DA296E"/>
        </w:tc>
        <w:tc>
          <w:tcPr>
            <w:tcW w:w="3467" w:type="dxa"/>
            <w:shd w:val="clear" w:color="auto" w:fill="F8CA9C"/>
          </w:tcPr>
          <w:p w14:paraId="73EC74E5" w14:textId="77777777" w:rsidR="004373FE" w:rsidRPr="00B6039A" w:rsidRDefault="004373FE" w:rsidP="00DA296E">
            <w:r w:rsidRPr="00B6039A">
              <w:t>Minimal implementation.</w:t>
            </w:r>
          </w:p>
          <w:p w14:paraId="514D59E5" w14:textId="77777777" w:rsidR="004373FE" w:rsidRPr="00B6039A" w:rsidRDefault="004373FE" w:rsidP="00DA296E"/>
          <w:p w14:paraId="1F7E84D4" w14:textId="77777777" w:rsidR="004373FE" w:rsidRPr="00B6039A" w:rsidRDefault="004373FE" w:rsidP="00474692">
            <w:pPr>
              <w:ind w:left="95" w:hanging="9"/>
            </w:pPr>
            <w:r w:rsidRPr="00B6039A">
              <w:t>Given longstanding under-resourcing of MSD’s frontline services,</w:t>
            </w:r>
            <w:r w:rsidRPr="00B6039A">
              <w:rPr>
                <w:rStyle w:val="FootnoteReference"/>
              </w:rPr>
              <w:footnoteReference w:id="152"/>
            </w:r>
            <w:r w:rsidRPr="00B6039A">
              <w:t xml:space="preserve"> further investment will be required beyond the hiring of 263 new frontline staff.</w:t>
            </w:r>
          </w:p>
        </w:tc>
      </w:tr>
      <w:tr w:rsidR="004373FE" w:rsidRPr="00B6039A" w14:paraId="29D9FABC" w14:textId="77777777" w:rsidTr="00AD5309">
        <w:trPr>
          <w:trHeight w:val="183"/>
        </w:trPr>
        <w:tc>
          <w:tcPr>
            <w:tcW w:w="1838" w:type="dxa"/>
            <w:vMerge/>
          </w:tcPr>
          <w:p w14:paraId="343F7429" w14:textId="77777777" w:rsidR="004373FE" w:rsidRPr="00B6039A" w:rsidRDefault="004373FE" w:rsidP="007601C3">
            <w:pPr>
              <w:ind w:left="29" w:firstLine="8"/>
              <w:rPr>
                <w:rFonts w:ascii="Calibri" w:hAnsi="Calibri" w:cs="Calibri"/>
                <w:bCs/>
                <w:color w:val="000000"/>
              </w:rPr>
            </w:pPr>
          </w:p>
        </w:tc>
        <w:tc>
          <w:tcPr>
            <w:tcW w:w="3687" w:type="dxa"/>
          </w:tcPr>
          <w:p w14:paraId="015808BD" w14:textId="77777777" w:rsidR="004373FE" w:rsidRPr="00B6039A" w:rsidRDefault="004373FE" w:rsidP="00EE0D9D">
            <w:pPr>
              <w:pStyle w:val="ListParagraph"/>
              <w:numPr>
                <w:ilvl w:val="0"/>
                <w:numId w:val="1"/>
              </w:numPr>
              <w:ind w:left="455"/>
            </w:pPr>
            <w:r w:rsidRPr="00B6039A">
              <w:t>Provide public employment services to people at risk of becoming unemployed.</w:t>
            </w:r>
          </w:p>
        </w:tc>
        <w:tc>
          <w:tcPr>
            <w:tcW w:w="1133" w:type="dxa"/>
            <w:vMerge/>
          </w:tcPr>
          <w:p w14:paraId="2953E4D9" w14:textId="77777777" w:rsidR="004373FE" w:rsidRPr="00B6039A" w:rsidRDefault="004373FE" w:rsidP="00DA296E"/>
        </w:tc>
        <w:tc>
          <w:tcPr>
            <w:tcW w:w="3337" w:type="dxa"/>
            <w:vMerge/>
          </w:tcPr>
          <w:p w14:paraId="127F166D" w14:textId="77777777" w:rsidR="004373FE" w:rsidRPr="00B6039A" w:rsidRDefault="004373FE" w:rsidP="00DA296E"/>
        </w:tc>
        <w:tc>
          <w:tcPr>
            <w:tcW w:w="3467" w:type="dxa"/>
            <w:shd w:val="clear" w:color="auto" w:fill="FFA5A5"/>
          </w:tcPr>
          <w:p w14:paraId="308C1E6A" w14:textId="4741B4F8" w:rsidR="004373FE" w:rsidRPr="00B6039A" w:rsidRDefault="005E1481" w:rsidP="00DA296E">
            <w:r w:rsidRPr="00B6039A">
              <w:t>No evidence of implementation.</w:t>
            </w:r>
          </w:p>
          <w:p w14:paraId="0A779D4B" w14:textId="77777777" w:rsidR="004373FE" w:rsidRPr="00B6039A" w:rsidRDefault="004373FE" w:rsidP="00DA296E"/>
        </w:tc>
      </w:tr>
      <w:tr w:rsidR="004373FE" w:rsidRPr="00B6039A" w14:paraId="0FD900E3" w14:textId="77777777" w:rsidTr="00AD5309">
        <w:trPr>
          <w:trHeight w:val="487"/>
        </w:trPr>
        <w:tc>
          <w:tcPr>
            <w:tcW w:w="1838" w:type="dxa"/>
            <w:vMerge w:val="restart"/>
          </w:tcPr>
          <w:p w14:paraId="2A74CE22"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 xml:space="preserve">Revamp of Active Labour Market </w:t>
            </w:r>
            <w:r w:rsidRPr="00B6039A">
              <w:rPr>
                <w:rFonts w:ascii="Calibri" w:hAnsi="Calibri" w:cs="Calibri"/>
                <w:bCs/>
                <w:color w:val="000000"/>
              </w:rPr>
              <w:lastRenderedPageBreak/>
              <w:t>Programmes, labour market and</w:t>
            </w:r>
          </w:p>
          <w:p w14:paraId="5E14C9A6"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 xml:space="preserve">training policies </w:t>
            </w:r>
          </w:p>
        </w:tc>
        <w:tc>
          <w:tcPr>
            <w:tcW w:w="3687" w:type="dxa"/>
          </w:tcPr>
          <w:p w14:paraId="5E88DEF3" w14:textId="77777777" w:rsidR="004373FE" w:rsidRPr="00B6039A" w:rsidRDefault="004373FE" w:rsidP="00EE0D9D">
            <w:pPr>
              <w:pStyle w:val="ListParagraph"/>
              <w:numPr>
                <w:ilvl w:val="0"/>
                <w:numId w:val="1"/>
              </w:numPr>
              <w:ind w:left="455"/>
            </w:pPr>
            <w:r w:rsidRPr="00B6039A">
              <w:lastRenderedPageBreak/>
              <w:t xml:space="preserve">Review a whole-of-government approach to labour market, </w:t>
            </w:r>
            <w:r w:rsidRPr="00B6039A">
              <w:lastRenderedPageBreak/>
              <w:t xml:space="preserve">training and vocational education (with MSD as an integral partner) with MBIE, </w:t>
            </w:r>
            <w:proofErr w:type="spellStart"/>
            <w:r w:rsidRPr="00B6039A">
              <w:t>Te</w:t>
            </w:r>
            <w:proofErr w:type="spellEnd"/>
            <w:r w:rsidRPr="00B6039A">
              <w:t xml:space="preserve"> </w:t>
            </w:r>
            <w:proofErr w:type="spellStart"/>
            <w:r w:rsidRPr="00B6039A">
              <w:t>Puni</w:t>
            </w:r>
            <w:proofErr w:type="spellEnd"/>
            <w:r w:rsidRPr="00B6039A">
              <w:t xml:space="preserve"> </w:t>
            </w:r>
            <w:proofErr w:type="spellStart"/>
            <w:r w:rsidRPr="00B6039A">
              <w:t>Kōkiri</w:t>
            </w:r>
            <w:proofErr w:type="spellEnd"/>
            <w:r w:rsidRPr="00B6039A">
              <w:t>, Ministry of Pacific Peoples, Tertiary Education Commission, Careers New Zealand, polytechnics, industry training organisations, and regional and local government.</w:t>
            </w:r>
          </w:p>
        </w:tc>
        <w:tc>
          <w:tcPr>
            <w:tcW w:w="1133" w:type="dxa"/>
            <w:vMerge w:val="restart"/>
          </w:tcPr>
          <w:p w14:paraId="43DDF92D" w14:textId="004D0DC6" w:rsidR="004373FE" w:rsidRPr="00B6039A" w:rsidRDefault="004373FE" w:rsidP="00DA296E">
            <w:r w:rsidRPr="00B6039A">
              <w:lastRenderedPageBreak/>
              <w:t xml:space="preserve">Key </w:t>
            </w:r>
            <w:r w:rsidR="00112B50" w:rsidRPr="00B6039A">
              <w:t>Recs</w:t>
            </w:r>
            <w:r w:rsidRPr="00B6039A">
              <w:t xml:space="preserve"> 35 </w:t>
            </w:r>
            <w:r w:rsidRPr="00B6039A">
              <w:lastRenderedPageBreak/>
              <w:t xml:space="preserve">and 36; </w:t>
            </w:r>
            <w:r w:rsidR="00112B50" w:rsidRPr="00B6039A">
              <w:t>Ch</w:t>
            </w:r>
            <w:r w:rsidRPr="00B6039A">
              <w:t xml:space="preserve"> 9</w:t>
            </w:r>
          </w:p>
        </w:tc>
        <w:tc>
          <w:tcPr>
            <w:tcW w:w="3337" w:type="dxa"/>
            <w:vMerge w:val="restart"/>
          </w:tcPr>
          <w:p w14:paraId="35AD1894" w14:textId="77777777" w:rsidR="004373FE" w:rsidRPr="00B6039A" w:rsidRDefault="004373FE" w:rsidP="005C7983">
            <w:pPr>
              <w:ind w:left="178" w:hanging="92"/>
            </w:pPr>
            <w:r w:rsidRPr="00B6039A">
              <w:lastRenderedPageBreak/>
              <w:t xml:space="preserve">In August 2019, the Government released an All-of-Government </w:t>
            </w:r>
            <w:r w:rsidRPr="00B6039A">
              <w:lastRenderedPageBreak/>
              <w:t>Employment Strategy and Youth Employment Action Plan. The Government has stated that a review of Active Labour Market Programmes is being undertaken, led jointly by Ministry of Business Innovation and Employment, MSD and Ministry of Education.</w:t>
            </w:r>
            <w:r w:rsidRPr="00B6039A">
              <w:rPr>
                <w:rStyle w:val="FootnoteReference"/>
              </w:rPr>
              <w:footnoteReference w:id="153"/>
            </w:r>
          </w:p>
          <w:p w14:paraId="4C94A874" w14:textId="77777777" w:rsidR="004373FE" w:rsidRPr="00B6039A" w:rsidRDefault="004373FE" w:rsidP="005C7983">
            <w:pPr>
              <w:ind w:left="178" w:hanging="92"/>
            </w:pPr>
          </w:p>
          <w:p w14:paraId="7E0F36F0" w14:textId="77777777" w:rsidR="004373FE" w:rsidRPr="00B6039A" w:rsidRDefault="004373FE" w:rsidP="005C7983">
            <w:pPr>
              <w:ind w:left="178" w:hanging="92"/>
            </w:pPr>
            <w:r w:rsidRPr="00B6039A">
              <w:t>In June 2020, the Government announced the establishment of 15 Independent Regional Skills Leadership Groups to facilitate a coordinated regional and central government response to the disruption caused by Covid-19.</w:t>
            </w:r>
            <w:r w:rsidRPr="00B6039A">
              <w:rPr>
                <w:rStyle w:val="FootnoteReference"/>
              </w:rPr>
              <w:footnoteReference w:id="154"/>
            </w:r>
          </w:p>
          <w:p w14:paraId="28BB9C5C" w14:textId="77777777" w:rsidR="004373FE" w:rsidRPr="00B6039A" w:rsidRDefault="004373FE" w:rsidP="005C7983">
            <w:pPr>
              <w:ind w:left="178" w:hanging="92"/>
            </w:pPr>
          </w:p>
          <w:p w14:paraId="406A42F9" w14:textId="77777777" w:rsidR="004373FE" w:rsidRPr="00B6039A" w:rsidRDefault="004373FE" w:rsidP="005C7983">
            <w:pPr>
              <w:ind w:left="178" w:hanging="92"/>
            </w:pPr>
            <w:r w:rsidRPr="00B6039A">
              <w:t xml:space="preserve">The Government has nodded towards developing MSD’s employment services as part of its ‘medium-term’ plan. They have also stated that they will be looking “more extensively at how to build strengths and address barriers for people experiencing difficulty in the labour market, with a strong </w:t>
            </w:r>
            <w:r w:rsidRPr="00B6039A">
              <w:lastRenderedPageBreak/>
              <w:t>focus on Māori, disabled people, people with health conditions and Pacific people.”</w:t>
            </w:r>
            <w:r w:rsidRPr="00B6039A">
              <w:rPr>
                <w:rStyle w:val="FootnoteReference"/>
              </w:rPr>
              <w:footnoteReference w:id="155"/>
            </w:r>
          </w:p>
        </w:tc>
        <w:tc>
          <w:tcPr>
            <w:tcW w:w="3467" w:type="dxa"/>
            <w:shd w:val="clear" w:color="auto" w:fill="BCE292"/>
          </w:tcPr>
          <w:p w14:paraId="47982439" w14:textId="77777777" w:rsidR="004373FE" w:rsidRPr="00B6039A" w:rsidRDefault="004373FE" w:rsidP="00DA296E">
            <w:r w:rsidRPr="00B6039A">
              <w:lastRenderedPageBreak/>
              <w:t>Full implementation.</w:t>
            </w:r>
          </w:p>
          <w:p w14:paraId="32B26969" w14:textId="77777777" w:rsidR="004373FE" w:rsidRPr="00B6039A" w:rsidRDefault="004373FE" w:rsidP="00DA296E"/>
          <w:p w14:paraId="0182BEA9" w14:textId="65C3A0D9" w:rsidR="004373FE" w:rsidRPr="00B6039A" w:rsidRDefault="004373FE" w:rsidP="00474692">
            <w:pPr>
              <w:ind w:left="95" w:hanging="9"/>
            </w:pPr>
            <w:r w:rsidRPr="00B6039A">
              <w:lastRenderedPageBreak/>
              <w:t>The Government initiated an All-of-Government Employment Strategy in 2019 and a review of Active Labour Market Programmes.</w:t>
            </w:r>
            <w:r w:rsidR="00536BFF" w:rsidRPr="00B6039A">
              <w:t xml:space="preserve"> It has undertaken a complete review of Vocational Education (</w:t>
            </w:r>
            <w:proofErr w:type="spellStart"/>
            <w:r w:rsidR="00536BFF" w:rsidRPr="00B6039A">
              <w:t>RoVE</w:t>
            </w:r>
            <w:proofErr w:type="spellEnd"/>
            <w:r w:rsidR="00536BFF" w:rsidRPr="00B6039A">
              <w:t>) through the Ministry of Education and Tertiary Education Commission.</w:t>
            </w:r>
            <w:r w:rsidR="007C25CC" w:rsidRPr="00B6039A">
              <w:rPr>
                <w:rStyle w:val="FootnoteReference"/>
              </w:rPr>
              <w:footnoteReference w:id="156"/>
            </w:r>
          </w:p>
        </w:tc>
      </w:tr>
      <w:tr w:rsidR="004373FE" w:rsidRPr="00B6039A" w14:paraId="5776C4D4" w14:textId="77777777" w:rsidTr="00AD5309">
        <w:trPr>
          <w:trHeight w:val="484"/>
        </w:trPr>
        <w:tc>
          <w:tcPr>
            <w:tcW w:w="1838" w:type="dxa"/>
            <w:vMerge/>
          </w:tcPr>
          <w:p w14:paraId="1303AD61" w14:textId="77777777" w:rsidR="004373FE" w:rsidRPr="00B6039A" w:rsidRDefault="004373FE" w:rsidP="007601C3">
            <w:pPr>
              <w:ind w:left="29" w:firstLine="8"/>
              <w:rPr>
                <w:rFonts w:ascii="Calibri" w:hAnsi="Calibri" w:cs="Calibri"/>
                <w:bCs/>
                <w:color w:val="000000"/>
              </w:rPr>
            </w:pPr>
          </w:p>
        </w:tc>
        <w:tc>
          <w:tcPr>
            <w:tcW w:w="3687" w:type="dxa"/>
          </w:tcPr>
          <w:p w14:paraId="0F1F27F6" w14:textId="77777777" w:rsidR="004373FE" w:rsidRPr="00B6039A" w:rsidRDefault="004373FE" w:rsidP="00EE0D9D">
            <w:pPr>
              <w:pStyle w:val="ListParagraph"/>
              <w:numPr>
                <w:ilvl w:val="0"/>
                <w:numId w:val="1"/>
              </w:numPr>
              <w:ind w:left="455"/>
            </w:pPr>
            <w:r w:rsidRPr="00B6039A">
              <w:t>Establish national and regional advisory groups of the social partners (government-business-union), iwi and regional and local government to implement employment and active labour market policies at a national and regional level.</w:t>
            </w:r>
          </w:p>
        </w:tc>
        <w:tc>
          <w:tcPr>
            <w:tcW w:w="1133" w:type="dxa"/>
            <w:vMerge/>
          </w:tcPr>
          <w:p w14:paraId="394CCFAA" w14:textId="77777777" w:rsidR="004373FE" w:rsidRPr="00B6039A" w:rsidRDefault="004373FE" w:rsidP="00DA296E"/>
        </w:tc>
        <w:tc>
          <w:tcPr>
            <w:tcW w:w="3337" w:type="dxa"/>
            <w:vMerge/>
          </w:tcPr>
          <w:p w14:paraId="52C76CEF" w14:textId="77777777" w:rsidR="004373FE" w:rsidRPr="00B6039A" w:rsidRDefault="004373FE" w:rsidP="005C7983">
            <w:pPr>
              <w:ind w:left="178" w:hanging="92"/>
            </w:pPr>
          </w:p>
        </w:tc>
        <w:tc>
          <w:tcPr>
            <w:tcW w:w="3467" w:type="dxa"/>
            <w:shd w:val="clear" w:color="auto" w:fill="BCE292"/>
          </w:tcPr>
          <w:p w14:paraId="47AAE996" w14:textId="77777777" w:rsidR="004373FE" w:rsidRPr="00B6039A" w:rsidRDefault="004373FE" w:rsidP="00DA296E">
            <w:r w:rsidRPr="00B6039A">
              <w:t>Full implementation.</w:t>
            </w:r>
          </w:p>
          <w:p w14:paraId="02CFF464" w14:textId="77777777" w:rsidR="004373FE" w:rsidRPr="00B6039A" w:rsidRDefault="004373FE" w:rsidP="00DA296E"/>
          <w:p w14:paraId="7EDF4C15" w14:textId="77777777" w:rsidR="004373FE" w:rsidRPr="00B6039A" w:rsidRDefault="004373FE" w:rsidP="00474692">
            <w:pPr>
              <w:ind w:left="95" w:hanging="9"/>
            </w:pPr>
            <w:r w:rsidRPr="00B6039A">
              <w:t>The Government announced Independent Regional Skills Leadership Groups in June 2020.</w:t>
            </w:r>
          </w:p>
        </w:tc>
      </w:tr>
      <w:tr w:rsidR="004373FE" w:rsidRPr="00B6039A" w14:paraId="1685F11F" w14:textId="77777777" w:rsidTr="00AD5309">
        <w:trPr>
          <w:trHeight w:val="484"/>
        </w:trPr>
        <w:tc>
          <w:tcPr>
            <w:tcW w:w="1838" w:type="dxa"/>
            <w:vMerge/>
          </w:tcPr>
          <w:p w14:paraId="0269EBE3" w14:textId="77777777" w:rsidR="004373FE" w:rsidRPr="00B6039A" w:rsidRDefault="004373FE" w:rsidP="007601C3">
            <w:pPr>
              <w:ind w:left="29" w:firstLine="8"/>
              <w:rPr>
                <w:rFonts w:ascii="Calibri" w:hAnsi="Calibri" w:cs="Calibri"/>
                <w:bCs/>
                <w:color w:val="000000"/>
              </w:rPr>
            </w:pPr>
          </w:p>
        </w:tc>
        <w:tc>
          <w:tcPr>
            <w:tcW w:w="3687" w:type="dxa"/>
          </w:tcPr>
          <w:p w14:paraId="348B0209" w14:textId="77777777" w:rsidR="004373FE" w:rsidRPr="00B6039A" w:rsidRDefault="004373FE" w:rsidP="00EE0D9D">
            <w:pPr>
              <w:pStyle w:val="ListParagraph"/>
              <w:numPr>
                <w:ilvl w:val="0"/>
                <w:numId w:val="1"/>
              </w:numPr>
              <w:ind w:left="455"/>
            </w:pPr>
            <w:r w:rsidRPr="00B6039A">
              <w:t>Resource and develop a portfolio of labour market programmes that is driven by local labour market conditions, evidence based, and informed by all relevant national and local labour market data.</w:t>
            </w:r>
          </w:p>
        </w:tc>
        <w:tc>
          <w:tcPr>
            <w:tcW w:w="1133" w:type="dxa"/>
            <w:vMerge/>
          </w:tcPr>
          <w:p w14:paraId="53D9F14E" w14:textId="77777777" w:rsidR="004373FE" w:rsidRPr="00B6039A" w:rsidRDefault="004373FE" w:rsidP="00DA296E"/>
        </w:tc>
        <w:tc>
          <w:tcPr>
            <w:tcW w:w="3337" w:type="dxa"/>
            <w:vMerge/>
          </w:tcPr>
          <w:p w14:paraId="6B0B2C9A" w14:textId="77777777" w:rsidR="004373FE" w:rsidRPr="00B6039A" w:rsidRDefault="004373FE" w:rsidP="005C7983">
            <w:pPr>
              <w:ind w:left="178" w:hanging="92"/>
            </w:pPr>
          </w:p>
        </w:tc>
        <w:tc>
          <w:tcPr>
            <w:tcW w:w="3467" w:type="dxa"/>
            <w:shd w:val="clear" w:color="auto" w:fill="FFE599" w:themeFill="accent4" w:themeFillTint="66"/>
          </w:tcPr>
          <w:p w14:paraId="26BB0609" w14:textId="5F4B1755" w:rsidR="004373FE" w:rsidRPr="00B6039A" w:rsidRDefault="00842694" w:rsidP="00DA296E">
            <w:r w:rsidRPr="00B6039A">
              <w:t>Partial</w:t>
            </w:r>
            <w:r w:rsidR="004373FE" w:rsidRPr="00B6039A">
              <w:t xml:space="preserve"> implementation.</w:t>
            </w:r>
          </w:p>
          <w:p w14:paraId="6FE344EF" w14:textId="77777777" w:rsidR="004373FE" w:rsidRPr="00B6039A" w:rsidRDefault="004373FE" w:rsidP="00DA296E"/>
          <w:p w14:paraId="02DF9C40" w14:textId="77777777" w:rsidR="004373FE" w:rsidRPr="00B6039A" w:rsidRDefault="004373FE" w:rsidP="00474692">
            <w:pPr>
              <w:ind w:left="95" w:firstLine="0"/>
            </w:pPr>
            <w:r w:rsidRPr="00B6039A">
              <w:t xml:space="preserve">Budget 2019 included the extension of places available through Mana in Mahi for young people to access an apprenticeship or industry training qualification. </w:t>
            </w:r>
          </w:p>
          <w:p w14:paraId="5779F6A6" w14:textId="77777777" w:rsidR="002E1F49" w:rsidRPr="00B6039A" w:rsidRDefault="002E1F49" w:rsidP="00474692">
            <w:pPr>
              <w:ind w:left="95" w:firstLine="0"/>
            </w:pPr>
          </w:p>
          <w:p w14:paraId="7CD87178" w14:textId="30EF16D1" w:rsidR="002E1F49" w:rsidRPr="00B6039A" w:rsidRDefault="002E1F49" w:rsidP="00474692">
            <w:pPr>
              <w:ind w:left="95" w:firstLine="0"/>
            </w:pPr>
            <w:r w:rsidRPr="00B6039A">
              <w:t>The Government is continuing to develop a portfolio of labour market programmes, especially as a response to Covid-19.</w:t>
            </w:r>
          </w:p>
        </w:tc>
      </w:tr>
      <w:tr w:rsidR="004373FE" w:rsidRPr="00B6039A" w14:paraId="2B127188" w14:textId="77777777" w:rsidTr="00AD5309">
        <w:trPr>
          <w:trHeight w:val="484"/>
        </w:trPr>
        <w:tc>
          <w:tcPr>
            <w:tcW w:w="1838" w:type="dxa"/>
            <w:vMerge/>
          </w:tcPr>
          <w:p w14:paraId="2B7FF4BA" w14:textId="77777777" w:rsidR="004373FE" w:rsidRPr="00B6039A" w:rsidRDefault="004373FE" w:rsidP="007601C3">
            <w:pPr>
              <w:ind w:left="29" w:firstLine="8"/>
              <w:rPr>
                <w:rFonts w:ascii="Calibri" w:hAnsi="Calibri" w:cs="Calibri"/>
                <w:bCs/>
                <w:color w:val="000000"/>
              </w:rPr>
            </w:pPr>
          </w:p>
        </w:tc>
        <w:tc>
          <w:tcPr>
            <w:tcW w:w="3687" w:type="dxa"/>
          </w:tcPr>
          <w:p w14:paraId="66DC3B77" w14:textId="77777777" w:rsidR="004373FE" w:rsidRPr="00B6039A" w:rsidRDefault="004373FE" w:rsidP="00EE0D9D">
            <w:pPr>
              <w:pStyle w:val="ListParagraph"/>
              <w:numPr>
                <w:ilvl w:val="0"/>
                <w:numId w:val="1"/>
              </w:numPr>
              <w:ind w:left="455"/>
            </w:pPr>
            <w:r w:rsidRPr="00B6039A">
              <w:t>Access the best international data and programmes so New Zealand is well placed for a future labour market in which more people might more frequently transition in and out of work and where there is a greater need to support workers to re-skill or up-skill due to displacement or moving in or out of casual work.</w:t>
            </w:r>
          </w:p>
        </w:tc>
        <w:tc>
          <w:tcPr>
            <w:tcW w:w="1133" w:type="dxa"/>
            <w:vMerge/>
          </w:tcPr>
          <w:p w14:paraId="29E23167" w14:textId="77777777" w:rsidR="004373FE" w:rsidRPr="00B6039A" w:rsidRDefault="004373FE" w:rsidP="00DA296E"/>
        </w:tc>
        <w:tc>
          <w:tcPr>
            <w:tcW w:w="3337" w:type="dxa"/>
            <w:vMerge/>
          </w:tcPr>
          <w:p w14:paraId="658E08D8" w14:textId="77777777" w:rsidR="004373FE" w:rsidRPr="00B6039A" w:rsidRDefault="004373FE" w:rsidP="005C7983">
            <w:pPr>
              <w:ind w:left="178" w:hanging="92"/>
            </w:pPr>
          </w:p>
        </w:tc>
        <w:tc>
          <w:tcPr>
            <w:tcW w:w="3467" w:type="dxa"/>
            <w:shd w:val="clear" w:color="auto" w:fill="FFE599" w:themeFill="accent4" w:themeFillTint="66"/>
          </w:tcPr>
          <w:p w14:paraId="14F62ACD" w14:textId="46704EF1" w:rsidR="004373FE" w:rsidRPr="00B6039A" w:rsidRDefault="008E4569" w:rsidP="00DA296E">
            <w:r w:rsidRPr="00B6039A">
              <w:t>P</w:t>
            </w:r>
            <w:r w:rsidR="002E1F49" w:rsidRPr="00B6039A">
              <w:t>artially</w:t>
            </w:r>
            <w:r w:rsidR="005E1481" w:rsidRPr="00B6039A">
              <w:t xml:space="preserve"> implement</w:t>
            </w:r>
            <w:r w:rsidRPr="00B6039A">
              <w:t>ed</w:t>
            </w:r>
            <w:r w:rsidR="005E1481" w:rsidRPr="00B6039A">
              <w:t>.</w:t>
            </w:r>
            <w:r w:rsidR="004373FE" w:rsidRPr="00B6039A">
              <w:t xml:space="preserve"> </w:t>
            </w:r>
          </w:p>
          <w:p w14:paraId="42D4B644" w14:textId="77777777" w:rsidR="004373FE" w:rsidRPr="00B6039A" w:rsidRDefault="004373FE" w:rsidP="00DA296E"/>
          <w:p w14:paraId="5D914479" w14:textId="77777777" w:rsidR="004373FE" w:rsidRPr="00B6039A" w:rsidRDefault="004373FE" w:rsidP="00474692">
            <w:pPr>
              <w:ind w:left="95" w:hanging="9"/>
            </w:pPr>
            <w:r w:rsidRPr="00B6039A">
              <w:t xml:space="preserve">Review of active labour market programmes was undertaken and advice was to be provided to Ministers in early 2020 as part of this ‘multi-year work programme’. </w:t>
            </w:r>
          </w:p>
          <w:p w14:paraId="28FCB664" w14:textId="77777777" w:rsidR="002E1F49" w:rsidRPr="00B6039A" w:rsidRDefault="002E1F49" w:rsidP="00474692">
            <w:pPr>
              <w:ind w:left="95" w:hanging="9"/>
            </w:pPr>
          </w:p>
          <w:p w14:paraId="75612697" w14:textId="25DCC318" w:rsidR="002E1F49" w:rsidRPr="00B6039A" w:rsidRDefault="002E1F49" w:rsidP="00474692">
            <w:pPr>
              <w:ind w:left="95" w:hanging="9"/>
            </w:pPr>
            <w:r w:rsidRPr="00B6039A">
              <w:t>The Government is making progress on accessing the best international data and programmes for people more frequently transitioning in and out of work, and has established a Just Transition Unit within MBIE</w:t>
            </w:r>
            <w:r w:rsidR="00E3332C" w:rsidRPr="00B6039A">
              <w:t>,</w:t>
            </w:r>
            <w:r w:rsidR="00E3332C" w:rsidRPr="00B6039A">
              <w:rPr>
                <w:rStyle w:val="FootnoteReference"/>
              </w:rPr>
              <w:footnoteReference w:id="157"/>
            </w:r>
            <w:r w:rsidRPr="00B6039A">
              <w:t xml:space="preserve"> as well as a tripartite Future of Work programme supported by the Treasury.</w:t>
            </w:r>
            <w:r w:rsidR="00F809BF" w:rsidRPr="00B6039A">
              <w:rPr>
                <w:rStyle w:val="FootnoteReference"/>
              </w:rPr>
              <w:footnoteReference w:id="158"/>
            </w:r>
          </w:p>
        </w:tc>
      </w:tr>
      <w:tr w:rsidR="004373FE" w:rsidRPr="00B6039A" w14:paraId="34546A00" w14:textId="77777777" w:rsidTr="00AD5309">
        <w:trPr>
          <w:trHeight w:val="484"/>
        </w:trPr>
        <w:tc>
          <w:tcPr>
            <w:tcW w:w="1838" w:type="dxa"/>
            <w:vMerge/>
          </w:tcPr>
          <w:p w14:paraId="7D9A3FDA" w14:textId="77777777" w:rsidR="004373FE" w:rsidRPr="00B6039A" w:rsidRDefault="004373FE" w:rsidP="007601C3">
            <w:pPr>
              <w:ind w:left="29" w:firstLine="8"/>
              <w:rPr>
                <w:rFonts w:ascii="Calibri" w:hAnsi="Calibri" w:cs="Calibri"/>
                <w:bCs/>
                <w:color w:val="000000"/>
              </w:rPr>
            </w:pPr>
          </w:p>
        </w:tc>
        <w:tc>
          <w:tcPr>
            <w:tcW w:w="3687" w:type="dxa"/>
          </w:tcPr>
          <w:p w14:paraId="2190790C" w14:textId="77777777" w:rsidR="004373FE" w:rsidRPr="00B6039A" w:rsidRDefault="004373FE" w:rsidP="00EE0D9D">
            <w:pPr>
              <w:pStyle w:val="ListParagraph"/>
              <w:numPr>
                <w:ilvl w:val="0"/>
                <w:numId w:val="1"/>
              </w:numPr>
              <w:ind w:left="455"/>
            </w:pPr>
            <w:r w:rsidRPr="00B6039A">
              <w:t>Make labour market programmes and work far more accessible for disabled people.</w:t>
            </w:r>
          </w:p>
        </w:tc>
        <w:tc>
          <w:tcPr>
            <w:tcW w:w="1133" w:type="dxa"/>
            <w:vMerge/>
          </w:tcPr>
          <w:p w14:paraId="3E8075BC" w14:textId="77777777" w:rsidR="004373FE" w:rsidRPr="00B6039A" w:rsidRDefault="004373FE" w:rsidP="00DA296E"/>
        </w:tc>
        <w:tc>
          <w:tcPr>
            <w:tcW w:w="3337" w:type="dxa"/>
            <w:vMerge/>
          </w:tcPr>
          <w:p w14:paraId="613185DC" w14:textId="77777777" w:rsidR="004373FE" w:rsidRPr="00B6039A" w:rsidRDefault="004373FE" w:rsidP="005C7983">
            <w:pPr>
              <w:ind w:left="178" w:hanging="92"/>
            </w:pPr>
          </w:p>
        </w:tc>
        <w:tc>
          <w:tcPr>
            <w:tcW w:w="3467" w:type="dxa"/>
            <w:shd w:val="clear" w:color="auto" w:fill="F7CAAC" w:themeFill="accent2" w:themeFillTint="66"/>
          </w:tcPr>
          <w:p w14:paraId="43E93D96" w14:textId="3911E482" w:rsidR="004373FE" w:rsidRPr="00B6039A" w:rsidRDefault="00FF25D7" w:rsidP="00DA296E">
            <w:r w:rsidRPr="00B6039A">
              <w:t>Minimal</w:t>
            </w:r>
            <w:r w:rsidR="004373FE" w:rsidRPr="00B6039A">
              <w:t xml:space="preserve"> implementation.</w:t>
            </w:r>
          </w:p>
          <w:p w14:paraId="65EC7636" w14:textId="77777777" w:rsidR="004373FE" w:rsidRPr="00B6039A" w:rsidRDefault="004373FE" w:rsidP="00DA296E"/>
          <w:p w14:paraId="3B7FE3D6" w14:textId="7E7814AF" w:rsidR="004373FE" w:rsidRPr="00B6039A" w:rsidRDefault="004373FE" w:rsidP="00FF25D7">
            <w:r w:rsidRPr="00B6039A">
              <w:t xml:space="preserve">Budget 2019 initiatives suggest </w:t>
            </w:r>
            <w:r w:rsidR="00FF25D7" w:rsidRPr="00B6039A">
              <w:t>minimal</w:t>
            </w:r>
            <w:r w:rsidRPr="00B6039A">
              <w:t xml:space="preserve"> implementation, including additional funding to support people with health conditions and disabled people into employment through </w:t>
            </w:r>
            <w:proofErr w:type="spellStart"/>
            <w:r w:rsidRPr="00B6039A">
              <w:t>Oranga</w:t>
            </w:r>
            <w:proofErr w:type="spellEnd"/>
            <w:r w:rsidRPr="00B6039A">
              <w:t xml:space="preserve"> Mahi, disability Employment Services and Support Funds.</w:t>
            </w:r>
            <w:r w:rsidR="00FF25D7" w:rsidRPr="00B6039A">
              <w:t xml:space="preserve"> However this </w:t>
            </w:r>
            <w:r w:rsidR="00FF25D7" w:rsidRPr="00B6039A">
              <w:lastRenderedPageBreak/>
              <w:t xml:space="preserve">falls short of making labour market programmes and work </w:t>
            </w:r>
            <w:r w:rsidR="00FF25D7" w:rsidRPr="00B6039A">
              <w:rPr>
                <w:b/>
              </w:rPr>
              <w:t>far more accessible</w:t>
            </w:r>
            <w:r w:rsidR="00FF25D7" w:rsidRPr="00B6039A">
              <w:t xml:space="preserve"> for disabled people.</w:t>
            </w:r>
          </w:p>
        </w:tc>
      </w:tr>
      <w:tr w:rsidR="004373FE" w:rsidRPr="00B6039A" w14:paraId="104E52B4" w14:textId="77777777" w:rsidTr="00AD5309">
        <w:trPr>
          <w:trHeight w:val="204"/>
        </w:trPr>
        <w:tc>
          <w:tcPr>
            <w:tcW w:w="1838" w:type="dxa"/>
            <w:vMerge w:val="restart"/>
          </w:tcPr>
          <w:p w14:paraId="25735300"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lastRenderedPageBreak/>
              <w:t>Loss of employment</w:t>
            </w:r>
          </w:p>
        </w:tc>
        <w:tc>
          <w:tcPr>
            <w:tcW w:w="3687" w:type="dxa"/>
          </w:tcPr>
          <w:p w14:paraId="5443E809" w14:textId="77777777" w:rsidR="004373FE" w:rsidRPr="00B6039A" w:rsidRDefault="004373FE" w:rsidP="00EE0D9D">
            <w:pPr>
              <w:pStyle w:val="ListParagraph"/>
              <w:numPr>
                <w:ilvl w:val="0"/>
                <w:numId w:val="1"/>
              </w:numPr>
              <w:ind w:left="455"/>
            </w:pPr>
            <w:r w:rsidRPr="00B6039A">
              <w:t>Establish a short-term (for example, 6 months) benefit for partnered people who lose their jobs or incomes (for example, due to redundancy) through an earnings disregard of their partner’s income (up to a cap) for this period (see the Detailed Recommendations table in chapter 7).</w:t>
            </w:r>
          </w:p>
        </w:tc>
        <w:tc>
          <w:tcPr>
            <w:tcW w:w="1133" w:type="dxa"/>
            <w:vMerge w:val="restart"/>
          </w:tcPr>
          <w:p w14:paraId="4C299495" w14:textId="173FCD9C" w:rsidR="004373FE" w:rsidRPr="00B6039A" w:rsidRDefault="004373FE" w:rsidP="00DA296E">
            <w:r w:rsidRPr="00B6039A">
              <w:t xml:space="preserve">Key </w:t>
            </w:r>
            <w:r w:rsidR="00112B50" w:rsidRPr="00B6039A">
              <w:t>Rec</w:t>
            </w:r>
            <w:r w:rsidRPr="00B6039A">
              <w:t xml:space="preserve"> 37; </w:t>
            </w:r>
            <w:r w:rsidR="00112B50" w:rsidRPr="00B6039A">
              <w:t>Ch</w:t>
            </w:r>
            <w:r w:rsidRPr="00B6039A">
              <w:t xml:space="preserve"> 9</w:t>
            </w:r>
          </w:p>
        </w:tc>
        <w:tc>
          <w:tcPr>
            <w:tcW w:w="3337" w:type="dxa"/>
            <w:vMerge w:val="restart"/>
          </w:tcPr>
          <w:p w14:paraId="723606DF" w14:textId="77777777" w:rsidR="004373FE" w:rsidRPr="00B6039A" w:rsidRDefault="004373FE" w:rsidP="005C7983">
            <w:pPr>
              <w:ind w:left="178" w:hanging="92"/>
            </w:pPr>
            <w:r w:rsidRPr="00B6039A">
              <w:t>In November 2019, the Government stated that implementation of Key Recommendation 37 is part of their ‘medium to long-term work programme.’</w:t>
            </w:r>
            <w:r w:rsidRPr="00B6039A">
              <w:rPr>
                <w:rStyle w:val="FootnoteReference"/>
              </w:rPr>
              <w:footnoteReference w:id="159"/>
            </w:r>
          </w:p>
          <w:p w14:paraId="1DB284B0" w14:textId="77777777" w:rsidR="004373FE" w:rsidRPr="00B6039A" w:rsidRDefault="004373FE" w:rsidP="005C7983">
            <w:pPr>
              <w:ind w:left="178" w:hanging="92"/>
            </w:pPr>
          </w:p>
          <w:p w14:paraId="64990829" w14:textId="77777777" w:rsidR="004373FE" w:rsidRPr="00B6039A" w:rsidRDefault="004373FE" w:rsidP="005C7983">
            <w:pPr>
              <w:ind w:left="178" w:hanging="92"/>
            </w:pPr>
            <w:r w:rsidRPr="00B6039A">
              <w:t xml:space="preserve">In 2020, the Government </w:t>
            </w:r>
          </w:p>
          <w:p w14:paraId="5DDAFDE3" w14:textId="77777777" w:rsidR="004373FE" w:rsidRPr="00B6039A" w:rsidRDefault="004373FE" w:rsidP="005C7983">
            <w:pPr>
              <w:ind w:left="178" w:hanging="92"/>
            </w:pPr>
            <w:r w:rsidRPr="00B6039A">
              <w:t>removed stand-down periods as a response to Covid-19, for those eligible for a benefit between 23 March 2020 and 24 July 2021.</w:t>
            </w:r>
            <w:r w:rsidRPr="00B6039A">
              <w:rPr>
                <w:rStyle w:val="FootnoteReference"/>
              </w:rPr>
              <w:footnoteReference w:id="160"/>
            </w:r>
            <w:r w:rsidRPr="00B6039A">
              <w:t xml:space="preserve"> They also announced free trades training for 2.5 years from 1 July 2020 in response to Covid-19.</w:t>
            </w:r>
            <w:r w:rsidRPr="00B6039A">
              <w:rPr>
                <w:rStyle w:val="FootnoteReference"/>
              </w:rPr>
              <w:footnoteReference w:id="161"/>
            </w:r>
            <w:r w:rsidRPr="00B6039A">
              <w:t xml:space="preserve"> </w:t>
            </w:r>
          </w:p>
        </w:tc>
        <w:tc>
          <w:tcPr>
            <w:tcW w:w="3467" w:type="dxa"/>
            <w:shd w:val="clear" w:color="auto" w:fill="F7CAAC" w:themeFill="accent2" w:themeFillTint="66"/>
          </w:tcPr>
          <w:p w14:paraId="2FE25AC6" w14:textId="04C46E14" w:rsidR="004373FE" w:rsidRPr="00B6039A" w:rsidRDefault="004149BA" w:rsidP="00DA296E">
            <w:r w:rsidRPr="00B6039A">
              <w:t>Minimal</w:t>
            </w:r>
            <w:r w:rsidR="005E1481" w:rsidRPr="00B6039A">
              <w:t xml:space="preserve"> implementation.</w:t>
            </w:r>
          </w:p>
          <w:p w14:paraId="19C11FA5" w14:textId="77777777" w:rsidR="004149BA" w:rsidRPr="00B6039A" w:rsidRDefault="004149BA" w:rsidP="00DA296E"/>
          <w:p w14:paraId="354AC402" w14:textId="48E8C524" w:rsidR="004149BA" w:rsidRPr="00B6039A" w:rsidRDefault="004149BA" w:rsidP="00474692">
            <w:pPr>
              <w:ind w:left="95" w:hanging="9"/>
            </w:pPr>
            <w:r w:rsidRPr="00B6039A">
              <w:t>The</w:t>
            </w:r>
            <w:r w:rsidR="000C2E6B" w:rsidRPr="00B6039A">
              <w:t xml:space="preserve"> 12-week</w:t>
            </w:r>
            <w:r w:rsidRPr="00B6039A">
              <w:t xml:space="preserve"> </w:t>
            </w:r>
            <w:proofErr w:type="spellStart"/>
            <w:r w:rsidRPr="00B6039A">
              <w:t>Covid</w:t>
            </w:r>
            <w:proofErr w:type="spellEnd"/>
            <w:r w:rsidRPr="00B6039A">
              <w:t xml:space="preserve"> Income Relief Payment partially fulfilled this recommendation for those who lost work on or after 1 March 2020, by disregarding partner income </w:t>
            </w:r>
            <w:r w:rsidR="000C2E6B" w:rsidRPr="00B6039A">
              <w:t>up to a high cap,</w:t>
            </w:r>
            <w:r w:rsidRPr="00B6039A">
              <w:t xml:space="preserve"> however this measure was only temporary and was not extended to all on core benefits. </w:t>
            </w:r>
          </w:p>
        </w:tc>
      </w:tr>
      <w:tr w:rsidR="004373FE" w:rsidRPr="00B6039A" w14:paraId="4DE9DB24" w14:textId="77777777" w:rsidTr="00AD5309">
        <w:trPr>
          <w:trHeight w:val="203"/>
        </w:trPr>
        <w:tc>
          <w:tcPr>
            <w:tcW w:w="1838" w:type="dxa"/>
            <w:vMerge/>
          </w:tcPr>
          <w:p w14:paraId="27C76BEE" w14:textId="77777777" w:rsidR="004373FE" w:rsidRPr="00B6039A" w:rsidRDefault="004373FE" w:rsidP="007601C3">
            <w:pPr>
              <w:ind w:left="29" w:firstLine="8"/>
              <w:rPr>
                <w:rFonts w:ascii="Calibri" w:hAnsi="Calibri" w:cs="Calibri"/>
                <w:bCs/>
                <w:color w:val="000000"/>
              </w:rPr>
            </w:pPr>
          </w:p>
        </w:tc>
        <w:tc>
          <w:tcPr>
            <w:tcW w:w="3687" w:type="dxa"/>
          </w:tcPr>
          <w:p w14:paraId="28844734" w14:textId="77777777" w:rsidR="004373FE" w:rsidRPr="00B6039A" w:rsidRDefault="004373FE" w:rsidP="00EE0D9D">
            <w:pPr>
              <w:pStyle w:val="ListParagraph"/>
              <w:numPr>
                <w:ilvl w:val="0"/>
                <w:numId w:val="1"/>
              </w:numPr>
              <w:ind w:left="455"/>
            </w:pPr>
            <w:r w:rsidRPr="00B6039A">
              <w:t>Adequately fund redundancy support programmes, which include a suite of free or subsidised training and education courses, for workers who experience redundancy.</w:t>
            </w:r>
          </w:p>
        </w:tc>
        <w:tc>
          <w:tcPr>
            <w:tcW w:w="1133" w:type="dxa"/>
            <w:vMerge/>
          </w:tcPr>
          <w:p w14:paraId="75AC6324" w14:textId="77777777" w:rsidR="004373FE" w:rsidRPr="00B6039A" w:rsidRDefault="004373FE" w:rsidP="00DA296E"/>
        </w:tc>
        <w:tc>
          <w:tcPr>
            <w:tcW w:w="3337" w:type="dxa"/>
            <w:vMerge/>
          </w:tcPr>
          <w:p w14:paraId="71644054" w14:textId="77777777" w:rsidR="004373FE" w:rsidRPr="00B6039A" w:rsidRDefault="004373FE" w:rsidP="005C7983">
            <w:pPr>
              <w:ind w:left="178" w:hanging="92"/>
            </w:pPr>
          </w:p>
        </w:tc>
        <w:tc>
          <w:tcPr>
            <w:tcW w:w="3467" w:type="dxa"/>
            <w:shd w:val="clear" w:color="auto" w:fill="F8CA9C"/>
          </w:tcPr>
          <w:p w14:paraId="2E04D838" w14:textId="77777777" w:rsidR="004373FE" w:rsidRPr="00B6039A" w:rsidRDefault="004373FE" w:rsidP="00DA296E">
            <w:r w:rsidRPr="00B6039A">
              <w:t>Minimal implementation.</w:t>
            </w:r>
          </w:p>
          <w:p w14:paraId="0AE7A002" w14:textId="77777777" w:rsidR="004373FE" w:rsidRPr="00B6039A" w:rsidRDefault="004373FE" w:rsidP="00DA296E"/>
          <w:p w14:paraId="72F22106" w14:textId="77777777" w:rsidR="004373FE" w:rsidRPr="00B6039A" w:rsidRDefault="004373FE" w:rsidP="00474692">
            <w:pPr>
              <w:ind w:left="237" w:hanging="142"/>
            </w:pPr>
            <w:r w:rsidRPr="00B6039A">
              <w:t xml:space="preserve">The free trades training announced in response to Covid-19 is not a permanent measure. </w:t>
            </w:r>
          </w:p>
        </w:tc>
      </w:tr>
      <w:tr w:rsidR="004373FE" w:rsidRPr="00B6039A" w14:paraId="0434644C" w14:textId="77777777" w:rsidTr="00AD5309">
        <w:trPr>
          <w:trHeight w:val="203"/>
        </w:trPr>
        <w:tc>
          <w:tcPr>
            <w:tcW w:w="1838" w:type="dxa"/>
            <w:vMerge/>
          </w:tcPr>
          <w:p w14:paraId="1F88C694" w14:textId="77777777" w:rsidR="004373FE" w:rsidRPr="00B6039A" w:rsidRDefault="004373FE" w:rsidP="007601C3">
            <w:pPr>
              <w:ind w:left="29" w:firstLine="8"/>
              <w:rPr>
                <w:rFonts w:ascii="Calibri" w:hAnsi="Calibri" w:cs="Calibri"/>
                <w:bCs/>
                <w:color w:val="000000"/>
              </w:rPr>
            </w:pPr>
          </w:p>
        </w:tc>
        <w:tc>
          <w:tcPr>
            <w:tcW w:w="3687" w:type="dxa"/>
          </w:tcPr>
          <w:p w14:paraId="5D36CEB7" w14:textId="77777777" w:rsidR="004373FE" w:rsidRPr="00B6039A" w:rsidRDefault="004373FE" w:rsidP="00EE0D9D">
            <w:pPr>
              <w:pStyle w:val="ListParagraph"/>
              <w:numPr>
                <w:ilvl w:val="0"/>
                <w:numId w:val="1"/>
              </w:numPr>
              <w:ind w:left="455"/>
            </w:pPr>
            <w:r w:rsidRPr="00B6039A">
              <w:t>Ensure people can resume benefits readily (to allow for unpredictable changes in income and to provide people with confidence to take up employment), including removal of income stand-down periods.</w:t>
            </w:r>
          </w:p>
        </w:tc>
        <w:tc>
          <w:tcPr>
            <w:tcW w:w="1133" w:type="dxa"/>
            <w:vMerge/>
          </w:tcPr>
          <w:p w14:paraId="1AA5301A" w14:textId="77777777" w:rsidR="004373FE" w:rsidRPr="00B6039A" w:rsidRDefault="004373FE" w:rsidP="00DA296E"/>
        </w:tc>
        <w:tc>
          <w:tcPr>
            <w:tcW w:w="3337" w:type="dxa"/>
            <w:vMerge/>
          </w:tcPr>
          <w:p w14:paraId="4E332551" w14:textId="77777777" w:rsidR="004373FE" w:rsidRPr="00B6039A" w:rsidRDefault="004373FE" w:rsidP="005C7983">
            <w:pPr>
              <w:ind w:left="178" w:hanging="92"/>
            </w:pPr>
          </w:p>
        </w:tc>
        <w:tc>
          <w:tcPr>
            <w:tcW w:w="3467" w:type="dxa"/>
            <w:shd w:val="clear" w:color="auto" w:fill="F8CA9C"/>
          </w:tcPr>
          <w:p w14:paraId="1B2B8665" w14:textId="77777777" w:rsidR="004373FE" w:rsidRPr="00B6039A" w:rsidRDefault="004373FE" w:rsidP="00DA296E">
            <w:r w:rsidRPr="00B6039A">
              <w:t>Minimal implementation.</w:t>
            </w:r>
          </w:p>
          <w:p w14:paraId="6FCF8EBB" w14:textId="77777777" w:rsidR="004373FE" w:rsidRPr="00B6039A" w:rsidRDefault="004373FE" w:rsidP="00DA296E"/>
          <w:p w14:paraId="08A38510" w14:textId="77777777" w:rsidR="004373FE" w:rsidRPr="00B6039A" w:rsidRDefault="004373FE" w:rsidP="00DA296E">
            <w:r w:rsidRPr="00B6039A">
              <w:t>The Government’s removal of stand-down periods during Covid-19 is not permanent.</w:t>
            </w:r>
          </w:p>
        </w:tc>
      </w:tr>
      <w:tr w:rsidR="004373FE" w:rsidRPr="00B6039A" w14:paraId="27502A8E" w14:textId="77777777" w:rsidTr="00AD5309">
        <w:trPr>
          <w:trHeight w:val="88"/>
        </w:trPr>
        <w:tc>
          <w:tcPr>
            <w:tcW w:w="1838" w:type="dxa"/>
            <w:vMerge w:val="restart"/>
          </w:tcPr>
          <w:p w14:paraId="68F874E6"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lastRenderedPageBreak/>
              <w:t>Young people supported</w:t>
            </w:r>
          </w:p>
          <w:p w14:paraId="1EA98BBA"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to be earning, learning</w:t>
            </w:r>
          </w:p>
          <w:p w14:paraId="69620ED2"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and, where they are parents, caring</w:t>
            </w:r>
          </w:p>
        </w:tc>
        <w:tc>
          <w:tcPr>
            <w:tcW w:w="3687" w:type="dxa"/>
          </w:tcPr>
          <w:p w14:paraId="71DF8D97" w14:textId="77777777" w:rsidR="004373FE" w:rsidRPr="00B6039A" w:rsidRDefault="004373FE" w:rsidP="00EE0D9D">
            <w:pPr>
              <w:pStyle w:val="ListParagraph"/>
              <w:numPr>
                <w:ilvl w:val="0"/>
                <w:numId w:val="1"/>
              </w:numPr>
              <w:ind w:left="455"/>
            </w:pPr>
            <w:r w:rsidRPr="00B6039A">
              <w:t>Increase investment in well-coordinated and youth development-focused programmes to help young people into education, training, alternative employment opportunities or volunteering.</w:t>
            </w:r>
          </w:p>
          <w:p w14:paraId="2847CB00" w14:textId="77777777" w:rsidR="004373FE" w:rsidRPr="00B6039A" w:rsidRDefault="004373FE" w:rsidP="00EE0D9D">
            <w:pPr>
              <w:ind w:left="455"/>
            </w:pPr>
          </w:p>
        </w:tc>
        <w:tc>
          <w:tcPr>
            <w:tcW w:w="1133" w:type="dxa"/>
            <w:vMerge w:val="restart"/>
          </w:tcPr>
          <w:p w14:paraId="65437D43" w14:textId="23B018C9" w:rsidR="004373FE" w:rsidRPr="00B6039A" w:rsidRDefault="004373FE" w:rsidP="00DA296E">
            <w:r w:rsidRPr="00B6039A">
              <w:t xml:space="preserve">Key </w:t>
            </w:r>
            <w:r w:rsidR="00112B50" w:rsidRPr="00B6039A">
              <w:t>Recs</w:t>
            </w:r>
            <w:r w:rsidRPr="00B6039A">
              <w:t xml:space="preserve"> 38 and 39; </w:t>
            </w:r>
            <w:r w:rsidR="00112B50" w:rsidRPr="00B6039A">
              <w:t>Ch</w:t>
            </w:r>
            <w:r w:rsidRPr="00B6039A">
              <w:t xml:space="preserve"> 9</w:t>
            </w:r>
          </w:p>
        </w:tc>
        <w:tc>
          <w:tcPr>
            <w:tcW w:w="3337" w:type="dxa"/>
            <w:vMerge w:val="restart"/>
          </w:tcPr>
          <w:p w14:paraId="6929715E" w14:textId="77777777" w:rsidR="004373FE" w:rsidRPr="00B6039A" w:rsidRDefault="004373FE" w:rsidP="005C7983">
            <w:pPr>
              <w:ind w:left="178" w:hanging="92"/>
            </w:pPr>
            <w:r w:rsidRPr="00B6039A">
              <w:t>In November 2019 the Government stated that it was ‘partially implementing’ Key Recommendation 39, which calls for the use of evidence-based approaches to support young people to be learning, earning, and caring. Key Recommendation 38, which calls for changes to Youth Service, was part of its medium to long-term work programme.</w:t>
            </w:r>
            <w:r w:rsidRPr="00B6039A">
              <w:rPr>
                <w:rStyle w:val="FootnoteReference"/>
              </w:rPr>
              <w:footnoteReference w:id="162"/>
            </w:r>
          </w:p>
          <w:p w14:paraId="75EF10EA" w14:textId="77777777" w:rsidR="004373FE" w:rsidRPr="00B6039A" w:rsidRDefault="004373FE" w:rsidP="005C7983">
            <w:pPr>
              <w:ind w:left="178" w:hanging="92"/>
            </w:pPr>
          </w:p>
          <w:p w14:paraId="6F68E52E" w14:textId="77777777" w:rsidR="004373FE" w:rsidRPr="00B6039A" w:rsidRDefault="004373FE" w:rsidP="005C7983">
            <w:pPr>
              <w:ind w:left="178" w:hanging="92"/>
            </w:pPr>
            <w:r w:rsidRPr="00B6039A">
              <w:t>In August 2019, the Government released a Youth Employment Action Plan as part of its Employment Strategy.</w:t>
            </w:r>
            <w:r w:rsidRPr="00B6039A">
              <w:rPr>
                <w:rStyle w:val="FootnoteReference"/>
              </w:rPr>
              <w:footnoteReference w:id="163"/>
            </w:r>
            <w:r w:rsidRPr="00B6039A">
              <w:t xml:space="preserve"> It has also continued to develop MSD’s Mana in Mahi programme, which has engaged directly with youth to inform the design and policy setting phase.</w:t>
            </w:r>
            <w:r w:rsidRPr="00B6039A">
              <w:rPr>
                <w:rStyle w:val="FootnoteReference"/>
              </w:rPr>
              <w:footnoteReference w:id="164"/>
            </w:r>
          </w:p>
        </w:tc>
        <w:tc>
          <w:tcPr>
            <w:tcW w:w="3467" w:type="dxa"/>
            <w:shd w:val="clear" w:color="auto" w:fill="FFA5A5"/>
          </w:tcPr>
          <w:p w14:paraId="262CFF70" w14:textId="4097AB1B" w:rsidR="004373FE" w:rsidRPr="00B6039A" w:rsidRDefault="005E1481" w:rsidP="00DA296E">
            <w:r w:rsidRPr="00B6039A">
              <w:t>No evidence of implementation.</w:t>
            </w:r>
            <w:r w:rsidR="004373FE" w:rsidRPr="00B6039A">
              <w:t xml:space="preserve"> </w:t>
            </w:r>
          </w:p>
        </w:tc>
      </w:tr>
      <w:tr w:rsidR="004373FE" w:rsidRPr="00B6039A" w14:paraId="2D6F5E3D" w14:textId="77777777" w:rsidTr="00AD5309">
        <w:trPr>
          <w:trHeight w:val="87"/>
        </w:trPr>
        <w:tc>
          <w:tcPr>
            <w:tcW w:w="1838" w:type="dxa"/>
            <w:vMerge/>
          </w:tcPr>
          <w:p w14:paraId="497D4C46" w14:textId="77777777" w:rsidR="004373FE" w:rsidRPr="00B6039A" w:rsidRDefault="004373FE" w:rsidP="007601C3">
            <w:pPr>
              <w:ind w:left="29" w:firstLine="8"/>
              <w:rPr>
                <w:rFonts w:ascii="Calibri" w:hAnsi="Calibri" w:cs="Calibri"/>
                <w:bCs/>
                <w:color w:val="000000"/>
              </w:rPr>
            </w:pPr>
          </w:p>
        </w:tc>
        <w:tc>
          <w:tcPr>
            <w:tcW w:w="3687" w:type="dxa"/>
          </w:tcPr>
          <w:p w14:paraId="66E3E63B" w14:textId="77777777" w:rsidR="004373FE" w:rsidRPr="00B6039A" w:rsidRDefault="004373FE" w:rsidP="00EE0D9D">
            <w:pPr>
              <w:pStyle w:val="ListParagraph"/>
              <w:numPr>
                <w:ilvl w:val="0"/>
                <w:numId w:val="1"/>
              </w:numPr>
              <w:ind w:left="455"/>
            </w:pPr>
            <w:r w:rsidRPr="00B6039A">
              <w:t>Tailor youth initiatives to their communities.</w:t>
            </w:r>
          </w:p>
          <w:p w14:paraId="5004463E" w14:textId="77777777" w:rsidR="004373FE" w:rsidRPr="00B6039A" w:rsidRDefault="004373FE" w:rsidP="00EE0D9D">
            <w:pPr>
              <w:ind w:left="455"/>
            </w:pPr>
          </w:p>
        </w:tc>
        <w:tc>
          <w:tcPr>
            <w:tcW w:w="1133" w:type="dxa"/>
            <w:vMerge/>
          </w:tcPr>
          <w:p w14:paraId="4F078613" w14:textId="77777777" w:rsidR="004373FE" w:rsidRPr="00B6039A" w:rsidRDefault="004373FE" w:rsidP="00DA296E"/>
        </w:tc>
        <w:tc>
          <w:tcPr>
            <w:tcW w:w="3337" w:type="dxa"/>
            <w:vMerge/>
          </w:tcPr>
          <w:p w14:paraId="6EAF60AA" w14:textId="77777777" w:rsidR="004373FE" w:rsidRPr="00B6039A" w:rsidRDefault="004373FE" w:rsidP="005C7983">
            <w:pPr>
              <w:ind w:left="178" w:hanging="92"/>
            </w:pPr>
          </w:p>
        </w:tc>
        <w:tc>
          <w:tcPr>
            <w:tcW w:w="3467" w:type="dxa"/>
            <w:shd w:val="clear" w:color="auto" w:fill="FFA5A5"/>
          </w:tcPr>
          <w:p w14:paraId="591C4AD3" w14:textId="34E94504" w:rsidR="004373FE" w:rsidRPr="00B6039A" w:rsidRDefault="005E1481" w:rsidP="00DA296E">
            <w:r w:rsidRPr="00B6039A">
              <w:t>No evidence of implementation.</w:t>
            </w:r>
          </w:p>
        </w:tc>
      </w:tr>
      <w:tr w:rsidR="004373FE" w:rsidRPr="00B6039A" w14:paraId="070F41E7" w14:textId="77777777" w:rsidTr="00AD5309">
        <w:trPr>
          <w:trHeight w:val="87"/>
        </w:trPr>
        <w:tc>
          <w:tcPr>
            <w:tcW w:w="1838" w:type="dxa"/>
            <w:vMerge/>
          </w:tcPr>
          <w:p w14:paraId="247F1EFB" w14:textId="77777777" w:rsidR="004373FE" w:rsidRPr="00B6039A" w:rsidRDefault="004373FE" w:rsidP="007601C3">
            <w:pPr>
              <w:ind w:left="29" w:firstLine="8"/>
              <w:rPr>
                <w:rFonts w:ascii="Calibri" w:hAnsi="Calibri" w:cs="Calibri"/>
                <w:bCs/>
                <w:color w:val="000000"/>
              </w:rPr>
            </w:pPr>
          </w:p>
        </w:tc>
        <w:tc>
          <w:tcPr>
            <w:tcW w:w="3687" w:type="dxa"/>
          </w:tcPr>
          <w:p w14:paraId="3BD44E56" w14:textId="77777777" w:rsidR="004373FE" w:rsidRPr="00B6039A" w:rsidRDefault="004373FE" w:rsidP="00EE0D9D">
            <w:pPr>
              <w:pStyle w:val="ListParagraph"/>
              <w:numPr>
                <w:ilvl w:val="0"/>
                <w:numId w:val="1"/>
              </w:numPr>
              <w:ind w:left="455"/>
            </w:pPr>
            <w:r w:rsidRPr="00B6039A">
              <w:t>Take an evidence-based approach, informed by the voices of young people and building on the strengths of young people, and provide a basis for their long-term engagement with the changing world of work.</w:t>
            </w:r>
          </w:p>
          <w:p w14:paraId="5ACE1A33" w14:textId="77777777" w:rsidR="004373FE" w:rsidRPr="00B6039A" w:rsidRDefault="004373FE" w:rsidP="00EE0D9D">
            <w:pPr>
              <w:ind w:left="455"/>
            </w:pPr>
          </w:p>
        </w:tc>
        <w:tc>
          <w:tcPr>
            <w:tcW w:w="1133" w:type="dxa"/>
            <w:vMerge/>
          </w:tcPr>
          <w:p w14:paraId="2FCFF204" w14:textId="77777777" w:rsidR="004373FE" w:rsidRPr="00B6039A" w:rsidRDefault="004373FE" w:rsidP="00DA296E"/>
        </w:tc>
        <w:tc>
          <w:tcPr>
            <w:tcW w:w="3337" w:type="dxa"/>
            <w:vMerge/>
          </w:tcPr>
          <w:p w14:paraId="578454F9" w14:textId="77777777" w:rsidR="004373FE" w:rsidRPr="00B6039A" w:rsidRDefault="004373FE" w:rsidP="005C7983">
            <w:pPr>
              <w:ind w:left="178" w:hanging="92"/>
            </w:pPr>
          </w:p>
        </w:tc>
        <w:tc>
          <w:tcPr>
            <w:tcW w:w="3467" w:type="dxa"/>
            <w:shd w:val="clear" w:color="auto" w:fill="FFA5A5"/>
          </w:tcPr>
          <w:p w14:paraId="0ABCC647" w14:textId="2AD1D22E" w:rsidR="004373FE" w:rsidRPr="00B6039A" w:rsidRDefault="005E1481" w:rsidP="00DA296E">
            <w:r w:rsidRPr="00B6039A">
              <w:t>No evidence of implementation.</w:t>
            </w:r>
          </w:p>
        </w:tc>
      </w:tr>
      <w:tr w:rsidR="004373FE" w:rsidRPr="00B6039A" w14:paraId="1ACC1509" w14:textId="77777777" w:rsidTr="00AD5309">
        <w:trPr>
          <w:trHeight w:val="1104"/>
        </w:trPr>
        <w:tc>
          <w:tcPr>
            <w:tcW w:w="1838" w:type="dxa"/>
            <w:vMerge/>
          </w:tcPr>
          <w:p w14:paraId="6F5FDF8E" w14:textId="77777777" w:rsidR="004373FE" w:rsidRPr="00B6039A" w:rsidRDefault="004373FE" w:rsidP="007601C3">
            <w:pPr>
              <w:ind w:left="29" w:firstLine="8"/>
              <w:rPr>
                <w:rFonts w:ascii="Calibri" w:hAnsi="Calibri" w:cs="Calibri"/>
                <w:bCs/>
                <w:color w:val="000000"/>
              </w:rPr>
            </w:pPr>
          </w:p>
        </w:tc>
        <w:tc>
          <w:tcPr>
            <w:tcW w:w="3687" w:type="dxa"/>
          </w:tcPr>
          <w:p w14:paraId="4C1043F8" w14:textId="77777777" w:rsidR="004373FE" w:rsidRPr="00B6039A" w:rsidRDefault="004373FE" w:rsidP="00EE0D9D">
            <w:pPr>
              <w:pStyle w:val="ListParagraph"/>
              <w:numPr>
                <w:ilvl w:val="0"/>
                <w:numId w:val="1"/>
              </w:numPr>
              <w:ind w:left="455"/>
            </w:pPr>
            <w:r w:rsidRPr="00B6039A">
              <w:t xml:space="preserve">Provide assistance with a specific focus on the needs of </w:t>
            </w:r>
            <w:proofErr w:type="spellStart"/>
            <w:r w:rsidRPr="00B6039A">
              <w:t>rangatahi</w:t>
            </w:r>
            <w:proofErr w:type="spellEnd"/>
            <w:r w:rsidRPr="00B6039A">
              <w:t xml:space="preserve"> Māori, Pacific youth and young people with health conditions or disabilities, to provide more equitable outcomes and success for these groups of young people.</w:t>
            </w:r>
          </w:p>
        </w:tc>
        <w:tc>
          <w:tcPr>
            <w:tcW w:w="1133" w:type="dxa"/>
            <w:vMerge/>
          </w:tcPr>
          <w:p w14:paraId="270C64D3" w14:textId="77777777" w:rsidR="004373FE" w:rsidRPr="00B6039A" w:rsidRDefault="004373FE" w:rsidP="00DA296E"/>
        </w:tc>
        <w:tc>
          <w:tcPr>
            <w:tcW w:w="3337" w:type="dxa"/>
            <w:vMerge/>
          </w:tcPr>
          <w:p w14:paraId="2184C36D" w14:textId="77777777" w:rsidR="004373FE" w:rsidRPr="00B6039A" w:rsidRDefault="004373FE" w:rsidP="005C7983">
            <w:pPr>
              <w:ind w:left="178" w:hanging="92"/>
            </w:pPr>
          </w:p>
        </w:tc>
        <w:tc>
          <w:tcPr>
            <w:tcW w:w="3467" w:type="dxa"/>
            <w:shd w:val="clear" w:color="auto" w:fill="FFA5A5"/>
          </w:tcPr>
          <w:p w14:paraId="7D49FF17" w14:textId="125B7124" w:rsidR="004373FE" w:rsidRPr="00B6039A" w:rsidRDefault="005E1481" w:rsidP="00DA296E">
            <w:r w:rsidRPr="00B6039A">
              <w:t>No evidence of implementation.</w:t>
            </w:r>
          </w:p>
        </w:tc>
      </w:tr>
      <w:tr w:rsidR="004373FE" w:rsidRPr="00B6039A" w14:paraId="103A4EE1" w14:textId="77777777" w:rsidTr="00AD5309">
        <w:trPr>
          <w:trHeight w:val="392"/>
        </w:trPr>
        <w:tc>
          <w:tcPr>
            <w:tcW w:w="1838" w:type="dxa"/>
            <w:vMerge w:val="restart"/>
          </w:tcPr>
          <w:p w14:paraId="224FC187"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Improving income</w:t>
            </w:r>
          </w:p>
          <w:p w14:paraId="68C027EA"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lastRenderedPageBreak/>
              <w:t>support for people in</w:t>
            </w:r>
          </w:p>
          <w:p w14:paraId="2EC82DFA"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the welfare system with</w:t>
            </w:r>
          </w:p>
          <w:p w14:paraId="50988DDC"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health conditions or</w:t>
            </w:r>
          </w:p>
          <w:p w14:paraId="07871A0D"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disabilities and carers</w:t>
            </w:r>
          </w:p>
          <w:p w14:paraId="64FF1221"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of people with health</w:t>
            </w:r>
          </w:p>
          <w:p w14:paraId="286758AD" w14:textId="77777777" w:rsidR="004373FE" w:rsidRPr="00B6039A" w:rsidRDefault="004373FE" w:rsidP="007601C3">
            <w:pPr>
              <w:ind w:left="29" w:firstLine="8"/>
              <w:rPr>
                <w:rFonts w:ascii="Calibri" w:hAnsi="Calibri" w:cs="Calibri"/>
                <w:bCs/>
                <w:color w:val="000000"/>
              </w:rPr>
            </w:pPr>
            <w:r w:rsidRPr="00B6039A">
              <w:rPr>
                <w:rFonts w:ascii="Calibri" w:hAnsi="Calibri" w:cs="Calibri"/>
                <w:bCs/>
                <w:color w:val="000000"/>
              </w:rPr>
              <w:t>conditions or disabilities</w:t>
            </w:r>
          </w:p>
        </w:tc>
        <w:tc>
          <w:tcPr>
            <w:tcW w:w="3687" w:type="dxa"/>
          </w:tcPr>
          <w:p w14:paraId="1FC1B2C6" w14:textId="77777777" w:rsidR="004373FE" w:rsidRPr="00B6039A" w:rsidRDefault="004373FE" w:rsidP="00EE0D9D">
            <w:pPr>
              <w:pStyle w:val="ListParagraph"/>
              <w:numPr>
                <w:ilvl w:val="0"/>
                <w:numId w:val="1"/>
              </w:numPr>
              <w:ind w:left="455"/>
            </w:pPr>
            <w:r w:rsidRPr="00B6039A">
              <w:lastRenderedPageBreak/>
              <w:t xml:space="preserve">For main benefits, consider increasing financial support for </w:t>
            </w:r>
            <w:r w:rsidRPr="00B6039A">
              <w:lastRenderedPageBreak/>
              <w:t>people affected by health conditions and disabilities not due to an accident to be equivalent to that provided by the accident compensation scheme. Treat people with similar levels of disability – whether caused by illness or injury – similarly. Link this support to relevant employment support where work is a possibility.</w:t>
            </w:r>
          </w:p>
        </w:tc>
        <w:tc>
          <w:tcPr>
            <w:tcW w:w="1133" w:type="dxa"/>
            <w:vMerge w:val="restart"/>
          </w:tcPr>
          <w:p w14:paraId="64F42C2C" w14:textId="45C9254E" w:rsidR="004373FE" w:rsidRPr="00B6039A" w:rsidRDefault="004373FE" w:rsidP="00DA296E">
            <w:r w:rsidRPr="00B6039A">
              <w:lastRenderedPageBreak/>
              <w:t xml:space="preserve">Key </w:t>
            </w:r>
            <w:r w:rsidR="00112B50" w:rsidRPr="00B6039A">
              <w:t>Recs</w:t>
            </w:r>
            <w:r w:rsidRPr="00B6039A">
              <w:t xml:space="preserve"> 40 </w:t>
            </w:r>
            <w:r w:rsidRPr="00B6039A">
              <w:lastRenderedPageBreak/>
              <w:t xml:space="preserve">and 41; </w:t>
            </w:r>
            <w:r w:rsidR="00112B50" w:rsidRPr="00B6039A">
              <w:t>Ch</w:t>
            </w:r>
            <w:r w:rsidRPr="00B6039A">
              <w:t xml:space="preserve"> 10</w:t>
            </w:r>
          </w:p>
        </w:tc>
        <w:tc>
          <w:tcPr>
            <w:tcW w:w="3337" w:type="dxa"/>
            <w:vMerge w:val="restart"/>
          </w:tcPr>
          <w:p w14:paraId="064F7073" w14:textId="77777777" w:rsidR="004373FE" w:rsidRPr="00B6039A" w:rsidRDefault="004373FE" w:rsidP="005C7983">
            <w:pPr>
              <w:ind w:left="178" w:hanging="92"/>
            </w:pPr>
            <w:r w:rsidRPr="00B6039A">
              <w:lastRenderedPageBreak/>
              <w:t xml:space="preserve">In November 2019 the Government stated that </w:t>
            </w:r>
            <w:r w:rsidRPr="00B6039A">
              <w:lastRenderedPageBreak/>
              <w:t>improving supports and services for disabled people, people with health conditions and disabilities and their carers is part of the Government’s ‘medium-term’ work programme.</w:t>
            </w:r>
            <w:r w:rsidRPr="00B6039A">
              <w:rPr>
                <w:rStyle w:val="FootnoteReference"/>
              </w:rPr>
              <w:t xml:space="preserve"> </w:t>
            </w:r>
            <w:r w:rsidRPr="00B6039A">
              <w:rPr>
                <w:rStyle w:val="FootnoteReference"/>
              </w:rPr>
              <w:footnoteReference w:id="165"/>
            </w:r>
          </w:p>
          <w:p w14:paraId="3099A4CD" w14:textId="77777777" w:rsidR="004373FE" w:rsidRPr="00B6039A" w:rsidRDefault="004373FE" w:rsidP="005C7983">
            <w:pPr>
              <w:ind w:left="178" w:hanging="92"/>
            </w:pPr>
          </w:p>
          <w:p w14:paraId="115408B8" w14:textId="77777777" w:rsidR="004373FE" w:rsidRPr="00B6039A" w:rsidRDefault="004373FE" w:rsidP="005C7983">
            <w:pPr>
              <w:ind w:left="178" w:hanging="92"/>
            </w:pPr>
            <w:r w:rsidRPr="00B6039A">
              <w:t>The Government has said that “further work will be undertaken to improve support and services for people with health conditions and disabilities and their carers”, “primarily focused on improving income supports, as well as employment services available.” This will include a review of entitlements and eligibility settings.</w:t>
            </w:r>
            <w:r w:rsidRPr="00B6039A">
              <w:rPr>
                <w:rStyle w:val="FootnoteReference"/>
              </w:rPr>
              <w:footnoteReference w:id="166"/>
            </w:r>
          </w:p>
        </w:tc>
        <w:tc>
          <w:tcPr>
            <w:tcW w:w="3467" w:type="dxa"/>
            <w:shd w:val="clear" w:color="auto" w:fill="FFA5A5"/>
          </w:tcPr>
          <w:p w14:paraId="5FDF2FD1" w14:textId="5E29AB7A" w:rsidR="004373FE" w:rsidRPr="00B6039A" w:rsidRDefault="005E1481" w:rsidP="00DA296E">
            <w:r w:rsidRPr="00B6039A">
              <w:lastRenderedPageBreak/>
              <w:t>No evidence of implementation.</w:t>
            </w:r>
            <w:r w:rsidR="004373FE" w:rsidRPr="00B6039A">
              <w:t xml:space="preserve"> </w:t>
            </w:r>
          </w:p>
        </w:tc>
      </w:tr>
      <w:tr w:rsidR="004373FE" w:rsidRPr="00B6039A" w14:paraId="3EC3CAAB" w14:textId="77777777" w:rsidTr="00AD5309">
        <w:trPr>
          <w:trHeight w:val="386"/>
        </w:trPr>
        <w:tc>
          <w:tcPr>
            <w:tcW w:w="1838" w:type="dxa"/>
            <w:vMerge/>
          </w:tcPr>
          <w:p w14:paraId="27F0BB12" w14:textId="77777777" w:rsidR="004373FE" w:rsidRPr="00B6039A" w:rsidRDefault="004373FE" w:rsidP="007601C3">
            <w:pPr>
              <w:ind w:left="29" w:firstLine="8"/>
              <w:rPr>
                <w:rFonts w:ascii="Calibri" w:hAnsi="Calibri" w:cs="Calibri"/>
                <w:bCs/>
                <w:color w:val="000000"/>
              </w:rPr>
            </w:pPr>
          </w:p>
        </w:tc>
        <w:tc>
          <w:tcPr>
            <w:tcW w:w="3687" w:type="dxa"/>
          </w:tcPr>
          <w:p w14:paraId="59457741" w14:textId="77777777" w:rsidR="004373FE" w:rsidRPr="00B6039A" w:rsidRDefault="004373FE" w:rsidP="00EE0D9D">
            <w:pPr>
              <w:pStyle w:val="ListParagraph"/>
              <w:numPr>
                <w:ilvl w:val="0"/>
                <w:numId w:val="1"/>
              </w:numPr>
              <w:ind w:left="455"/>
            </w:pPr>
            <w:r w:rsidRPr="00B6039A">
              <w:t>Introduce time-limited individual entitlement for income and employment support for low-income families suffering from health shocks (see the eligibility section of the detailed income support recommendations, page 118).</w:t>
            </w:r>
          </w:p>
        </w:tc>
        <w:tc>
          <w:tcPr>
            <w:tcW w:w="1133" w:type="dxa"/>
            <w:vMerge/>
          </w:tcPr>
          <w:p w14:paraId="58FCF106" w14:textId="77777777" w:rsidR="004373FE" w:rsidRPr="00B6039A" w:rsidRDefault="004373FE" w:rsidP="00DA296E"/>
        </w:tc>
        <w:tc>
          <w:tcPr>
            <w:tcW w:w="3337" w:type="dxa"/>
            <w:vMerge/>
          </w:tcPr>
          <w:p w14:paraId="7AB7490B" w14:textId="77777777" w:rsidR="004373FE" w:rsidRPr="00B6039A" w:rsidRDefault="004373FE" w:rsidP="005C7983">
            <w:pPr>
              <w:ind w:left="178" w:hanging="92"/>
            </w:pPr>
          </w:p>
        </w:tc>
        <w:tc>
          <w:tcPr>
            <w:tcW w:w="3467" w:type="dxa"/>
            <w:shd w:val="clear" w:color="auto" w:fill="FFA5A5"/>
          </w:tcPr>
          <w:p w14:paraId="647A3157" w14:textId="5DD177A1" w:rsidR="004373FE" w:rsidRPr="00B6039A" w:rsidRDefault="005E1481" w:rsidP="00DA296E">
            <w:r w:rsidRPr="00B6039A">
              <w:t>No evidence of implementation.</w:t>
            </w:r>
          </w:p>
        </w:tc>
      </w:tr>
      <w:tr w:rsidR="004373FE" w:rsidRPr="00B6039A" w14:paraId="1930E9A5" w14:textId="77777777" w:rsidTr="00AD5309">
        <w:trPr>
          <w:trHeight w:val="386"/>
        </w:trPr>
        <w:tc>
          <w:tcPr>
            <w:tcW w:w="1838" w:type="dxa"/>
            <w:vMerge/>
          </w:tcPr>
          <w:p w14:paraId="7842E9D2" w14:textId="77777777" w:rsidR="004373FE" w:rsidRPr="00B6039A" w:rsidRDefault="004373FE" w:rsidP="007601C3">
            <w:pPr>
              <w:ind w:left="29" w:firstLine="8"/>
              <w:rPr>
                <w:rFonts w:ascii="Calibri" w:hAnsi="Calibri" w:cs="Calibri"/>
                <w:bCs/>
                <w:color w:val="000000"/>
              </w:rPr>
            </w:pPr>
          </w:p>
        </w:tc>
        <w:tc>
          <w:tcPr>
            <w:tcW w:w="3687" w:type="dxa"/>
          </w:tcPr>
          <w:p w14:paraId="3A11061D" w14:textId="77777777" w:rsidR="004373FE" w:rsidRPr="00B6039A" w:rsidRDefault="004373FE" w:rsidP="00EE0D9D">
            <w:pPr>
              <w:pStyle w:val="ListParagraph"/>
              <w:numPr>
                <w:ilvl w:val="0"/>
                <w:numId w:val="1"/>
              </w:numPr>
              <w:ind w:left="455"/>
            </w:pPr>
            <w:r w:rsidRPr="00B6039A">
              <w:t>Consider transferring to New Zealand Superannuation people on Supported Living Payment who are so unwell or disabled that there is no foreseeable chance they will come off the benefit during their life.</w:t>
            </w:r>
          </w:p>
        </w:tc>
        <w:tc>
          <w:tcPr>
            <w:tcW w:w="1133" w:type="dxa"/>
            <w:vMerge/>
          </w:tcPr>
          <w:p w14:paraId="3A2464DF" w14:textId="77777777" w:rsidR="004373FE" w:rsidRPr="00B6039A" w:rsidRDefault="004373FE" w:rsidP="00DA296E"/>
        </w:tc>
        <w:tc>
          <w:tcPr>
            <w:tcW w:w="3337" w:type="dxa"/>
            <w:vMerge/>
          </w:tcPr>
          <w:p w14:paraId="213E8CCA" w14:textId="77777777" w:rsidR="004373FE" w:rsidRPr="00B6039A" w:rsidRDefault="004373FE" w:rsidP="005C7983">
            <w:pPr>
              <w:ind w:left="178" w:hanging="92"/>
            </w:pPr>
          </w:p>
        </w:tc>
        <w:tc>
          <w:tcPr>
            <w:tcW w:w="3467" w:type="dxa"/>
            <w:shd w:val="clear" w:color="auto" w:fill="FFA5A5"/>
          </w:tcPr>
          <w:p w14:paraId="77ABE9AF" w14:textId="107EF4F1" w:rsidR="004373FE" w:rsidRPr="00B6039A" w:rsidRDefault="005E1481" w:rsidP="00DA296E">
            <w:r w:rsidRPr="00B6039A">
              <w:t>No evidence of implementation.</w:t>
            </w:r>
          </w:p>
        </w:tc>
      </w:tr>
      <w:tr w:rsidR="004373FE" w:rsidRPr="00B6039A" w14:paraId="5EBE5013" w14:textId="77777777" w:rsidTr="00AD5309">
        <w:trPr>
          <w:trHeight w:val="386"/>
        </w:trPr>
        <w:tc>
          <w:tcPr>
            <w:tcW w:w="1838" w:type="dxa"/>
            <w:vMerge/>
          </w:tcPr>
          <w:p w14:paraId="04801737" w14:textId="77777777" w:rsidR="004373FE" w:rsidRPr="00B6039A" w:rsidRDefault="004373FE" w:rsidP="007601C3">
            <w:pPr>
              <w:ind w:left="29" w:firstLine="8"/>
              <w:rPr>
                <w:rFonts w:ascii="Calibri" w:hAnsi="Calibri" w:cs="Calibri"/>
                <w:bCs/>
                <w:color w:val="000000"/>
              </w:rPr>
            </w:pPr>
          </w:p>
        </w:tc>
        <w:tc>
          <w:tcPr>
            <w:tcW w:w="3687" w:type="dxa"/>
          </w:tcPr>
          <w:p w14:paraId="41075C44" w14:textId="77777777" w:rsidR="004373FE" w:rsidRPr="00B6039A" w:rsidRDefault="004373FE" w:rsidP="00EE0D9D">
            <w:pPr>
              <w:pStyle w:val="ListParagraph"/>
              <w:numPr>
                <w:ilvl w:val="0"/>
                <w:numId w:val="1"/>
              </w:numPr>
              <w:ind w:left="455"/>
            </w:pPr>
            <w:r w:rsidRPr="00B6039A">
              <w:t xml:space="preserve">Align the abatement rate of non-blind disabled people receiving Supported Living </w:t>
            </w:r>
            <w:r w:rsidRPr="00B6039A">
              <w:lastRenderedPageBreak/>
              <w:t>Payment with that of the blind, to address the current inequity.</w:t>
            </w:r>
          </w:p>
        </w:tc>
        <w:tc>
          <w:tcPr>
            <w:tcW w:w="1133" w:type="dxa"/>
            <w:vMerge/>
          </w:tcPr>
          <w:p w14:paraId="526B7AE3" w14:textId="77777777" w:rsidR="004373FE" w:rsidRPr="00B6039A" w:rsidRDefault="004373FE" w:rsidP="00DA296E"/>
        </w:tc>
        <w:tc>
          <w:tcPr>
            <w:tcW w:w="3337" w:type="dxa"/>
            <w:vMerge/>
          </w:tcPr>
          <w:p w14:paraId="00563CAC" w14:textId="77777777" w:rsidR="004373FE" w:rsidRPr="00B6039A" w:rsidRDefault="004373FE" w:rsidP="005C7983">
            <w:pPr>
              <w:ind w:left="178" w:hanging="92"/>
            </w:pPr>
          </w:p>
        </w:tc>
        <w:tc>
          <w:tcPr>
            <w:tcW w:w="3467" w:type="dxa"/>
            <w:shd w:val="clear" w:color="auto" w:fill="FFA5A5"/>
          </w:tcPr>
          <w:p w14:paraId="07623CAC" w14:textId="78057828" w:rsidR="004373FE" w:rsidRPr="00B6039A" w:rsidRDefault="005E1481" w:rsidP="00DA296E">
            <w:r w:rsidRPr="00B6039A">
              <w:t>No evidence of implementation.</w:t>
            </w:r>
          </w:p>
        </w:tc>
      </w:tr>
      <w:tr w:rsidR="004373FE" w:rsidRPr="00B6039A" w14:paraId="4F2DE6C5" w14:textId="77777777" w:rsidTr="00AD5309">
        <w:trPr>
          <w:trHeight w:val="386"/>
        </w:trPr>
        <w:tc>
          <w:tcPr>
            <w:tcW w:w="1838" w:type="dxa"/>
            <w:vMerge/>
          </w:tcPr>
          <w:p w14:paraId="4612DCF5" w14:textId="77777777" w:rsidR="004373FE" w:rsidRPr="00B6039A" w:rsidRDefault="004373FE" w:rsidP="007601C3">
            <w:pPr>
              <w:ind w:left="29" w:firstLine="8"/>
              <w:rPr>
                <w:rFonts w:ascii="Calibri" w:hAnsi="Calibri" w:cs="Calibri"/>
                <w:bCs/>
                <w:color w:val="000000"/>
              </w:rPr>
            </w:pPr>
          </w:p>
        </w:tc>
        <w:tc>
          <w:tcPr>
            <w:tcW w:w="3687" w:type="dxa"/>
          </w:tcPr>
          <w:p w14:paraId="5CB37B6B" w14:textId="77777777" w:rsidR="004373FE" w:rsidRPr="00B6039A" w:rsidRDefault="004373FE" w:rsidP="00EE0D9D">
            <w:pPr>
              <w:pStyle w:val="ListParagraph"/>
              <w:numPr>
                <w:ilvl w:val="0"/>
                <w:numId w:val="1"/>
              </w:numPr>
              <w:ind w:left="455"/>
            </w:pPr>
            <w:r w:rsidRPr="00B6039A">
              <w:t>Redesign supplementary assistance for people with health conditions or disabilities, so it is easier to access and more accurately covers the costs of having the health condition or disability.</w:t>
            </w:r>
          </w:p>
        </w:tc>
        <w:tc>
          <w:tcPr>
            <w:tcW w:w="1133" w:type="dxa"/>
            <w:vMerge/>
          </w:tcPr>
          <w:p w14:paraId="6C929E98" w14:textId="77777777" w:rsidR="004373FE" w:rsidRPr="00B6039A" w:rsidRDefault="004373FE" w:rsidP="00DA296E"/>
        </w:tc>
        <w:tc>
          <w:tcPr>
            <w:tcW w:w="3337" w:type="dxa"/>
            <w:vMerge/>
          </w:tcPr>
          <w:p w14:paraId="4FDB2E8B" w14:textId="77777777" w:rsidR="004373FE" w:rsidRPr="00B6039A" w:rsidRDefault="004373FE" w:rsidP="005C7983">
            <w:pPr>
              <w:ind w:left="178" w:hanging="92"/>
            </w:pPr>
          </w:p>
        </w:tc>
        <w:tc>
          <w:tcPr>
            <w:tcW w:w="3467" w:type="dxa"/>
            <w:shd w:val="clear" w:color="auto" w:fill="FFA5A5"/>
          </w:tcPr>
          <w:p w14:paraId="2695781E" w14:textId="0E0B9A0D" w:rsidR="004373FE" w:rsidRPr="00B6039A" w:rsidRDefault="005E1481" w:rsidP="00DA296E">
            <w:r w:rsidRPr="00B6039A">
              <w:t>No evidence of implementation.</w:t>
            </w:r>
          </w:p>
        </w:tc>
      </w:tr>
      <w:tr w:rsidR="004373FE" w:rsidRPr="00B6039A" w14:paraId="6598B033" w14:textId="77777777" w:rsidTr="00AD5309">
        <w:trPr>
          <w:trHeight w:val="386"/>
        </w:trPr>
        <w:tc>
          <w:tcPr>
            <w:tcW w:w="1838" w:type="dxa"/>
            <w:vMerge/>
          </w:tcPr>
          <w:p w14:paraId="2EFB0589" w14:textId="77777777" w:rsidR="004373FE" w:rsidRPr="00B6039A" w:rsidRDefault="004373FE" w:rsidP="007601C3">
            <w:pPr>
              <w:ind w:left="29" w:firstLine="8"/>
              <w:rPr>
                <w:rFonts w:ascii="Calibri" w:hAnsi="Calibri" w:cs="Calibri"/>
                <w:bCs/>
                <w:color w:val="000000"/>
              </w:rPr>
            </w:pPr>
          </w:p>
        </w:tc>
        <w:tc>
          <w:tcPr>
            <w:tcW w:w="3687" w:type="dxa"/>
          </w:tcPr>
          <w:p w14:paraId="6F1016CF" w14:textId="77777777" w:rsidR="004373FE" w:rsidRPr="00B6039A" w:rsidRDefault="004373FE" w:rsidP="00EE0D9D">
            <w:pPr>
              <w:pStyle w:val="ListParagraph"/>
              <w:numPr>
                <w:ilvl w:val="0"/>
                <w:numId w:val="1"/>
              </w:numPr>
              <w:ind w:left="455"/>
            </w:pPr>
            <w:r w:rsidRPr="00B6039A">
              <w:t>Increase the level of income support provided by Disability Allowance with three rates (low, medium and high) related to the degree of burden of disability or care needed.</w:t>
            </w:r>
          </w:p>
        </w:tc>
        <w:tc>
          <w:tcPr>
            <w:tcW w:w="1133" w:type="dxa"/>
            <w:vMerge/>
          </w:tcPr>
          <w:p w14:paraId="5747EC53" w14:textId="77777777" w:rsidR="004373FE" w:rsidRPr="00B6039A" w:rsidRDefault="004373FE" w:rsidP="00DA296E"/>
        </w:tc>
        <w:tc>
          <w:tcPr>
            <w:tcW w:w="3337" w:type="dxa"/>
            <w:vMerge/>
          </w:tcPr>
          <w:p w14:paraId="7D41FFFE" w14:textId="77777777" w:rsidR="004373FE" w:rsidRPr="00B6039A" w:rsidRDefault="004373FE" w:rsidP="005C7983">
            <w:pPr>
              <w:ind w:left="178" w:hanging="92"/>
            </w:pPr>
          </w:p>
        </w:tc>
        <w:tc>
          <w:tcPr>
            <w:tcW w:w="3467" w:type="dxa"/>
            <w:shd w:val="clear" w:color="auto" w:fill="FFA5A5"/>
          </w:tcPr>
          <w:p w14:paraId="6806BD4A" w14:textId="1A5FC820" w:rsidR="004373FE" w:rsidRPr="00B6039A" w:rsidRDefault="005E1481" w:rsidP="00DA296E">
            <w:r w:rsidRPr="00B6039A">
              <w:t>No evidence of implementation.</w:t>
            </w:r>
          </w:p>
        </w:tc>
      </w:tr>
      <w:tr w:rsidR="004373FE" w:rsidRPr="00B6039A" w14:paraId="3AC38583" w14:textId="77777777" w:rsidTr="00AD5309">
        <w:trPr>
          <w:trHeight w:val="386"/>
        </w:trPr>
        <w:tc>
          <w:tcPr>
            <w:tcW w:w="1838" w:type="dxa"/>
            <w:vMerge/>
          </w:tcPr>
          <w:p w14:paraId="2DAC7915" w14:textId="77777777" w:rsidR="004373FE" w:rsidRPr="00B6039A" w:rsidRDefault="004373FE" w:rsidP="007601C3">
            <w:pPr>
              <w:ind w:left="29" w:firstLine="8"/>
              <w:rPr>
                <w:rFonts w:ascii="Calibri" w:hAnsi="Calibri" w:cs="Calibri"/>
                <w:bCs/>
                <w:color w:val="000000"/>
              </w:rPr>
            </w:pPr>
          </w:p>
        </w:tc>
        <w:tc>
          <w:tcPr>
            <w:tcW w:w="3687" w:type="dxa"/>
          </w:tcPr>
          <w:p w14:paraId="4CADEB54" w14:textId="77777777" w:rsidR="004373FE" w:rsidRPr="00B6039A" w:rsidRDefault="004373FE" w:rsidP="00EE0D9D">
            <w:pPr>
              <w:pStyle w:val="ListParagraph"/>
              <w:numPr>
                <w:ilvl w:val="0"/>
                <w:numId w:val="1"/>
              </w:numPr>
              <w:ind w:left="455"/>
            </w:pPr>
            <w:r w:rsidRPr="00B6039A">
              <w:t>Increase the level of income support provided by Child Disability Allowance, and introduce three rates (low, medium and high) related to the degree of burden of disability or care needed.</w:t>
            </w:r>
          </w:p>
          <w:p w14:paraId="4729C10B" w14:textId="77777777" w:rsidR="004373FE" w:rsidRPr="00B6039A" w:rsidRDefault="004373FE" w:rsidP="00EE0D9D">
            <w:pPr>
              <w:ind w:left="455"/>
            </w:pPr>
          </w:p>
        </w:tc>
        <w:tc>
          <w:tcPr>
            <w:tcW w:w="1133" w:type="dxa"/>
            <w:vMerge/>
          </w:tcPr>
          <w:p w14:paraId="27DFA06F" w14:textId="77777777" w:rsidR="004373FE" w:rsidRPr="00B6039A" w:rsidRDefault="004373FE" w:rsidP="00DA296E"/>
        </w:tc>
        <w:tc>
          <w:tcPr>
            <w:tcW w:w="3337" w:type="dxa"/>
            <w:vMerge/>
          </w:tcPr>
          <w:p w14:paraId="491A8935" w14:textId="77777777" w:rsidR="004373FE" w:rsidRPr="00B6039A" w:rsidRDefault="004373FE" w:rsidP="005C7983">
            <w:pPr>
              <w:ind w:left="178" w:hanging="92"/>
            </w:pPr>
          </w:p>
        </w:tc>
        <w:tc>
          <w:tcPr>
            <w:tcW w:w="3467" w:type="dxa"/>
            <w:shd w:val="clear" w:color="auto" w:fill="FFA5A5"/>
          </w:tcPr>
          <w:p w14:paraId="1A0E89A7" w14:textId="2CCBA600" w:rsidR="004373FE" w:rsidRPr="00B6039A" w:rsidRDefault="005E1481" w:rsidP="00DA296E">
            <w:r w:rsidRPr="00B6039A">
              <w:t>No evidence of implementation.</w:t>
            </w:r>
          </w:p>
        </w:tc>
      </w:tr>
      <w:tr w:rsidR="004373FE" w:rsidRPr="00B6039A" w14:paraId="30A5BC9C" w14:textId="77777777" w:rsidTr="00AD5309">
        <w:trPr>
          <w:trHeight w:val="386"/>
        </w:trPr>
        <w:tc>
          <w:tcPr>
            <w:tcW w:w="1838" w:type="dxa"/>
            <w:vMerge/>
          </w:tcPr>
          <w:p w14:paraId="79E5D51E" w14:textId="77777777" w:rsidR="004373FE" w:rsidRPr="00B6039A" w:rsidRDefault="004373FE" w:rsidP="007601C3">
            <w:pPr>
              <w:ind w:left="29" w:firstLine="8"/>
              <w:rPr>
                <w:rFonts w:ascii="Calibri" w:hAnsi="Calibri" w:cs="Calibri"/>
                <w:bCs/>
                <w:color w:val="000000"/>
              </w:rPr>
            </w:pPr>
          </w:p>
        </w:tc>
        <w:tc>
          <w:tcPr>
            <w:tcW w:w="3687" w:type="dxa"/>
          </w:tcPr>
          <w:p w14:paraId="012DDAA3" w14:textId="77777777" w:rsidR="004373FE" w:rsidRPr="00B6039A" w:rsidRDefault="004373FE" w:rsidP="00EE0D9D">
            <w:pPr>
              <w:pStyle w:val="ListParagraph"/>
              <w:numPr>
                <w:ilvl w:val="0"/>
                <w:numId w:val="1"/>
              </w:numPr>
              <w:ind w:left="455"/>
            </w:pPr>
            <w:r w:rsidRPr="00B6039A">
              <w:t>Direct the Ministry of Social Development and Ministry of Health to clarify where responsibility for covering the cost to individuals of health conditions and disabilities should lie and make this transparent, known to the public, and accessible.</w:t>
            </w:r>
          </w:p>
        </w:tc>
        <w:tc>
          <w:tcPr>
            <w:tcW w:w="1133" w:type="dxa"/>
            <w:vMerge/>
          </w:tcPr>
          <w:p w14:paraId="572940B5" w14:textId="77777777" w:rsidR="004373FE" w:rsidRPr="00B6039A" w:rsidRDefault="004373FE" w:rsidP="00DA296E"/>
        </w:tc>
        <w:tc>
          <w:tcPr>
            <w:tcW w:w="3337" w:type="dxa"/>
            <w:vMerge/>
          </w:tcPr>
          <w:p w14:paraId="64A44103" w14:textId="77777777" w:rsidR="004373FE" w:rsidRPr="00B6039A" w:rsidRDefault="004373FE" w:rsidP="005C7983">
            <w:pPr>
              <w:ind w:left="178" w:hanging="92"/>
            </w:pPr>
          </w:p>
        </w:tc>
        <w:tc>
          <w:tcPr>
            <w:tcW w:w="3467" w:type="dxa"/>
            <w:shd w:val="clear" w:color="auto" w:fill="FFA5A5"/>
          </w:tcPr>
          <w:p w14:paraId="0C5EEC8E" w14:textId="31F7E907" w:rsidR="004373FE" w:rsidRPr="00B6039A" w:rsidRDefault="005E1481" w:rsidP="00DA296E">
            <w:r w:rsidRPr="00B6039A">
              <w:t>No evidence of implementation.</w:t>
            </w:r>
          </w:p>
        </w:tc>
      </w:tr>
      <w:tr w:rsidR="004373FE" w:rsidRPr="00B6039A" w14:paraId="7822D286" w14:textId="77777777" w:rsidTr="00AD5309">
        <w:trPr>
          <w:trHeight w:val="386"/>
        </w:trPr>
        <w:tc>
          <w:tcPr>
            <w:tcW w:w="1838" w:type="dxa"/>
            <w:vMerge/>
          </w:tcPr>
          <w:p w14:paraId="614168EA" w14:textId="77777777" w:rsidR="004373FE" w:rsidRPr="00B6039A" w:rsidRDefault="004373FE" w:rsidP="007601C3">
            <w:pPr>
              <w:ind w:left="29" w:firstLine="8"/>
              <w:rPr>
                <w:rFonts w:ascii="Calibri" w:hAnsi="Calibri" w:cs="Calibri"/>
                <w:bCs/>
                <w:color w:val="000000"/>
              </w:rPr>
            </w:pPr>
          </w:p>
        </w:tc>
        <w:tc>
          <w:tcPr>
            <w:tcW w:w="3687" w:type="dxa"/>
          </w:tcPr>
          <w:p w14:paraId="2562B459" w14:textId="77777777" w:rsidR="004373FE" w:rsidRPr="00B6039A" w:rsidRDefault="004373FE" w:rsidP="00EE0D9D">
            <w:pPr>
              <w:pStyle w:val="ListParagraph"/>
              <w:numPr>
                <w:ilvl w:val="0"/>
                <w:numId w:val="1"/>
              </w:numPr>
              <w:ind w:left="455"/>
            </w:pPr>
            <w:r w:rsidRPr="00B6039A">
              <w:t>Include in the New Zealand Health and Disability System Review how cost and other barriers can be reduced so people on low incomes can access primary care, dental care, alcohol and other drug services, mental healthcare, secondary care, and vision and hearing services.</w:t>
            </w:r>
          </w:p>
        </w:tc>
        <w:tc>
          <w:tcPr>
            <w:tcW w:w="1133" w:type="dxa"/>
            <w:vMerge/>
          </w:tcPr>
          <w:p w14:paraId="56AD7DEB" w14:textId="77777777" w:rsidR="004373FE" w:rsidRPr="00B6039A" w:rsidRDefault="004373FE" w:rsidP="00DA296E"/>
        </w:tc>
        <w:tc>
          <w:tcPr>
            <w:tcW w:w="3337" w:type="dxa"/>
            <w:vMerge/>
          </w:tcPr>
          <w:p w14:paraId="58C47411" w14:textId="77777777" w:rsidR="004373FE" w:rsidRPr="00B6039A" w:rsidRDefault="004373FE" w:rsidP="005C7983">
            <w:pPr>
              <w:ind w:left="178" w:hanging="92"/>
            </w:pPr>
          </w:p>
        </w:tc>
        <w:tc>
          <w:tcPr>
            <w:tcW w:w="3467" w:type="dxa"/>
            <w:shd w:val="clear" w:color="auto" w:fill="FC9C9C"/>
          </w:tcPr>
          <w:p w14:paraId="03A585E6" w14:textId="157068E2" w:rsidR="004373FE" w:rsidRPr="00B6039A" w:rsidRDefault="005E1481" w:rsidP="00DA296E">
            <w:r w:rsidRPr="00B6039A">
              <w:t>No evidence of implementation.</w:t>
            </w:r>
            <w:r w:rsidR="004373FE" w:rsidRPr="00B6039A">
              <w:t xml:space="preserve"> </w:t>
            </w:r>
          </w:p>
          <w:p w14:paraId="000E743E" w14:textId="77777777" w:rsidR="004373FE" w:rsidRPr="00B6039A" w:rsidRDefault="004373FE" w:rsidP="00DA296E"/>
          <w:p w14:paraId="458E1E07" w14:textId="77777777" w:rsidR="004373FE" w:rsidRPr="00B6039A" w:rsidRDefault="004373FE" w:rsidP="00DA296E">
            <w:r w:rsidRPr="00B6039A">
              <w:t>Costs discussed in the Review but no in-depth discussion of how these cost-related barriers can be reduced.</w:t>
            </w:r>
          </w:p>
        </w:tc>
      </w:tr>
      <w:tr w:rsidR="004373FE" w:rsidRPr="00B6039A" w14:paraId="6A19BA78" w14:textId="77777777" w:rsidTr="00AD5309">
        <w:trPr>
          <w:trHeight w:val="386"/>
        </w:trPr>
        <w:tc>
          <w:tcPr>
            <w:tcW w:w="1838" w:type="dxa"/>
            <w:vMerge/>
          </w:tcPr>
          <w:p w14:paraId="6AF3604E" w14:textId="77777777" w:rsidR="004373FE" w:rsidRPr="00B6039A" w:rsidRDefault="004373FE" w:rsidP="007601C3">
            <w:pPr>
              <w:ind w:left="29" w:firstLine="8"/>
              <w:rPr>
                <w:rFonts w:ascii="Calibri" w:hAnsi="Calibri" w:cs="Calibri"/>
                <w:bCs/>
                <w:color w:val="000000"/>
              </w:rPr>
            </w:pPr>
          </w:p>
        </w:tc>
        <w:tc>
          <w:tcPr>
            <w:tcW w:w="3687" w:type="dxa"/>
          </w:tcPr>
          <w:p w14:paraId="15C27378" w14:textId="77777777" w:rsidR="004373FE" w:rsidRPr="00B6039A" w:rsidRDefault="004373FE" w:rsidP="00EE0D9D">
            <w:pPr>
              <w:pStyle w:val="ListParagraph"/>
              <w:numPr>
                <w:ilvl w:val="0"/>
                <w:numId w:val="1"/>
              </w:numPr>
              <w:ind w:left="455"/>
            </w:pPr>
            <w:r w:rsidRPr="00B6039A">
              <w:t>De-couple Supported Living Payment Carer from Supported Living Payment, and create a carers benefit that continues to be paid at the same rate as Supported Living Payment. This allows more flexibility in the provision of non-financial support.</w:t>
            </w:r>
          </w:p>
        </w:tc>
        <w:tc>
          <w:tcPr>
            <w:tcW w:w="1133" w:type="dxa"/>
            <w:vMerge/>
          </w:tcPr>
          <w:p w14:paraId="5FD4820E" w14:textId="77777777" w:rsidR="004373FE" w:rsidRPr="00B6039A" w:rsidRDefault="004373FE" w:rsidP="00DA296E"/>
        </w:tc>
        <w:tc>
          <w:tcPr>
            <w:tcW w:w="3337" w:type="dxa"/>
            <w:vMerge/>
          </w:tcPr>
          <w:p w14:paraId="768E4D84" w14:textId="77777777" w:rsidR="004373FE" w:rsidRPr="00B6039A" w:rsidRDefault="004373FE" w:rsidP="005C7983">
            <w:pPr>
              <w:ind w:left="178" w:hanging="92"/>
            </w:pPr>
          </w:p>
        </w:tc>
        <w:tc>
          <w:tcPr>
            <w:tcW w:w="3467" w:type="dxa"/>
            <w:shd w:val="clear" w:color="auto" w:fill="FFA5A5"/>
          </w:tcPr>
          <w:p w14:paraId="4C40B983" w14:textId="52BF24D8" w:rsidR="004373FE" w:rsidRPr="00B6039A" w:rsidRDefault="005E1481" w:rsidP="00DA296E">
            <w:r w:rsidRPr="00B6039A">
              <w:t>No evidence of implementation.</w:t>
            </w:r>
          </w:p>
        </w:tc>
      </w:tr>
      <w:tr w:rsidR="004373FE" w:rsidRPr="00B6039A" w14:paraId="28FD87E4" w14:textId="77777777" w:rsidTr="00AD5309">
        <w:trPr>
          <w:trHeight w:val="386"/>
        </w:trPr>
        <w:tc>
          <w:tcPr>
            <w:tcW w:w="1838" w:type="dxa"/>
            <w:vMerge/>
          </w:tcPr>
          <w:p w14:paraId="78136C4D" w14:textId="77777777" w:rsidR="004373FE" w:rsidRPr="00B6039A" w:rsidRDefault="004373FE" w:rsidP="007601C3">
            <w:pPr>
              <w:ind w:left="29" w:firstLine="8"/>
              <w:rPr>
                <w:rFonts w:ascii="Calibri" w:hAnsi="Calibri" w:cs="Calibri"/>
                <w:bCs/>
                <w:color w:val="000000"/>
              </w:rPr>
            </w:pPr>
          </w:p>
        </w:tc>
        <w:tc>
          <w:tcPr>
            <w:tcW w:w="3687" w:type="dxa"/>
          </w:tcPr>
          <w:p w14:paraId="1C2EB698" w14:textId="77777777" w:rsidR="004373FE" w:rsidRPr="00B6039A" w:rsidRDefault="004373FE" w:rsidP="00EE0D9D">
            <w:pPr>
              <w:pStyle w:val="ListParagraph"/>
              <w:numPr>
                <w:ilvl w:val="0"/>
                <w:numId w:val="1"/>
              </w:numPr>
              <w:ind w:left="455"/>
            </w:pPr>
            <w:r w:rsidRPr="00B6039A">
              <w:t>Introduce an annual carers payment to help meet the additional costs associated with care.</w:t>
            </w:r>
          </w:p>
        </w:tc>
        <w:tc>
          <w:tcPr>
            <w:tcW w:w="1133" w:type="dxa"/>
            <w:vMerge/>
          </w:tcPr>
          <w:p w14:paraId="471F98FE" w14:textId="77777777" w:rsidR="004373FE" w:rsidRPr="00B6039A" w:rsidRDefault="004373FE" w:rsidP="00DA296E"/>
        </w:tc>
        <w:tc>
          <w:tcPr>
            <w:tcW w:w="3337" w:type="dxa"/>
            <w:vMerge/>
          </w:tcPr>
          <w:p w14:paraId="223D35D2" w14:textId="77777777" w:rsidR="004373FE" w:rsidRPr="00B6039A" w:rsidRDefault="004373FE" w:rsidP="005C7983">
            <w:pPr>
              <w:ind w:left="178" w:hanging="92"/>
            </w:pPr>
          </w:p>
        </w:tc>
        <w:tc>
          <w:tcPr>
            <w:tcW w:w="3467" w:type="dxa"/>
            <w:shd w:val="clear" w:color="auto" w:fill="FFA5A5"/>
          </w:tcPr>
          <w:p w14:paraId="21468232" w14:textId="251DE61C" w:rsidR="004373FE" w:rsidRPr="00B6039A" w:rsidRDefault="005E1481" w:rsidP="00DA296E">
            <w:r w:rsidRPr="00B6039A">
              <w:t>No evidence of implementation.</w:t>
            </w:r>
          </w:p>
        </w:tc>
      </w:tr>
      <w:tr w:rsidR="004373FE" w:rsidRPr="00B6039A" w14:paraId="1F56AA64" w14:textId="77777777" w:rsidTr="00AD5309">
        <w:trPr>
          <w:trHeight w:val="764"/>
        </w:trPr>
        <w:tc>
          <w:tcPr>
            <w:tcW w:w="1838" w:type="dxa"/>
            <w:vMerge w:val="restart"/>
          </w:tcPr>
          <w:p w14:paraId="2152F37F" w14:textId="77777777" w:rsidR="004373FE" w:rsidRPr="00B6039A" w:rsidRDefault="004373FE" w:rsidP="007601C3">
            <w:pPr>
              <w:pStyle w:val="Pa3"/>
              <w:spacing w:after="160"/>
              <w:ind w:left="29" w:firstLine="8"/>
              <w:rPr>
                <w:rFonts w:asciiTheme="minorHAnsi" w:hAnsiTheme="minorHAnsi" w:cstheme="minorHAnsi"/>
                <w:color w:val="000000"/>
                <w:sz w:val="28"/>
              </w:rPr>
            </w:pPr>
            <w:r w:rsidRPr="00B6039A">
              <w:rPr>
                <w:rFonts w:asciiTheme="minorHAnsi" w:hAnsiTheme="minorHAnsi" w:cstheme="minorHAnsi"/>
                <w:bCs/>
                <w:color w:val="000000"/>
                <w:sz w:val="22"/>
                <w:szCs w:val="20"/>
              </w:rPr>
              <w:t xml:space="preserve">Implementing in the welfare system a comprehensive approach to support the suitable employment of people with </w:t>
            </w:r>
            <w:r w:rsidRPr="00B6039A">
              <w:rPr>
                <w:rFonts w:asciiTheme="minorHAnsi" w:hAnsiTheme="minorHAnsi" w:cstheme="minorHAnsi"/>
                <w:bCs/>
                <w:color w:val="000000"/>
                <w:sz w:val="22"/>
                <w:szCs w:val="20"/>
              </w:rPr>
              <w:lastRenderedPageBreak/>
              <w:t xml:space="preserve">health conditions and disabilities and carers of people with health conditions and disabilities  </w:t>
            </w:r>
          </w:p>
        </w:tc>
        <w:tc>
          <w:tcPr>
            <w:tcW w:w="3687" w:type="dxa"/>
          </w:tcPr>
          <w:p w14:paraId="0654156C" w14:textId="77777777" w:rsidR="004373FE" w:rsidRPr="00B6039A" w:rsidRDefault="004373FE" w:rsidP="00EE0D9D">
            <w:pPr>
              <w:pStyle w:val="ListParagraph"/>
              <w:numPr>
                <w:ilvl w:val="0"/>
                <w:numId w:val="1"/>
              </w:numPr>
              <w:ind w:left="455"/>
            </w:pPr>
            <w:r w:rsidRPr="00B6039A">
              <w:lastRenderedPageBreak/>
              <w:t>Support the suitable employment of people with health conditions and disabilities, and carers, through early intervention with the right level of support</w:t>
            </w:r>
          </w:p>
        </w:tc>
        <w:tc>
          <w:tcPr>
            <w:tcW w:w="1133" w:type="dxa"/>
            <w:vMerge w:val="restart"/>
          </w:tcPr>
          <w:p w14:paraId="62C6923F" w14:textId="5C46D389" w:rsidR="004373FE" w:rsidRPr="00B6039A" w:rsidRDefault="004373FE" w:rsidP="00EE0D9D">
            <w:pPr>
              <w:ind w:left="179" w:hanging="93"/>
            </w:pPr>
            <w:r w:rsidRPr="00B6039A">
              <w:t xml:space="preserve">Key </w:t>
            </w:r>
            <w:r w:rsidR="00EE0D9D" w:rsidRPr="00B6039A">
              <w:t xml:space="preserve">Recs 40 </w:t>
            </w:r>
            <w:r w:rsidRPr="00B6039A">
              <w:t>and 41; Ch10</w:t>
            </w:r>
          </w:p>
        </w:tc>
        <w:tc>
          <w:tcPr>
            <w:tcW w:w="3337" w:type="dxa"/>
            <w:vMerge w:val="restart"/>
          </w:tcPr>
          <w:p w14:paraId="76E555B2" w14:textId="77777777" w:rsidR="004373FE" w:rsidRPr="00B6039A" w:rsidRDefault="004373FE" w:rsidP="005C7983">
            <w:pPr>
              <w:ind w:left="178" w:hanging="92"/>
            </w:pPr>
            <w:r w:rsidRPr="00B6039A">
              <w:t xml:space="preserve">In November 2019 the Government stated that improving supports and services for disabled people, people with health conditions and disabilities and their carers is part of the </w:t>
            </w:r>
            <w:r w:rsidRPr="00B6039A">
              <w:lastRenderedPageBreak/>
              <w:t>Government’s ‘medium-term’ work programme.</w:t>
            </w:r>
            <w:r w:rsidRPr="00B6039A">
              <w:rPr>
                <w:rStyle w:val="FootnoteReference"/>
              </w:rPr>
              <w:t xml:space="preserve"> </w:t>
            </w:r>
            <w:r w:rsidRPr="00B6039A">
              <w:rPr>
                <w:rStyle w:val="FootnoteReference"/>
              </w:rPr>
              <w:footnoteReference w:id="167"/>
            </w:r>
          </w:p>
          <w:p w14:paraId="5715938F" w14:textId="77777777" w:rsidR="004373FE" w:rsidRPr="00B6039A" w:rsidRDefault="004373FE" w:rsidP="005C7983">
            <w:pPr>
              <w:ind w:left="178" w:hanging="92"/>
            </w:pPr>
          </w:p>
          <w:p w14:paraId="71CAC590" w14:textId="77777777" w:rsidR="004373FE" w:rsidRPr="00B6039A" w:rsidRDefault="004373FE" w:rsidP="005C7983">
            <w:pPr>
              <w:ind w:left="178" w:hanging="92"/>
            </w:pPr>
            <w:r w:rsidRPr="00B6039A">
              <w:t xml:space="preserve">Budget 2019 saw additional funding to support disabled people and people with health conditions into employment through </w:t>
            </w:r>
            <w:proofErr w:type="spellStart"/>
            <w:r w:rsidRPr="00B6039A">
              <w:t>Oranga</w:t>
            </w:r>
            <w:proofErr w:type="spellEnd"/>
            <w:r w:rsidRPr="00B6039A">
              <w:t xml:space="preserve"> Mahi, disability Employment Services and Support Funds.</w:t>
            </w:r>
            <w:r w:rsidRPr="00B6039A">
              <w:rPr>
                <w:rStyle w:val="FootnoteReference"/>
              </w:rPr>
              <w:footnoteReference w:id="168"/>
            </w:r>
            <w:r w:rsidRPr="00B6039A">
              <w:t xml:space="preserve"> The Government has also stated that “consideration is required of how an expanded employment service will meet the needs of disabled people and people with long-term health conditions”, as well as consideration of “changing employer attitudes about these groups” and developing ‘tailored support’.</w:t>
            </w:r>
            <w:r w:rsidRPr="00B6039A">
              <w:rPr>
                <w:rStyle w:val="FootnoteReference"/>
              </w:rPr>
              <w:footnoteReference w:id="169"/>
            </w:r>
          </w:p>
        </w:tc>
        <w:tc>
          <w:tcPr>
            <w:tcW w:w="3467" w:type="dxa"/>
            <w:shd w:val="clear" w:color="auto" w:fill="FFA5A5"/>
          </w:tcPr>
          <w:p w14:paraId="0B0A25BE" w14:textId="4873C097" w:rsidR="004373FE" w:rsidRPr="00B6039A" w:rsidRDefault="005E1481" w:rsidP="00DA296E">
            <w:r w:rsidRPr="00B6039A">
              <w:lastRenderedPageBreak/>
              <w:t>No evidence of implementation.</w:t>
            </w:r>
          </w:p>
        </w:tc>
      </w:tr>
      <w:tr w:rsidR="004373FE" w:rsidRPr="00B6039A" w14:paraId="20B18477" w14:textId="77777777" w:rsidTr="00AD5309">
        <w:trPr>
          <w:trHeight w:val="762"/>
        </w:trPr>
        <w:tc>
          <w:tcPr>
            <w:tcW w:w="1838" w:type="dxa"/>
            <w:vMerge/>
          </w:tcPr>
          <w:p w14:paraId="5AD372ED" w14:textId="77777777" w:rsidR="004373FE" w:rsidRPr="00B6039A" w:rsidRDefault="004373FE" w:rsidP="007601C3">
            <w:pPr>
              <w:pStyle w:val="Pa3"/>
              <w:spacing w:after="160"/>
              <w:ind w:left="29" w:firstLine="8"/>
              <w:rPr>
                <w:rFonts w:asciiTheme="minorHAnsi" w:hAnsiTheme="minorHAnsi" w:cstheme="minorHAnsi"/>
                <w:bCs/>
                <w:color w:val="000000"/>
                <w:sz w:val="22"/>
                <w:szCs w:val="20"/>
              </w:rPr>
            </w:pPr>
          </w:p>
        </w:tc>
        <w:tc>
          <w:tcPr>
            <w:tcW w:w="3687" w:type="dxa"/>
          </w:tcPr>
          <w:p w14:paraId="7CECDB91" w14:textId="77777777" w:rsidR="004373FE" w:rsidRPr="00B6039A" w:rsidRDefault="004373FE" w:rsidP="00EE0D9D">
            <w:pPr>
              <w:pStyle w:val="ListParagraph"/>
              <w:numPr>
                <w:ilvl w:val="0"/>
                <w:numId w:val="1"/>
              </w:numPr>
              <w:ind w:left="455"/>
            </w:pPr>
            <w:r w:rsidRPr="00B6039A">
              <w:t xml:space="preserve">Support the suitable employment of people with health conditions and disabilities, </w:t>
            </w:r>
            <w:r w:rsidRPr="00B6039A">
              <w:lastRenderedPageBreak/>
              <w:t>and carers, through support for part-time work</w:t>
            </w:r>
          </w:p>
        </w:tc>
        <w:tc>
          <w:tcPr>
            <w:tcW w:w="1133" w:type="dxa"/>
            <w:vMerge/>
          </w:tcPr>
          <w:p w14:paraId="25B031FA" w14:textId="77777777" w:rsidR="004373FE" w:rsidRPr="00B6039A" w:rsidRDefault="004373FE" w:rsidP="00DA296E"/>
        </w:tc>
        <w:tc>
          <w:tcPr>
            <w:tcW w:w="3337" w:type="dxa"/>
            <w:vMerge/>
          </w:tcPr>
          <w:p w14:paraId="737A17AA" w14:textId="77777777" w:rsidR="004373FE" w:rsidRPr="00B6039A" w:rsidRDefault="004373FE" w:rsidP="005C7983">
            <w:pPr>
              <w:ind w:left="178" w:hanging="92"/>
            </w:pPr>
          </w:p>
        </w:tc>
        <w:tc>
          <w:tcPr>
            <w:tcW w:w="3467" w:type="dxa"/>
            <w:shd w:val="clear" w:color="auto" w:fill="FFA5A5"/>
          </w:tcPr>
          <w:p w14:paraId="2DEAB86A" w14:textId="53A8C63F" w:rsidR="004373FE" w:rsidRPr="00B6039A" w:rsidRDefault="005E1481" w:rsidP="00DA296E">
            <w:r w:rsidRPr="00B6039A">
              <w:t>No evidence of implementation.</w:t>
            </w:r>
          </w:p>
        </w:tc>
      </w:tr>
      <w:tr w:rsidR="004373FE" w:rsidRPr="00B6039A" w14:paraId="36C39410" w14:textId="77777777" w:rsidTr="00AD5309">
        <w:trPr>
          <w:trHeight w:val="762"/>
        </w:trPr>
        <w:tc>
          <w:tcPr>
            <w:tcW w:w="1838" w:type="dxa"/>
            <w:vMerge/>
          </w:tcPr>
          <w:p w14:paraId="5533876C" w14:textId="77777777" w:rsidR="004373FE" w:rsidRPr="00B6039A" w:rsidRDefault="004373FE" w:rsidP="007601C3">
            <w:pPr>
              <w:pStyle w:val="Pa3"/>
              <w:spacing w:after="160"/>
              <w:ind w:left="29" w:firstLine="8"/>
              <w:rPr>
                <w:rFonts w:asciiTheme="minorHAnsi" w:hAnsiTheme="minorHAnsi" w:cstheme="minorHAnsi"/>
                <w:bCs/>
                <w:color w:val="000000"/>
                <w:sz w:val="22"/>
                <w:szCs w:val="20"/>
              </w:rPr>
            </w:pPr>
          </w:p>
        </w:tc>
        <w:tc>
          <w:tcPr>
            <w:tcW w:w="3687" w:type="dxa"/>
          </w:tcPr>
          <w:p w14:paraId="34DF0AEF" w14:textId="77777777" w:rsidR="004373FE" w:rsidRPr="00B6039A" w:rsidRDefault="004373FE" w:rsidP="00EE0D9D">
            <w:pPr>
              <w:pStyle w:val="ListParagraph"/>
              <w:numPr>
                <w:ilvl w:val="0"/>
                <w:numId w:val="1"/>
              </w:numPr>
              <w:ind w:left="455"/>
            </w:pPr>
            <w:r w:rsidRPr="00B6039A">
              <w:t>Support the suitable employment of people with health conditions and disabilities, and carers, through evidence-based integrated employment and health supports and services</w:t>
            </w:r>
          </w:p>
        </w:tc>
        <w:tc>
          <w:tcPr>
            <w:tcW w:w="1133" w:type="dxa"/>
            <w:vMerge/>
          </w:tcPr>
          <w:p w14:paraId="6BB33E59" w14:textId="77777777" w:rsidR="004373FE" w:rsidRPr="00B6039A" w:rsidRDefault="004373FE" w:rsidP="00DA296E"/>
        </w:tc>
        <w:tc>
          <w:tcPr>
            <w:tcW w:w="3337" w:type="dxa"/>
            <w:vMerge/>
          </w:tcPr>
          <w:p w14:paraId="566BE021" w14:textId="77777777" w:rsidR="004373FE" w:rsidRPr="00B6039A" w:rsidRDefault="004373FE" w:rsidP="005C7983">
            <w:pPr>
              <w:ind w:left="178" w:hanging="92"/>
            </w:pPr>
          </w:p>
        </w:tc>
        <w:tc>
          <w:tcPr>
            <w:tcW w:w="3467" w:type="dxa"/>
            <w:shd w:val="clear" w:color="auto" w:fill="FFA5A5"/>
          </w:tcPr>
          <w:p w14:paraId="03823F50" w14:textId="486FE0E4" w:rsidR="004373FE" w:rsidRPr="00B6039A" w:rsidRDefault="005E1481" w:rsidP="00DA296E">
            <w:r w:rsidRPr="00B6039A">
              <w:t>No evidence of implementation.</w:t>
            </w:r>
          </w:p>
        </w:tc>
      </w:tr>
      <w:tr w:rsidR="004373FE" w:rsidRPr="00B6039A" w14:paraId="039254FF" w14:textId="77777777" w:rsidTr="00AD5309">
        <w:trPr>
          <w:trHeight w:val="762"/>
        </w:trPr>
        <w:tc>
          <w:tcPr>
            <w:tcW w:w="1838" w:type="dxa"/>
            <w:vMerge/>
          </w:tcPr>
          <w:p w14:paraId="081405E7" w14:textId="77777777" w:rsidR="004373FE" w:rsidRPr="00B6039A" w:rsidRDefault="004373FE" w:rsidP="007601C3">
            <w:pPr>
              <w:pStyle w:val="Pa3"/>
              <w:spacing w:after="160"/>
              <w:ind w:left="29" w:firstLine="8"/>
              <w:rPr>
                <w:rFonts w:asciiTheme="minorHAnsi" w:hAnsiTheme="minorHAnsi" w:cstheme="minorHAnsi"/>
                <w:bCs/>
                <w:color w:val="000000"/>
                <w:sz w:val="22"/>
                <w:szCs w:val="20"/>
              </w:rPr>
            </w:pPr>
          </w:p>
        </w:tc>
        <w:tc>
          <w:tcPr>
            <w:tcW w:w="3687" w:type="dxa"/>
          </w:tcPr>
          <w:p w14:paraId="03332B77" w14:textId="77777777" w:rsidR="004373FE" w:rsidRPr="00B6039A" w:rsidRDefault="004373FE" w:rsidP="00EE0D9D">
            <w:pPr>
              <w:pStyle w:val="ListParagraph"/>
              <w:numPr>
                <w:ilvl w:val="0"/>
                <w:numId w:val="1"/>
              </w:numPr>
              <w:ind w:left="455"/>
            </w:pPr>
            <w:r w:rsidRPr="00B6039A">
              <w:t>Support the suitable employment of people with health conditions and disabilities, and carers, through improved access to health supports and services to support return to work, with particular support for people with mental health problems or chronic conditions</w:t>
            </w:r>
          </w:p>
        </w:tc>
        <w:tc>
          <w:tcPr>
            <w:tcW w:w="1133" w:type="dxa"/>
            <w:vMerge/>
          </w:tcPr>
          <w:p w14:paraId="5D171EB7" w14:textId="77777777" w:rsidR="004373FE" w:rsidRPr="00B6039A" w:rsidRDefault="004373FE" w:rsidP="00DA296E"/>
        </w:tc>
        <w:tc>
          <w:tcPr>
            <w:tcW w:w="3337" w:type="dxa"/>
            <w:vMerge/>
          </w:tcPr>
          <w:p w14:paraId="5B022BF2" w14:textId="77777777" w:rsidR="004373FE" w:rsidRPr="00B6039A" w:rsidRDefault="004373FE" w:rsidP="005C7983">
            <w:pPr>
              <w:ind w:left="178" w:hanging="92"/>
            </w:pPr>
          </w:p>
        </w:tc>
        <w:tc>
          <w:tcPr>
            <w:tcW w:w="3467" w:type="dxa"/>
            <w:shd w:val="clear" w:color="auto" w:fill="FFE599" w:themeFill="accent4" w:themeFillTint="66"/>
          </w:tcPr>
          <w:p w14:paraId="7D5CCF1B" w14:textId="77777777" w:rsidR="004373FE" w:rsidRPr="00B6039A" w:rsidRDefault="004373FE" w:rsidP="00DA296E">
            <w:r w:rsidRPr="00B6039A">
              <w:t>Partial implementation.</w:t>
            </w:r>
          </w:p>
          <w:p w14:paraId="6C824A19" w14:textId="77777777" w:rsidR="004373FE" w:rsidRPr="00B6039A" w:rsidRDefault="004373FE" w:rsidP="00DA296E"/>
          <w:p w14:paraId="5D6194B2" w14:textId="77777777" w:rsidR="004373FE" w:rsidRPr="00B6039A" w:rsidRDefault="004373FE" w:rsidP="009E2475">
            <w:pPr>
              <w:ind w:left="237" w:firstLine="0"/>
            </w:pPr>
            <w:r w:rsidRPr="00B6039A">
              <w:t xml:space="preserve">Funding was increased for supporting employment for those with health conditions and disabilities in Budget 2019 through </w:t>
            </w:r>
            <w:proofErr w:type="spellStart"/>
            <w:r w:rsidRPr="00B6039A">
              <w:t>Oranga</w:t>
            </w:r>
            <w:proofErr w:type="spellEnd"/>
            <w:r w:rsidRPr="00B6039A">
              <w:t xml:space="preserve"> Mahi, disability Employment Services and Support Funds.</w:t>
            </w:r>
          </w:p>
        </w:tc>
      </w:tr>
      <w:tr w:rsidR="004373FE" w:rsidRPr="00B6039A" w14:paraId="32061457" w14:textId="77777777" w:rsidTr="00AD5309">
        <w:trPr>
          <w:trHeight w:val="762"/>
        </w:trPr>
        <w:tc>
          <w:tcPr>
            <w:tcW w:w="1838" w:type="dxa"/>
            <w:vMerge/>
          </w:tcPr>
          <w:p w14:paraId="1FD3766F" w14:textId="77777777" w:rsidR="004373FE" w:rsidRPr="00B6039A" w:rsidRDefault="004373FE" w:rsidP="007601C3">
            <w:pPr>
              <w:pStyle w:val="Pa3"/>
              <w:spacing w:after="160"/>
              <w:ind w:left="29" w:firstLine="8"/>
              <w:rPr>
                <w:rFonts w:asciiTheme="minorHAnsi" w:hAnsiTheme="minorHAnsi" w:cstheme="minorHAnsi"/>
                <w:bCs/>
                <w:color w:val="000000"/>
                <w:sz w:val="22"/>
                <w:szCs w:val="20"/>
              </w:rPr>
            </w:pPr>
          </w:p>
        </w:tc>
        <w:tc>
          <w:tcPr>
            <w:tcW w:w="3687" w:type="dxa"/>
          </w:tcPr>
          <w:p w14:paraId="0E7331DB" w14:textId="77777777" w:rsidR="004373FE" w:rsidRPr="00B6039A" w:rsidRDefault="004373FE" w:rsidP="00EE0D9D">
            <w:pPr>
              <w:pStyle w:val="ListParagraph"/>
              <w:numPr>
                <w:ilvl w:val="0"/>
                <w:numId w:val="1"/>
              </w:numPr>
              <w:ind w:left="455"/>
            </w:pPr>
            <w:r w:rsidRPr="00B6039A">
              <w:t xml:space="preserve"> Support the suitable employment of people with health conditions and disabilities, and carers, through easy re-entry to a benefit if employment ends</w:t>
            </w:r>
          </w:p>
        </w:tc>
        <w:tc>
          <w:tcPr>
            <w:tcW w:w="1133" w:type="dxa"/>
            <w:vMerge/>
          </w:tcPr>
          <w:p w14:paraId="744C5481" w14:textId="77777777" w:rsidR="004373FE" w:rsidRPr="00B6039A" w:rsidRDefault="004373FE" w:rsidP="00DA296E"/>
        </w:tc>
        <w:tc>
          <w:tcPr>
            <w:tcW w:w="3337" w:type="dxa"/>
            <w:vMerge/>
          </w:tcPr>
          <w:p w14:paraId="2F52D0AD" w14:textId="77777777" w:rsidR="004373FE" w:rsidRPr="00B6039A" w:rsidRDefault="004373FE" w:rsidP="005C7983">
            <w:pPr>
              <w:ind w:left="178" w:hanging="92"/>
            </w:pPr>
          </w:p>
        </w:tc>
        <w:tc>
          <w:tcPr>
            <w:tcW w:w="3467" w:type="dxa"/>
            <w:shd w:val="clear" w:color="auto" w:fill="FFA5A5"/>
          </w:tcPr>
          <w:p w14:paraId="171C4169" w14:textId="10C16680" w:rsidR="004373FE" w:rsidRPr="00B6039A" w:rsidRDefault="005E1481" w:rsidP="00DA296E">
            <w:r w:rsidRPr="00B6039A">
              <w:t>No evidence of implementation.</w:t>
            </w:r>
          </w:p>
        </w:tc>
      </w:tr>
      <w:tr w:rsidR="004373FE" w:rsidRPr="00B6039A" w14:paraId="2EE62D93" w14:textId="77777777" w:rsidTr="00AD5309">
        <w:trPr>
          <w:trHeight w:val="762"/>
        </w:trPr>
        <w:tc>
          <w:tcPr>
            <w:tcW w:w="1838" w:type="dxa"/>
            <w:vMerge/>
          </w:tcPr>
          <w:p w14:paraId="2E47141D" w14:textId="77777777" w:rsidR="004373FE" w:rsidRPr="00B6039A" w:rsidRDefault="004373FE" w:rsidP="007601C3">
            <w:pPr>
              <w:pStyle w:val="Pa3"/>
              <w:spacing w:after="160"/>
              <w:ind w:left="29" w:firstLine="8"/>
              <w:rPr>
                <w:rFonts w:asciiTheme="minorHAnsi" w:hAnsiTheme="minorHAnsi" w:cstheme="minorHAnsi"/>
                <w:bCs/>
                <w:color w:val="000000"/>
                <w:sz w:val="22"/>
                <w:szCs w:val="20"/>
              </w:rPr>
            </w:pPr>
          </w:p>
        </w:tc>
        <w:tc>
          <w:tcPr>
            <w:tcW w:w="3687" w:type="dxa"/>
          </w:tcPr>
          <w:p w14:paraId="77DB7373" w14:textId="77777777" w:rsidR="004373FE" w:rsidRPr="00B6039A" w:rsidRDefault="004373FE" w:rsidP="00EE0D9D">
            <w:pPr>
              <w:pStyle w:val="ListParagraph"/>
              <w:numPr>
                <w:ilvl w:val="0"/>
                <w:numId w:val="1"/>
              </w:numPr>
              <w:ind w:left="455"/>
            </w:pPr>
            <w:r w:rsidRPr="00B6039A">
              <w:t xml:space="preserve">Support the suitable employment of people with health conditions and disabilities, and carers, through support for employers toy take on or retain people with health conditions </w:t>
            </w:r>
            <w:r w:rsidRPr="00B6039A">
              <w:lastRenderedPageBreak/>
              <w:t>and disabilities and carers (for example, wage subsidies and workplace accommodations).</w:t>
            </w:r>
          </w:p>
        </w:tc>
        <w:tc>
          <w:tcPr>
            <w:tcW w:w="1133" w:type="dxa"/>
            <w:vMerge/>
          </w:tcPr>
          <w:p w14:paraId="38E8F797" w14:textId="77777777" w:rsidR="004373FE" w:rsidRPr="00B6039A" w:rsidRDefault="004373FE" w:rsidP="00DA296E"/>
        </w:tc>
        <w:tc>
          <w:tcPr>
            <w:tcW w:w="3337" w:type="dxa"/>
            <w:vMerge/>
          </w:tcPr>
          <w:p w14:paraId="5C6F3C96" w14:textId="77777777" w:rsidR="004373FE" w:rsidRPr="00B6039A" w:rsidRDefault="004373FE" w:rsidP="005C7983">
            <w:pPr>
              <w:ind w:left="178" w:hanging="92"/>
            </w:pPr>
          </w:p>
        </w:tc>
        <w:tc>
          <w:tcPr>
            <w:tcW w:w="3467" w:type="dxa"/>
            <w:shd w:val="clear" w:color="auto" w:fill="FFA5A5"/>
          </w:tcPr>
          <w:p w14:paraId="32743370" w14:textId="3B489C03" w:rsidR="004373FE" w:rsidRPr="00B6039A" w:rsidRDefault="005E1481" w:rsidP="00DA296E">
            <w:r w:rsidRPr="00B6039A">
              <w:t>No evidence of implementation.</w:t>
            </w:r>
          </w:p>
        </w:tc>
      </w:tr>
      <w:tr w:rsidR="004373FE" w:rsidRPr="00B6039A" w14:paraId="199DF226" w14:textId="77777777" w:rsidTr="00AD5309">
        <w:trPr>
          <w:trHeight w:val="762"/>
        </w:trPr>
        <w:tc>
          <w:tcPr>
            <w:tcW w:w="1838" w:type="dxa"/>
            <w:vMerge/>
          </w:tcPr>
          <w:p w14:paraId="4F6F2ABB" w14:textId="77777777" w:rsidR="004373FE" w:rsidRPr="00B6039A" w:rsidRDefault="004373FE" w:rsidP="007601C3">
            <w:pPr>
              <w:pStyle w:val="Pa3"/>
              <w:spacing w:after="160"/>
              <w:ind w:left="29" w:firstLine="8"/>
              <w:rPr>
                <w:rFonts w:asciiTheme="minorHAnsi" w:hAnsiTheme="minorHAnsi" w:cstheme="minorHAnsi"/>
                <w:bCs/>
                <w:color w:val="000000"/>
                <w:sz w:val="22"/>
                <w:szCs w:val="20"/>
              </w:rPr>
            </w:pPr>
          </w:p>
        </w:tc>
        <w:tc>
          <w:tcPr>
            <w:tcW w:w="3687" w:type="dxa"/>
          </w:tcPr>
          <w:p w14:paraId="76C728F6" w14:textId="77777777" w:rsidR="004373FE" w:rsidRPr="00B6039A" w:rsidRDefault="004373FE" w:rsidP="00EE0D9D">
            <w:pPr>
              <w:pStyle w:val="ListParagraph"/>
              <w:numPr>
                <w:ilvl w:val="0"/>
                <w:numId w:val="1"/>
              </w:numPr>
              <w:ind w:left="455"/>
            </w:pPr>
            <w:r w:rsidRPr="00B6039A">
              <w:t>Support the recommendations of the Government Inquiry into Mental Health and Addiction and the 2018 OECD report Mental Health and Work: New Zealand, because of the large proportion of people receiving health and disability benefits whose primary barrier to work is a mental health condition.</w:t>
            </w:r>
          </w:p>
        </w:tc>
        <w:tc>
          <w:tcPr>
            <w:tcW w:w="1133" w:type="dxa"/>
            <w:vMerge/>
          </w:tcPr>
          <w:p w14:paraId="517B6E2F" w14:textId="77777777" w:rsidR="004373FE" w:rsidRPr="00B6039A" w:rsidRDefault="004373FE" w:rsidP="00DA296E"/>
        </w:tc>
        <w:tc>
          <w:tcPr>
            <w:tcW w:w="3337" w:type="dxa"/>
            <w:vMerge/>
          </w:tcPr>
          <w:p w14:paraId="073EF4FE" w14:textId="77777777" w:rsidR="004373FE" w:rsidRPr="00B6039A" w:rsidRDefault="004373FE" w:rsidP="005C7983">
            <w:pPr>
              <w:ind w:left="178" w:hanging="92"/>
            </w:pPr>
          </w:p>
        </w:tc>
        <w:tc>
          <w:tcPr>
            <w:tcW w:w="3467" w:type="dxa"/>
            <w:shd w:val="clear" w:color="auto" w:fill="BCE292"/>
          </w:tcPr>
          <w:p w14:paraId="154967AD" w14:textId="77777777" w:rsidR="004373FE" w:rsidRPr="00B6039A" w:rsidRDefault="004373FE" w:rsidP="00DA296E">
            <w:r w:rsidRPr="00B6039A">
              <w:t>Full implementation.</w:t>
            </w:r>
          </w:p>
          <w:p w14:paraId="3C1B228D" w14:textId="77777777" w:rsidR="004373FE" w:rsidRPr="00B6039A" w:rsidRDefault="004373FE" w:rsidP="00DA296E"/>
          <w:p w14:paraId="780958BB" w14:textId="77777777" w:rsidR="004373FE" w:rsidRPr="00B6039A" w:rsidRDefault="004373FE" w:rsidP="009E2475">
            <w:pPr>
              <w:ind w:left="95" w:hanging="9"/>
            </w:pPr>
            <w:r w:rsidRPr="00B6039A">
              <w:t xml:space="preserve">The Government has committed to transform the mental health system as recommended in He Ara </w:t>
            </w:r>
            <w:proofErr w:type="spellStart"/>
            <w:r w:rsidRPr="00B6039A">
              <w:t>Oranga</w:t>
            </w:r>
            <w:proofErr w:type="spellEnd"/>
            <w:r w:rsidRPr="00B6039A">
              <w:t xml:space="preserve"> – Report of the Government Inquiry into Mental Health and Addiction.</w:t>
            </w:r>
            <w:r w:rsidRPr="00B6039A">
              <w:rPr>
                <w:rStyle w:val="FootnoteReference"/>
              </w:rPr>
              <w:footnoteReference w:id="170"/>
            </w:r>
            <w:r w:rsidRPr="00B6039A">
              <w:t xml:space="preserve"> It has also supported the need to improve outcomes for people with mental health and addiction needs according to the findings of the OECD’s Mental Health and Work report.</w:t>
            </w:r>
            <w:r w:rsidRPr="00B6039A">
              <w:rPr>
                <w:rStyle w:val="FootnoteReference"/>
              </w:rPr>
              <w:footnoteReference w:id="171"/>
            </w:r>
          </w:p>
        </w:tc>
      </w:tr>
      <w:tr w:rsidR="004373FE" w:rsidRPr="00B6039A" w14:paraId="4767B4DA" w14:textId="77777777" w:rsidTr="00AD5309">
        <w:trPr>
          <w:trHeight w:val="183"/>
        </w:trPr>
        <w:tc>
          <w:tcPr>
            <w:tcW w:w="1838" w:type="dxa"/>
          </w:tcPr>
          <w:p w14:paraId="5B5F6B27" w14:textId="77777777" w:rsidR="004373FE" w:rsidRPr="00B6039A" w:rsidRDefault="004373FE" w:rsidP="007601C3">
            <w:pPr>
              <w:ind w:left="29" w:firstLine="8"/>
              <w:rPr>
                <w:rFonts w:ascii="Calibri" w:hAnsi="Calibri" w:cs="Calibri"/>
                <w:bCs/>
                <w:color w:val="000000"/>
              </w:rPr>
            </w:pPr>
            <w:r w:rsidRPr="00B6039A">
              <w:rPr>
                <w:rFonts w:cstheme="minorHAnsi"/>
                <w:bCs/>
                <w:color w:val="000000"/>
                <w:szCs w:val="20"/>
              </w:rPr>
              <w:t>Meaningful community participation to promote wellbeing</w:t>
            </w:r>
          </w:p>
        </w:tc>
        <w:tc>
          <w:tcPr>
            <w:tcW w:w="3687" w:type="dxa"/>
          </w:tcPr>
          <w:p w14:paraId="769E9EB7" w14:textId="77777777" w:rsidR="004373FE" w:rsidRPr="00B6039A" w:rsidRDefault="004373FE" w:rsidP="00EE0D9D">
            <w:pPr>
              <w:pStyle w:val="ListParagraph"/>
              <w:numPr>
                <w:ilvl w:val="0"/>
                <w:numId w:val="1"/>
              </w:numPr>
              <w:ind w:left="455"/>
            </w:pPr>
            <w:r w:rsidRPr="00B6039A">
              <w:t xml:space="preserve">Work with the Ministry of Health to ensure those who are unlikely to ever engage in paid work are supported to participate meaningfully in their communities. </w:t>
            </w:r>
          </w:p>
        </w:tc>
        <w:tc>
          <w:tcPr>
            <w:tcW w:w="1133" w:type="dxa"/>
          </w:tcPr>
          <w:p w14:paraId="3E3BD3BB" w14:textId="5C2F4CD9" w:rsidR="004373FE" w:rsidRPr="00B6039A" w:rsidRDefault="004373FE" w:rsidP="005C7983">
            <w:pPr>
              <w:ind w:left="179" w:hanging="93"/>
            </w:pPr>
            <w:r w:rsidRPr="00B6039A">
              <w:t xml:space="preserve">Key </w:t>
            </w:r>
            <w:r w:rsidR="005C7983" w:rsidRPr="00B6039A">
              <w:t xml:space="preserve">Rec </w:t>
            </w:r>
            <w:r w:rsidRPr="00B6039A">
              <w:t>42; Chapter 10</w:t>
            </w:r>
          </w:p>
        </w:tc>
        <w:tc>
          <w:tcPr>
            <w:tcW w:w="3337" w:type="dxa"/>
          </w:tcPr>
          <w:p w14:paraId="18369383" w14:textId="77777777" w:rsidR="004373FE" w:rsidRPr="00B6039A" w:rsidRDefault="004373FE" w:rsidP="005C7983">
            <w:pPr>
              <w:ind w:left="178" w:hanging="92"/>
            </w:pPr>
            <w:r w:rsidRPr="00B6039A">
              <w:t>The Government has stated that work is ‘already underway’ to address Key Recommendation 42.</w:t>
            </w:r>
            <w:r w:rsidRPr="00B6039A">
              <w:rPr>
                <w:rStyle w:val="FootnoteReference"/>
              </w:rPr>
              <w:footnoteReference w:id="172"/>
            </w:r>
          </w:p>
          <w:p w14:paraId="00C5D59F" w14:textId="77777777" w:rsidR="004373FE" w:rsidRPr="00B6039A" w:rsidRDefault="004373FE" w:rsidP="005C7983">
            <w:pPr>
              <w:ind w:left="178" w:hanging="92"/>
            </w:pPr>
          </w:p>
          <w:p w14:paraId="40A0DDBF" w14:textId="77777777" w:rsidR="004373FE" w:rsidRPr="00B6039A" w:rsidRDefault="004373FE" w:rsidP="005C7983">
            <w:pPr>
              <w:ind w:left="178" w:hanging="92"/>
            </w:pPr>
            <w:r w:rsidRPr="00B6039A">
              <w:t xml:space="preserve">In November 2019, the Government reported that “the Social Wellbeing Board has been commissioned to explore NGO contracting and relationships across government”. It also </w:t>
            </w:r>
            <w:r w:rsidRPr="00B6039A">
              <w:lastRenderedPageBreak/>
              <w:t>stated that work is ‘underway’ to explore how MSD can increase its role working with the community sector, and better support volunteering.</w:t>
            </w:r>
            <w:r w:rsidRPr="00B6039A">
              <w:rPr>
                <w:rStyle w:val="FootnoteReference"/>
              </w:rPr>
              <w:footnoteReference w:id="173"/>
            </w:r>
          </w:p>
        </w:tc>
        <w:tc>
          <w:tcPr>
            <w:tcW w:w="3467" w:type="dxa"/>
            <w:shd w:val="clear" w:color="auto" w:fill="FFA5A5"/>
          </w:tcPr>
          <w:p w14:paraId="7667CFF0" w14:textId="7022FAAB" w:rsidR="004373FE" w:rsidRPr="00B6039A" w:rsidRDefault="005E1481" w:rsidP="00DA296E">
            <w:r w:rsidRPr="00B6039A">
              <w:lastRenderedPageBreak/>
              <w:t>No evidence of implementation.</w:t>
            </w:r>
            <w:r w:rsidR="004373FE" w:rsidRPr="00B6039A">
              <w:t xml:space="preserve"> </w:t>
            </w:r>
          </w:p>
          <w:p w14:paraId="07A1108B" w14:textId="77777777" w:rsidR="004373FE" w:rsidRPr="00B6039A" w:rsidRDefault="004373FE" w:rsidP="00DA296E"/>
          <w:p w14:paraId="49045CC4" w14:textId="77777777" w:rsidR="004373FE" w:rsidRPr="00B6039A" w:rsidRDefault="004373FE" w:rsidP="009E2475">
            <w:pPr>
              <w:ind w:left="95" w:hanging="9"/>
            </w:pPr>
            <w:r w:rsidRPr="00B6039A">
              <w:t>Public debate over the role of volunteering for recipients of income support has taken place,</w:t>
            </w:r>
            <w:r w:rsidRPr="00B6039A">
              <w:rPr>
                <w:rStyle w:val="FootnoteReference"/>
              </w:rPr>
              <w:footnoteReference w:id="174"/>
            </w:r>
            <w:r w:rsidRPr="00B6039A">
              <w:t xml:space="preserve"> but no observable progress in this space. </w:t>
            </w:r>
          </w:p>
        </w:tc>
      </w:tr>
      <w:tr w:rsidR="004373FE" w:rsidRPr="00B6039A" w14:paraId="4FE236A7" w14:textId="77777777" w:rsidTr="00AD5309">
        <w:trPr>
          <w:trHeight w:val="103"/>
        </w:trPr>
        <w:tc>
          <w:tcPr>
            <w:tcW w:w="1838" w:type="dxa"/>
            <w:vMerge w:val="restart"/>
          </w:tcPr>
          <w:p w14:paraId="7091ED61" w14:textId="77777777" w:rsidR="004373FE" w:rsidRPr="00B6039A" w:rsidRDefault="004373FE" w:rsidP="007601C3">
            <w:pPr>
              <w:ind w:left="29" w:firstLine="8"/>
              <w:rPr>
                <w:rFonts w:cstheme="minorHAnsi"/>
                <w:bCs/>
                <w:color w:val="000000"/>
                <w:szCs w:val="20"/>
              </w:rPr>
            </w:pPr>
            <w:r w:rsidRPr="00B6039A">
              <w:rPr>
                <w:rFonts w:cstheme="minorHAnsi"/>
                <w:bCs/>
                <w:color w:val="000000"/>
                <w:szCs w:val="20"/>
              </w:rPr>
              <w:t>Prevention and harm reduction</w:t>
            </w:r>
          </w:p>
        </w:tc>
        <w:tc>
          <w:tcPr>
            <w:tcW w:w="3687" w:type="dxa"/>
          </w:tcPr>
          <w:p w14:paraId="294C8871" w14:textId="77777777" w:rsidR="004373FE" w:rsidRPr="00B6039A" w:rsidRDefault="004373FE" w:rsidP="009E2475">
            <w:pPr>
              <w:pStyle w:val="ListParagraph"/>
              <w:numPr>
                <w:ilvl w:val="0"/>
                <w:numId w:val="2"/>
              </w:numPr>
              <w:ind w:left="313"/>
            </w:pPr>
            <w:r w:rsidRPr="00B6039A">
              <w:t>Work to eliminate people’s negative experiences with MSD, which worsen mental distress, by changing the way MSD interacts with people in line with our proposed purpose, principles and values.</w:t>
            </w:r>
          </w:p>
        </w:tc>
        <w:tc>
          <w:tcPr>
            <w:tcW w:w="1133" w:type="dxa"/>
            <w:vMerge w:val="restart"/>
          </w:tcPr>
          <w:p w14:paraId="781B2798" w14:textId="77777777" w:rsidR="004373FE" w:rsidRPr="00B6039A" w:rsidRDefault="004373FE" w:rsidP="00DA296E">
            <w:r w:rsidRPr="00B6039A">
              <w:t>Chapter 10</w:t>
            </w:r>
          </w:p>
        </w:tc>
        <w:tc>
          <w:tcPr>
            <w:tcW w:w="3337" w:type="dxa"/>
            <w:vMerge w:val="restart"/>
          </w:tcPr>
          <w:p w14:paraId="44CAFC89" w14:textId="77777777" w:rsidR="004373FE" w:rsidRPr="00B6039A" w:rsidRDefault="004373FE" w:rsidP="005C7983">
            <w:pPr>
              <w:ind w:left="178" w:hanging="92"/>
            </w:pPr>
          </w:p>
        </w:tc>
        <w:tc>
          <w:tcPr>
            <w:tcW w:w="3467" w:type="dxa"/>
            <w:shd w:val="clear" w:color="auto" w:fill="FFA5A5"/>
          </w:tcPr>
          <w:p w14:paraId="3A46F999" w14:textId="17E9ABE7" w:rsidR="004373FE" w:rsidRPr="00B6039A" w:rsidRDefault="005E1481" w:rsidP="00DA296E">
            <w:r w:rsidRPr="00B6039A">
              <w:t>No evidence of implementation.</w:t>
            </w:r>
          </w:p>
        </w:tc>
      </w:tr>
      <w:tr w:rsidR="004373FE" w:rsidRPr="00B6039A" w14:paraId="4FE8C5EA" w14:textId="77777777" w:rsidTr="00AD5309">
        <w:trPr>
          <w:trHeight w:val="101"/>
        </w:trPr>
        <w:tc>
          <w:tcPr>
            <w:tcW w:w="1838" w:type="dxa"/>
            <w:vMerge/>
          </w:tcPr>
          <w:p w14:paraId="345776DE" w14:textId="77777777" w:rsidR="004373FE" w:rsidRPr="00B6039A" w:rsidRDefault="004373FE" w:rsidP="007601C3">
            <w:pPr>
              <w:ind w:left="29" w:firstLine="8"/>
              <w:rPr>
                <w:rFonts w:cstheme="minorHAnsi"/>
                <w:bCs/>
                <w:color w:val="000000"/>
                <w:szCs w:val="20"/>
              </w:rPr>
            </w:pPr>
          </w:p>
        </w:tc>
        <w:tc>
          <w:tcPr>
            <w:tcW w:w="3687" w:type="dxa"/>
          </w:tcPr>
          <w:p w14:paraId="1A77E018" w14:textId="77777777" w:rsidR="004373FE" w:rsidRPr="00B6039A" w:rsidRDefault="004373FE" w:rsidP="009E2475">
            <w:pPr>
              <w:pStyle w:val="ListParagraph"/>
              <w:numPr>
                <w:ilvl w:val="0"/>
                <w:numId w:val="2"/>
              </w:numPr>
              <w:ind w:left="313"/>
            </w:pPr>
            <w:r w:rsidRPr="00B6039A">
              <w:t>Oversee and coordinate cross-government responses to improving social wellbeing, including tackling the social determinants of poor health and disability.</w:t>
            </w:r>
          </w:p>
        </w:tc>
        <w:tc>
          <w:tcPr>
            <w:tcW w:w="1133" w:type="dxa"/>
            <w:vMerge/>
          </w:tcPr>
          <w:p w14:paraId="03DCAA1A" w14:textId="77777777" w:rsidR="004373FE" w:rsidRPr="00B6039A" w:rsidRDefault="004373FE" w:rsidP="00DA296E"/>
        </w:tc>
        <w:tc>
          <w:tcPr>
            <w:tcW w:w="3337" w:type="dxa"/>
            <w:vMerge/>
          </w:tcPr>
          <w:p w14:paraId="43764F75" w14:textId="77777777" w:rsidR="004373FE" w:rsidRPr="00B6039A" w:rsidRDefault="004373FE" w:rsidP="00DA296E"/>
        </w:tc>
        <w:tc>
          <w:tcPr>
            <w:tcW w:w="3467" w:type="dxa"/>
            <w:shd w:val="clear" w:color="auto" w:fill="FFA5A5"/>
          </w:tcPr>
          <w:p w14:paraId="2CD31532" w14:textId="6102B91C" w:rsidR="004373FE" w:rsidRPr="00B6039A" w:rsidRDefault="005E1481" w:rsidP="00DA296E">
            <w:r w:rsidRPr="00B6039A">
              <w:t>No evidence of implementation.</w:t>
            </w:r>
            <w:r w:rsidR="004373FE" w:rsidRPr="00B6039A">
              <w:t xml:space="preserve"> </w:t>
            </w:r>
          </w:p>
          <w:p w14:paraId="266D7330" w14:textId="77777777" w:rsidR="004373FE" w:rsidRPr="00B6039A" w:rsidRDefault="004373FE" w:rsidP="00DA296E">
            <w:r w:rsidRPr="00B6039A">
              <w:t>Despite the ‘wellbeing approach’ of the Coalition Government, and its world-first ‘Wellbeing Budget’,</w:t>
            </w:r>
            <w:r w:rsidRPr="00B6039A">
              <w:rPr>
                <w:rStyle w:val="FootnoteReference"/>
              </w:rPr>
              <w:footnoteReference w:id="175"/>
            </w:r>
            <w:r w:rsidRPr="00B6039A">
              <w:t xml:space="preserve"> policies to address this recommendation have not been implemented.</w:t>
            </w:r>
          </w:p>
        </w:tc>
      </w:tr>
      <w:tr w:rsidR="004373FE" w:rsidRPr="00B6039A" w14:paraId="22EC67B2" w14:textId="77777777" w:rsidTr="00AD5309">
        <w:trPr>
          <w:trHeight w:val="101"/>
        </w:trPr>
        <w:tc>
          <w:tcPr>
            <w:tcW w:w="1838" w:type="dxa"/>
            <w:vMerge/>
          </w:tcPr>
          <w:p w14:paraId="2FFD74CE" w14:textId="77777777" w:rsidR="004373FE" w:rsidRPr="00B6039A" w:rsidRDefault="004373FE" w:rsidP="007601C3">
            <w:pPr>
              <w:ind w:left="29" w:firstLine="8"/>
              <w:rPr>
                <w:rFonts w:cstheme="minorHAnsi"/>
                <w:bCs/>
                <w:color w:val="000000"/>
                <w:szCs w:val="20"/>
              </w:rPr>
            </w:pPr>
          </w:p>
        </w:tc>
        <w:tc>
          <w:tcPr>
            <w:tcW w:w="3687" w:type="dxa"/>
          </w:tcPr>
          <w:p w14:paraId="2976D1AA" w14:textId="77777777" w:rsidR="004373FE" w:rsidRPr="00B6039A" w:rsidRDefault="004373FE" w:rsidP="009E2475">
            <w:pPr>
              <w:pStyle w:val="ListParagraph"/>
              <w:numPr>
                <w:ilvl w:val="0"/>
                <w:numId w:val="2"/>
              </w:numPr>
              <w:ind w:left="313"/>
            </w:pPr>
            <w:r w:rsidRPr="00B6039A">
              <w:t>Enhance cross-government investment in prevention and resilience-building activities for young people and people in workplaces.</w:t>
            </w:r>
          </w:p>
        </w:tc>
        <w:tc>
          <w:tcPr>
            <w:tcW w:w="1133" w:type="dxa"/>
            <w:vMerge/>
          </w:tcPr>
          <w:p w14:paraId="4E561D88" w14:textId="77777777" w:rsidR="004373FE" w:rsidRPr="00B6039A" w:rsidRDefault="004373FE" w:rsidP="00DA296E"/>
        </w:tc>
        <w:tc>
          <w:tcPr>
            <w:tcW w:w="3337" w:type="dxa"/>
            <w:vMerge/>
          </w:tcPr>
          <w:p w14:paraId="58B7BBC7" w14:textId="77777777" w:rsidR="004373FE" w:rsidRPr="00B6039A" w:rsidRDefault="004373FE" w:rsidP="00DA296E"/>
        </w:tc>
        <w:tc>
          <w:tcPr>
            <w:tcW w:w="3467" w:type="dxa"/>
            <w:shd w:val="clear" w:color="auto" w:fill="FFA5A5"/>
          </w:tcPr>
          <w:p w14:paraId="1BABA52D" w14:textId="30737716" w:rsidR="004373FE" w:rsidRPr="00B6039A" w:rsidRDefault="005E1481" w:rsidP="00DA296E">
            <w:r w:rsidRPr="00B6039A">
              <w:t>No evidence of implementation.</w:t>
            </w:r>
          </w:p>
        </w:tc>
      </w:tr>
    </w:tbl>
    <w:p w14:paraId="6252E1EB" w14:textId="77777777" w:rsidR="004373FE" w:rsidRPr="00B6039A" w:rsidRDefault="004373FE" w:rsidP="004373FE">
      <w:pPr>
        <w:ind w:left="0" w:firstLine="0"/>
        <w:rPr>
          <w:b/>
        </w:rPr>
      </w:pPr>
    </w:p>
    <w:p w14:paraId="20B1CE70" w14:textId="77777777" w:rsidR="004373FE" w:rsidRPr="00B6039A" w:rsidRDefault="004373FE" w:rsidP="004373FE">
      <w:pPr>
        <w:ind w:left="0" w:firstLine="0"/>
      </w:pPr>
    </w:p>
    <w:p w14:paraId="60495EE6" w14:textId="77777777" w:rsidR="004373FE" w:rsidRPr="00B6039A" w:rsidRDefault="004373FE" w:rsidP="004373FE">
      <w:pPr>
        <w:ind w:left="0" w:firstLine="0"/>
      </w:pPr>
    </w:p>
    <w:p w14:paraId="517CEE90" w14:textId="77777777" w:rsidR="002203FB" w:rsidRPr="00B6039A" w:rsidRDefault="002203FB" w:rsidP="0043028C"/>
    <w:p w14:paraId="488D310A" w14:textId="77777777" w:rsidR="00762E7A" w:rsidRPr="00B6039A" w:rsidRDefault="00762E7A" w:rsidP="0043028C"/>
    <w:p w14:paraId="3B0C0329" w14:textId="77777777" w:rsidR="00762E7A" w:rsidRPr="00B6039A" w:rsidRDefault="00762E7A" w:rsidP="0043028C"/>
    <w:p w14:paraId="3FA99945" w14:textId="77777777" w:rsidR="00762E7A" w:rsidRPr="00B6039A" w:rsidRDefault="00762E7A" w:rsidP="0043028C">
      <w:pPr>
        <w:sectPr w:rsidR="00762E7A" w:rsidRPr="00B6039A" w:rsidSect="00A642D5">
          <w:headerReference w:type="default" r:id="rId15"/>
          <w:pgSz w:w="16838" w:h="11906" w:orient="landscape"/>
          <w:pgMar w:top="1440" w:right="1440" w:bottom="1440" w:left="1440" w:header="706" w:footer="706" w:gutter="0"/>
          <w:cols w:space="708"/>
          <w:docGrid w:linePitch="360"/>
        </w:sectPr>
      </w:pPr>
    </w:p>
    <w:p w14:paraId="19732506" w14:textId="205CC733" w:rsidR="000D3423" w:rsidRPr="00B6039A" w:rsidRDefault="00762E7A" w:rsidP="00A642D5">
      <w:pPr>
        <w:pStyle w:val="Heading1"/>
        <w:ind w:left="0" w:firstLine="0"/>
      </w:pPr>
      <w:bookmarkStart w:id="14" w:name="_Toc57025847"/>
      <w:proofErr w:type="spellStart"/>
      <w:r w:rsidRPr="00B6039A">
        <w:rPr>
          <w:i/>
        </w:rPr>
        <w:lastRenderedPageBreak/>
        <w:t>W</w:t>
      </w:r>
      <w:r w:rsidR="00BF2E16" w:rsidRPr="00B6039A">
        <w:rPr>
          <w:i/>
        </w:rPr>
        <w:t>hakamana</w:t>
      </w:r>
      <w:proofErr w:type="spellEnd"/>
      <w:r w:rsidR="00BF2E16" w:rsidRPr="00B6039A">
        <w:rPr>
          <w:i/>
        </w:rPr>
        <w:t xml:space="preserve"> </w:t>
      </w:r>
      <w:proofErr w:type="spellStart"/>
      <w:r w:rsidR="00BF2E16" w:rsidRPr="00B6039A">
        <w:rPr>
          <w:i/>
        </w:rPr>
        <w:t>Tāngata</w:t>
      </w:r>
      <w:proofErr w:type="spellEnd"/>
      <w:r w:rsidR="002D3C27" w:rsidRPr="00B6039A">
        <w:rPr>
          <w:i/>
        </w:rPr>
        <w:t xml:space="preserve">: </w:t>
      </w:r>
      <w:r w:rsidR="00BF2E16" w:rsidRPr="00B6039A">
        <w:t>t</w:t>
      </w:r>
      <w:r w:rsidR="007F7861" w:rsidRPr="00B6039A">
        <w:t>he road ahead</w:t>
      </w:r>
      <w:r w:rsidR="00F46D48" w:rsidRPr="00B6039A">
        <w:t xml:space="preserve"> and CPAG’s recommendations</w:t>
      </w:r>
      <w:bookmarkEnd w:id="14"/>
    </w:p>
    <w:p w14:paraId="7160149F" w14:textId="77777777" w:rsidR="00D06EE2" w:rsidRPr="00B6039A" w:rsidRDefault="00D06EE2" w:rsidP="007710A6">
      <w:pPr>
        <w:ind w:left="0" w:firstLine="0"/>
      </w:pPr>
    </w:p>
    <w:p w14:paraId="0E040682" w14:textId="42F18C37" w:rsidR="007710A6" w:rsidRPr="00B6039A" w:rsidRDefault="007710A6" w:rsidP="006700AE">
      <w:pPr>
        <w:spacing w:after="120"/>
        <w:ind w:left="0" w:firstLine="0"/>
        <w:rPr>
          <w:rFonts w:ascii="Calibri" w:hAnsi="Calibri" w:cs="Calibri"/>
          <w:sz w:val="24"/>
          <w:szCs w:val="24"/>
        </w:rPr>
      </w:pPr>
      <w:r w:rsidRPr="00B6039A">
        <w:rPr>
          <w:rFonts w:ascii="Calibri" w:hAnsi="Calibri" w:cs="Calibri"/>
          <w:sz w:val="24"/>
          <w:szCs w:val="24"/>
        </w:rPr>
        <w:t xml:space="preserve">Many changes that would ensure that families and </w:t>
      </w:r>
      <w:proofErr w:type="spellStart"/>
      <w:r w:rsidRPr="00B6039A">
        <w:rPr>
          <w:rFonts w:ascii="Calibri" w:hAnsi="Calibri" w:cs="Calibri"/>
          <w:sz w:val="24"/>
          <w:szCs w:val="24"/>
        </w:rPr>
        <w:t>whānau</w:t>
      </w:r>
      <w:proofErr w:type="spellEnd"/>
      <w:r w:rsidRPr="00B6039A">
        <w:rPr>
          <w:rFonts w:ascii="Calibri" w:hAnsi="Calibri" w:cs="Calibri"/>
          <w:sz w:val="24"/>
          <w:szCs w:val="24"/>
        </w:rPr>
        <w:t xml:space="preserve"> receiving income support </w:t>
      </w:r>
      <w:r w:rsidR="007D31D4" w:rsidRPr="00B6039A">
        <w:rPr>
          <w:rFonts w:ascii="Calibri" w:hAnsi="Calibri" w:cs="Calibri"/>
          <w:sz w:val="24"/>
          <w:szCs w:val="24"/>
        </w:rPr>
        <w:t xml:space="preserve">have </w:t>
      </w:r>
      <w:r w:rsidRPr="00B6039A">
        <w:rPr>
          <w:rFonts w:ascii="Calibri" w:hAnsi="Calibri" w:cs="Calibri"/>
          <w:sz w:val="24"/>
          <w:szCs w:val="24"/>
        </w:rPr>
        <w:t>a dignified standard of living have been relegated to the Government’s “medium and longer-term work programme”.</w:t>
      </w:r>
      <w:r w:rsidRPr="00B6039A">
        <w:rPr>
          <w:rStyle w:val="FootnoteReference"/>
          <w:rFonts w:ascii="Calibri" w:hAnsi="Calibri" w:cs="Calibri"/>
          <w:sz w:val="24"/>
          <w:szCs w:val="24"/>
        </w:rPr>
        <w:footnoteReference w:id="176"/>
      </w:r>
      <w:r w:rsidRPr="00B6039A">
        <w:rPr>
          <w:rFonts w:ascii="Calibri" w:hAnsi="Calibri" w:cs="Calibri"/>
          <w:sz w:val="24"/>
          <w:szCs w:val="24"/>
        </w:rPr>
        <w:t xml:space="preserve"> There is immediate, severe need, </w:t>
      </w:r>
      <w:r w:rsidR="00D216B5" w:rsidRPr="00B6039A">
        <w:rPr>
          <w:rFonts w:ascii="Calibri" w:hAnsi="Calibri" w:cs="Calibri"/>
          <w:sz w:val="24"/>
          <w:szCs w:val="24"/>
        </w:rPr>
        <w:t xml:space="preserve">and children cannot wait. The pressing need of children </w:t>
      </w:r>
      <w:r w:rsidRPr="00B6039A">
        <w:rPr>
          <w:rFonts w:ascii="Calibri" w:hAnsi="Calibri" w:cs="Calibri"/>
          <w:sz w:val="24"/>
          <w:szCs w:val="24"/>
        </w:rPr>
        <w:t xml:space="preserve">has been </w:t>
      </w:r>
      <w:r w:rsidR="00D216B5" w:rsidRPr="00B6039A">
        <w:rPr>
          <w:rFonts w:ascii="Calibri" w:hAnsi="Calibri" w:cs="Calibri"/>
          <w:sz w:val="24"/>
          <w:szCs w:val="24"/>
        </w:rPr>
        <w:t xml:space="preserve">recognised </w:t>
      </w:r>
      <w:r w:rsidRPr="00B6039A">
        <w:rPr>
          <w:rFonts w:ascii="Calibri" w:hAnsi="Calibri" w:cs="Calibri"/>
          <w:sz w:val="24"/>
          <w:szCs w:val="24"/>
        </w:rPr>
        <w:t>for</w:t>
      </w:r>
      <w:r w:rsidR="00FE6F87" w:rsidRPr="00B6039A">
        <w:rPr>
          <w:rFonts w:ascii="Calibri" w:hAnsi="Calibri" w:cs="Calibri"/>
          <w:sz w:val="24"/>
          <w:szCs w:val="24"/>
        </w:rPr>
        <w:t xml:space="preserve"> a long time, </w:t>
      </w:r>
      <w:r w:rsidR="00D216B5" w:rsidRPr="00B6039A">
        <w:rPr>
          <w:rFonts w:ascii="Calibri" w:hAnsi="Calibri" w:cs="Calibri"/>
          <w:sz w:val="24"/>
          <w:szCs w:val="24"/>
        </w:rPr>
        <w:t>as evidenced by the Child Poverty Reductio</w:t>
      </w:r>
      <w:r w:rsidR="009576D7" w:rsidRPr="00B6039A">
        <w:rPr>
          <w:rFonts w:ascii="Calibri" w:hAnsi="Calibri" w:cs="Calibri"/>
          <w:sz w:val="24"/>
          <w:szCs w:val="24"/>
        </w:rPr>
        <w:t>n Act, and t</w:t>
      </w:r>
      <w:r w:rsidRPr="00B6039A">
        <w:rPr>
          <w:rFonts w:ascii="Calibri" w:hAnsi="Calibri" w:cs="Calibri"/>
          <w:sz w:val="24"/>
          <w:szCs w:val="24"/>
        </w:rPr>
        <w:t xml:space="preserve">he Terms of Reference for the WEAG </w:t>
      </w:r>
      <w:r w:rsidR="00FE6F87" w:rsidRPr="00B6039A">
        <w:rPr>
          <w:rFonts w:ascii="Calibri" w:hAnsi="Calibri" w:cs="Calibri"/>
          <w:sz w:val="24"/>
          <w:szCs w:val="24"/>
        </w:rPr>
        <w:t>stated</w:t>
      </w:r>
      <w:r w:rsidRPr="00B6039A">
        <w:rPr>
          <w:rFonts w:ascii="Calibri" w:hAnsi="Calibri" w:cs="Calibri"/>
          <w:sz w:val="24"/>
          <w:szCs w:val="24"/>
        </w:rPr>
        <w:t xml:space="preserve"> that “There is growing homelessness and complex housing demands alongside rates of poverty that are too high.”</w:t>
      </w:r>
      <w:r w:rsidRPr="00B6039A">
        <w:rPr>
          <w:rStyle w:val="FootnoteReference"/>
          <w:rFonts w:ascii="Calibri" w:hAnsi="Calibri" w:cs="Calibri"/>
          <w:sz w:val="24"/>
          <w:szCs w:val="24"/>
        </w:rPr>
        <w:footnoteReference w:id="177"/>
      </w:r>
      <w:r w:rsidR="000D2C72" w:rsidRPr="00B6039A">
        <w:rPr>
          <w:rFonts w:ascii="Calibri" w:hAnsi="Calibri" w:cs="Calibri"/>
          <w:sz w:val="24"/>
          <w:szCs w:val="24"/>
        </w:rPr>
        <w:t xml:space="preserve"> Ye</w:t>
      </w:r>
      <w:r w:rsidRPr="00B6039A">
        <w:rPr>
          <w:rFonts w:ascii="Calibri" w:hAnsi="Calibri" w:cs="Calibri"/>
          <w:sz w:val="24"/>
          <w:szCs w:val="24"/>
        </w:rPr>
        <w:t xml:space="preserve">t, there appears to </w:t>
      </w:r>
      <w:r w:rsidR="00F34468" w:rsidRPr="00B6039A">
        <w:rPr>
          <w:rFonts w:ascii="Calibri" w:hAnsi="Calibri" w:cs="Calibri"/>
          <w:sz w:val="24"/>
          <w:szCs w:val="24"/>
        </w:rPr>
        <w:t xml:space="preserve">have </w:t>
      </w:r>
      <w:r w:rsidRPr="00B6039A">
        <w:rPr>
          <w:rFonts w:ascii="Calibri" w:hAnsi="Calibri" w:cs="Calibri"/>
          <w:sz w:val="24"/>
          <w:szCs w:val="24"/>
        </w:rPr>
        <w:t>b</w:t>
      </w:r>
      <w:r w:rsidR="00F34468" w:rsidRPr="00B6039A">
        <w:rPr>
          <w:rFonts w:ascii="Calibri" w:hAnsi="Calibri" w:cs="Calibri"/>
          <w:sz w:val="24"/>
          <w:szCs w:val="24"/>
        </w:rPr>
        <w:t>e</w:t>
      </w:r>
      <w:r w:rsidRPr="00B6039A">
        <w:rPr>
          <w:rFonts w:ascii="Calibri" w:hAnsi="Calibri" w:cs="Calibri"/>
          <w:sz w:val="24"/>
          <w:szCs w:val="24"/>
        </w:rPr>
        <w:t>e</w:t>
      </w:r>
      <w:r w:rsidR="00F34468" w:rsidRPr="00B6039A">
        <w:rPr>
          <w:rFonts w:ascii="Calibri" w:hAnsi="Calibri" w:cs="Calibri"/>
          <w:sz w:val="24"/>
          <w:szCs w:val="24"/>
        </w:rPr>
        <w:t>n</w:t>
      </w:r>
      <w:r w:rsidRPr="00B6039A">
        <w:rPr>
          <w:rFonts w:ascii="Calibri" w:hAnsi="Calibri" w:cs="Calibri"/>
          <w:sz w:val="24"/>
          <w:szCs w:val="24"/>
        </w:rPr>
        <w:t xml:space="preserve"> little urgency in the</w:t>
      </w:r>
      <w:r w:rsidR="00F34468" w:rsidRPr="00B6039A">
        <w:rPr>
          <w:rFonts w:ascii="Calibri" w:hAnsi="Calibri" w:cs="Calibri"/>
          <w:sz w:val="24"/>
          <w:szCs w:val="24"/>
        </w:rPr>
        <w:t xml:space="preserve"> Coalition</w:t>
      </w:r>
      <w:r w:rsidRPr="00B6039A">
        <w:rPr>
          <w:rFonts w:ascii="Calibri" w:hAnsi="Calibri" w:cs="Calibri"/>
          <w:sz w:val="24"/>
          <w:szCs w:val="24"/>
        </w:rPr>
        <w:t xml:space="preserve"> Government’s approach to implementation</w:t>
      </w:r>
      <w:r w:rsidR="00031E34" w:rsidRPr="00B6039A">
        <w:rPr>
          <w:rFonts w:ascii="Calibri" w:hAnsi="Calibri" w:cs="Calibri"/>
          <w:sz w:val="24"/>
          <w:szCs w:val="24"/>
        </w:rPr>
        <w:t>.</w:t>
      </w:r>
      <w:r w:rsidR="00F34468" w:rsidRPr="00B6039A">
        <w:rPr>
          <w:rFonts w:ascii="Calibri" w:hAnsi="Calibri" w:cs="Calibri"/>
          <w:sz w:val="24"/>
          <w:szCs w:val="24"/>
        </w:rPr>
        <w:t xml:space="preserve"> </w:t>
      </w:r>
    </w:p>
    <w:p w14:paraId="32F51806" w14:textId="479CEA4E" w:rsidR="007F7861" w:rsidRPr="00B6039A" w:rsidRDefault="00F7313B" w:rsidP="006700AE">
      <w:pPr>
        <w:spacing w:after="120"/>
        <w:ind w:left="0" w:firstLine="0"/>
        <w:rPr>
          <w:rFonts w:ascii="Calibri" w:hAnsi="Calibri" w:cs="Calibri"/>
          <w:sz w:val="24"/>
          <w:szCs w:val="24"/>
        </w:rPr>
      </w:pPr>
      <w:r w:rsidRPr="00B6039A">
        <w:rPr>
          <w:rFonts w:ascii="Calibri" w:hAnsi="Calibri" w:cs="Calibri"/>
          <w:sz w:val="24"/>
          <w:szCs w:val="24"/>
        </w:rPr>
        <w:t xml:space="preserve">Minister </w:t>
      </w:r>
      <w:proofErr w:type="spellStart"/>
      <w:r w:rsidRPr="00B6039A">
        <w:rPr>
          <w:rFonts w:ascii="Calibri" w:hAnsi="Calibri" w:cs="Calibri"/>
          <w:sz w:val="24"/>
          <w:szCs w:val="24"/>
        </w:rPr>
        <w:t>Sepuloni</w:t>
      </w:r>
      <w:proofErr w:type="spellEnd"/>
      <w:r w:rsidRPr="00B6039A">
        <w:rPr>
          <w:rFonts w:ascii="Calibri" w:hAnsi="Calibri" w:cs="Calibri"/>
          <w:sz w:val="24"/>
          <w:szCs w:val="24"/>
        </w:rPr>
        <w:t xml:space="preserve"> stated of the WEAG report in May 2019, “The wider systematic changes suggested in the report will require a 3 to 5 year work programme and are likely to take upwards of 10 years to achieve and embed.”</w:t>
      </w:r>
      <w:r w:rsidRPr="00B6039A">
        <w:rPr>
          <w:rStyle w:val="FootnoteReference"/>
          <w:rFonts w:ascii="Calibri" w:hAnsi="Calibri" w:cs="Calibri"/>
          <w:sz w:val="24"/>
          <w:szCs w:val="24"/>
        </w:rPr>
        <w:footnoteReference w:id="178"/>
      </w:r>
      <w:r w:rsidRPr="00B6039A">
        <w:rPr>
          <w:rFonts w:ascii="Calibri" w:hAnsi="Calibri" w:cs="Calibri"/>
          <w:sz w:val="24"/>
          <w:szCs w:val="24"/>
        </w:rPr>
        <w:t xml:space="preserve"> A 10-year time frame for welfare reform is unreasonable and inappropriate given the scale of urgent need, and</w:t>
      </w:r>
      <w:r w:rsidR="00D1109B" w:rsidRPr="00B6039A">
        <w:rPr>
          <w:rFonts w:ascii="Calibri" w:hAnsi="Calibri" w:cs="Calibri"/>
          <w:sz w:val="24"/>
          <w:szCs w:val="24"/>
        </w:rPr>
        <w:t xml:space="preserve"> given</w:t>
      </w:r>
      <w:r w:rsidRPr="00B6039A">
        <w:rPr>
          <w:rFonts w:ascii="Calibri" w:hAnsi="Calibri" w:cs="Calibri"/>
          <w:sz w:val="24"/>
          <w:szCs w:val="24"/>
        </w:rPr>
        <w:t xml:space="preserve"> the WEAG’s finding that the “Current welfare system is no longer fit for purpose and needs fundamental change”.</w:t>
      </w:r>
      <w:r w:rsidR="000C6A13" w:rsidRPr="00B6039A">
        <w:rPr>
          <w:rStyle w:val="FootnoteReference"/>
          <w:rFonts w:ascii="Calibri" w:hAnsi="Calibri" w:cs="Calibri"/>
          <w:sz w:val="24"/>
          <w:szCs w:val="24"/>
        </w:rPr>
        <w:footnoteReference w:id="179"/>
      </w:r>
      <w:r w:rsidRPr="00B6039A">
        <w:rPr>
          <w:rFonts w:ascii="Calibri" w:hAnsi="Calibri" w:cs="Calibri"/>
          <w:sz w:val="24"/>
          <w:szCs w:val="24"/>
        </w:rPr>
        <w:t xml:space="preserve"> </w:t>
      </w:r>
      <w:r w:rsidR="007F7861" w:rsidRPr="00B6039A">
        <w:rPr>
          <w:rFonts w:ascii="Calibri" w:hAnsi="Calibri" w:cs="Calibri"/>
          <w:sz w:val="24"/>
          <w:szCs w:val="24"/>
        </w:rPr>
        <w:t xml:space="preserve">With the Labour Government now in its second term, </w:t>
      </w:r>
      <w:r w:rsidR="009D718A" w:rsidRPr="00B6039A">
        <w:rPr>
          <w:rFonts w:ascii="Calibri" w:hAnsi="Calibri" w:cs="Calibri"/>
          <w:sz w:val="24"/>
          <w:szCs w:val="24"/>
        </w:rPr>
        <w:t xml:space="preserve">elected by an overwhelming majority, </w:t>
      </w:r>
      <w:r w:rsidR="007F7861" w:rsidRPr="00B6039A">
        <w:rPr>
          <w:rFonts w:ascii="Calibri" w:hAnsi="Calibri" w:cs="Calibri"/>
          <w:sz w:val="24"/>
          <w:szCs w:val="24"/>
        </w:rPr>
        <w:t xml:space="preserve">the mandate for welfare overhaul is stronger than ever. The time has passed for incremental tweaks, and urgent systemic transformation is needed in </w:t>
      </w:r>
      <w:r w:rsidR="0057455D" w:rsidRPr="00B6039A">
        <w:rPr>
          <w:rFonts w:ascii="Calibri" w:hAnsi="Calibri" w:cs="Calibri"/>
          <w:sz w:val="24"/>
          <w:szCs w:val="24"/>
        </w:rPr>
        <w:t>order to fulfil its promise of welfare overhaul</w:t>
      </w:r>
      <w:r w:rsidRPr="00B6039A">
        <w:rPr>
          <w:rFonts w:ascii="Calibri" w:hAnsi="Calibri" w:cs="Calibri"/>
          <w:sz w:val="24"/>
          <w:szCs w:val="24"/>
        </w:rPr>
        <w:t xml:space="preserve">. </w:t>
      </w:r>
      <w:r w:rsidR="007F7861" w:rsidRPr="00B6039A">
        <w:rPr>
          <w:rFonts w:ascii="Calibri" w:hAnsi="Calibri" w:cs="Calibri"/>
          <w:sz w:val="24"/>
          <w:szCs w:val="24"/>
        </w:rPr>
        <w:t>Now that Labour</w:t>
      </w:r>
      <w:r w:rsidR="00A3614E" w:rsidRPr="00B6039A">
        <w:rPr>
          <w:rFonts w:ascii="Calibri" w:hAnsi="Calibri" w:cs="Calibri"/>
          <w:sz w:val="24"/>
          <w:szCs w:val="24"/>
        </w:rPr>
        <w:t xml:space="preserve"> has three more years to govern,</w:t>
      </w:r>
      <w:r w:rsidR="007F7861" w:rsidRPr="00B6039A">
        <w:rPr>
          <w:rFonts w:ascii="Calibri" w:hAnsi="Calibri" w:cs="Calibri"/>
          <w:sz w:val="24"/>
          <w:szCs w:val="24"/>
        </w:rPr>
        <w:t xml:space="preserve"> it has the time </w:t>
      </w:r>
      <w:r w:rsidR="00A70F3E" w:rsidRPr="00B6039A">
        <w:rPr>
          <w:rFonts w:ascii="Calibri" w:hAnsi="Calibri" w:cs="Calibri"/>
          <w:sz w:val="24"/>
          <w:szCs w:val="24"/>
        </w:rPr>
        <w:t>required</w:t>
      </w:r>
      <w:r w:rsidR="007F7861" w:rsidRPr="00B6039A">
        <w:rPr>
          <w:rFonts w:ascii="Calibri" w:hAnsi="Calibri" w:cs="Calibri"/>
          <w:sz w:val="24"/>
          <w:szCs w:val="24"/>
        </w:rPr>
        <w:t xml:space="preserve"> to implement </w:t>
      </w:r>
      <w:r w:rsidR="00E82BCD" w:rsidRPr="00B6039A">
        <w:rPr>
          <w:rFonts w:ascii="Calibri" w:hAnsi="Calibri" w:cs="Calibri"/>
          <w:sz w:val="24"/>
          <w:szCs w:val="24"/>
        </w:rPr>
        <w:t xml:space="preserve">some of </w:t>
      </w:r>
      <w:r w:rsidR="007F7861" w:rsidRPr="00B6039A">
        <w:rPr>
          <w:rFonts w:ascii="Calibri" w:hAnsi="Calibri" w:cs="Calibri"/>
          <w:sz w:val="24"/>
          <w:szCs w:val="24"/>
        </w:rPr>
        <w:t xml:space="preserve">this </w:t>
      </w:r>
      <w:r w:rsidR="001F304F" w:rsidRPr="00B6039A">
        <w:rPr>
          <w:rFonts w:ascii="Calibri" w:hAnsi="Calibri" w:cs="Calibri"/>
          <w:sz w:val="24"/>
          <w:szCs w:val="24"/>
        </w:rPr>
        <w:t>“fundamental change”</w:t>
      </w:r>
      <w:r w:rsidR="00A70F3E" w:rsidRPr="00B6039A">
        <w:rPr>
          <w:rFonts w:ascii="Calibri" w:hAnsi="Calibri" w:cs="Calibri"/>
          <w:sz w:val="24"/>
          <w:szCs w:val="24"/>
        </w:rPr>
        <w:t xml:space="preserve">, unimpeded by the need to negotiate with </w:t>
      </w:r>
      <w:r w:rsidR="00290FE3" w:rsidRPr="00B6039A">
        <w:rPr>
          <w:rFonts w:ascii="Calibri" w:hAnsi="Calibri" w:cs="Calibri"/>
          <w:sz w:val="24"/>
          <w:szCs w:val="24"/>
        </w:rPr>
        <w:t>c</w:t>
      </w:r>
      <w:r w:rsidR="00A70F3E" w:rsidRPr="00B6039A">
        <w:rPr>
          <w:rFonts w:ascii="Calibri" w:hAnsi="Calibri" w:cs="Calibri"/>
          <w:sz w:val="24"/>
          <w:szCs w:val="24"/>
        </w:rPr>
        <w:t xml:space="preserve">oalition partners. </w:t>
      </w:r>
    </w:p>
    <w:p w14:paraId="57E4DBC7" w14:textId="07060349" w:rsidR="00D00328" w:rsidRPr="00B6039A" w:rsidRDefault="003D0999" w:rsidP="006700AE">
      <w:pPr>
        <w:spacing w:after="120"/>
        <w:ind w:left="0" w:firstLine="0"/>
        <w:rPr>
          <w:rFonts w:ascii="Calibri" w:hAnsi="Calibri" w:cs="Calibri"/>
          <w:sz w:val="24"/>
          <w:szCs w:val="24"/>
        </w:rPr>
      </w:pPr>
      <w:r w:rsidRPr="00B6039A">
        <w:rPr>
          <w:rFonts w:ascii="Calibri" w:hAnsi="Calibri" w:cs="Calibri"/>
          <w:sz w:val="24"/>
          <w:szCs w:val="24"/>
        </w:rPr>
        <w:t>In CPAG’</w:t>
      </w:r>
      <w:r w:rsidR="006A02A5" w:rsidRPr="00B6039A">
        <w:rPr>
          <w:rFonts w:ascii="Calibri" w:hAnsi="Calibri" w:cs="Calibri"/>
          <w:sz w:val="24"/>
          <w:szCs w:val="24"/>
        </w:rPr>
        <w:t xml:space="preserve"> 2019 response to </w:t>
      </w:r>
      <w:proofErr w:type="spellStart"/>
      <w:r w:rsidR="006A02A5" w:rsidRPr="00B6039A">
        <w:rPr>
          <w:rFonts w:ascii="Calibri" w:hAnsi="Calibri" w:cs="Calibri"/>
          <w:i/>
          <w:iCs/>
          <w:sz w:val="24"/>
          <w:szCs w:val="24"/>
        </w:rPr>
        <w:t>Whakamana</w:t>
      </w:r>
      <w:proofErr w:type="spellEnd"/>
      <w:r w:rsidR="006A02A5" w:rsidRPr="00B6039A">
        <w:rPr>
          <w:rFonts w:ascii="Calibri" w:hAnsi="Calibri" w:cs="Calibri"/>
          <w:i/>
          <w:iCs/>
          <w:sz w:val="24"/>
          <w:szCs w:val="24"/>
        </w:rPr>
        <w:t xml:space="preserve"> </w:t>
      </w:r>
      <w:proofErr w:type="spellStart"/>
      <w:r w:rsidR="006A02A5" w:rsidRPr="00B6039A">
        <w:rPr>
          <w:rFonts w:ascii="Calibri" w:hAnsi="Calibri" w:cs="Calibri"/>
          <w:i/>
          <w:iCs/>
          <w:sz w:val="24"/>
          <w:szCs w:val="24"/>
        </w:rPr>
        <w:t>Tāngata</w:t>
      </w:r>
      <w:proofErr w:type="spellEnd"/>
      <w:r w:rsidR="006A02A5" w:rsidRPr="00B6039A">
        <w:rPr>
          <w:rFonts w:ascii="Calibri" w:hAnsi="Calibri" w:cs="Calibri"/>
          <w:sz w:val="24"/>
          <w:szCs w:val="24"/>
        </w:rPr>
        <w:t xml:space="preserve">, </w:t>
      </w:r>
      <w:r w:rsidR="007D31D4" w:rsidRPr="00B6039A">
        <w:rPr>
          <w:rFonts w:ascii="Calibri" w:hAnsi="Calibri" w:cs="Calibri"/>
          <w:sz w:val="24"/>
          <w:szCs w:val="24"/>
        </w:rPr>
        <w:t>“</w:t>
      </w:r>
      <w:r w:rsidR="006A02A5" w:rsidRPr="00B6039A">
        <w:rPr>
          <w:rFonts w:ascii="Calibri" w:hAnsi="Calibri" w:cs="Calibri"/>
          <w:iCs/>
          <w:sz w:val="24"/>
          <w:szCs w:val="24"/>
        </w:rPr>
        <w:t>The experts can all agree</w:t>
      </w:r>
      <w:r w:rsidR="007D31D4" w:rsidRPr="00B6039A">
        <w:rPr>
          <w:rFonts w:ascii="Calibri" w:hAnsi="Calibri" w:cs="Calibri"/>
          <w:iCs/>
          <w:sz w:val="24"/>
          <w:szCs w:val="24"/>
        </w:rPr>
        <w:t>”</w:t>
      </w:r>
      <w:r w:rsidR="007D31D4" w:rsidRPr="00B6039A">
        <w:rPr>
          <w:rStyle w:val="FootnoteReference"/>
          <w:rFonts w:ascii="Calibri" w:hAnsi="Calibri" w:cs="Calibri"/>
          <w:iCs/>
          <w:sz w:val="24"/>
          <w:szCs w:val="24"/>
        </w:rPr>
        <w:footnoteReference w:id="180"/>
      </w:r>
      <w:r w:rsidR="006A02A5" w:rsidRPr="00B6039A">
        <w:rPr>
          <w:rFonts w:ascii="Calibri" w:hAnsi="Calibri" w:cs="Calibri"/>
          <w:i/>
          <w:sz w:val="24"/>
          <w:szCs w:val="24"/>
        </w:rPr>
        <w:t xml:space="preserve">, </w:t>
      </w:r>
      <w:r w:rsidRPr="00B6039A">
        <w:rPr>
          <w:rFonts w:ascii="Calibri" w:hAnsi="Calibri" w:cs="Calibri"/>
          <w:sz w:val="24"/>
          <w:szCs w:val="24"/>
        </w:rPr>
        <w:t>we</w:t>
      </w:r>
      <w:r w:rsidR="006A02A5" w:rsidRPr="00B6039A">
        <w:rPr>
          <w:rFonts w:ascii="Calibri" w:hAnsi="Calibri" w:cs="Calibri"/>
          <w:sz w:val="24"/>
          <w:szCs w:val="24"/>
        </w:rPr>
        <w:t xml:space="preserve"> highlighted the alignment of many of the WEAG’s recommendations with our own policy asks. </w:t>
      </w:r>
      <w:r w:rsidR="00232159" w:rsidRPr="00B6039A">
        <w:rPr>
          <w:rFonts w:ascii="Calibri" w:hAnsi="Calibri" w:cs="Calibri"/>
          <w:sz w:val="24"/>
          <w:szCs w:val="24"/>
        </w:rPr>
        <w:t xml:space="preserve">In what follows, we highlight what we see to be some of the most urgent areas for </w:t>
      </w:r>
      <w:r w:rsidR="00290FE3" w:rsidRPr="00B6039A">
        <w:rPr>
          <w:rFonts w:ascii="Calibri" w:hAnsi="Calibri" w:cs="Calibri"/>
          <w:sz w:val="24"/>
          <w:szCs w:val="24"/>
        </w:rPr>
        <w:t xml:space="preserve">the </w:t>
      </w:r>
      <w:r w:rsidR="00896704" w:rsidRPr="00B6039A">
        <w:rPr>
          <w:rFonts w:ascii="Calibri" w:hAnsi="Calibri" w:cs="Calibri"/>
          <w:sz w:val="24"/>
          <w:szCs w:val="24"/>
        </w:rPr>
        <w:t>g</w:t>
      </w:r>
      <w:r w:rsidR="00290FE3" w:rsidRPr="00B6039A">
        <w:rPr>
          <w:rFonts w:ascii="Calibri" w:hAnsi="Calibri" w:cs="Calibri"/>
          <w:sz w:val="24"/>
          <w:szCs w:val="24"/>
        </w:rPr>
        <w:t>overnment’s a</w:t>
      </w:r>
      <w:r w:rsidR="00232159" w:rsidRPr="00B6039A">
        <w:rPr>
          <w:rFonts w:ascii="Calibri" w:hAnsi="Calibri" w:cs="Calibri"/>
          <w:sz w:val="24"/>
          <w:szCs w:val="24"/>
        </w:rPr>
        <w:t xml:space="preserve">ttention </w:t>
      </w:r>
      <w:r w:rsidR="00290FE3" w:rsidRPr="00B6039A">
        <w:rPr>
          <w:rFonts w:ascii="Calibri" w:hAnsi="Calibri" w:cs="Calibri"/>
          <w:sz w:val="24"/>
          <w:szCs w:val="24"/>
        </w:rPr>
        <w:t xml:space="preserve">and action </w:t>
      </w:r>
      <w:r w:rsidR="00232159" w:rsidRPr="00B6039A">
        <w:rPr>
          <w:rFonts w:ascii="Calibri" w:hAnsi="Calibri" w:cs="Calibri"/>
          <w:sz w:val="24"/>
          <w:szCs w:val="24"/>
        </w:rPr>
        <w:t>over the next three years</w:t>
      </w:r>
      <w:r w:rsidR="00290FE3" w:rsidRPr="00B6039A">
        <w:rPr>
          <w:rFonts w:ascii="Calibri" w:hAnsi="Calibri" w:cs="Calibri"/>
          <w:sz w:val="24"/>
          <w:szCs w:val="24"/>
        </w:rPr>
        <w:t>:</w:t>
      </w:r>
      <w:r w:rsidR="00232159" w:rsidRPr="00B6039A">
        <w:rPr>
          <w:rFonts w:ascii="Calibri" w:hAnsi="Calibri" w:cs="Calibri"/>
          <w:sz w:val="24"/>
          <w:szCs w:val="24"/>
        </w:rPr>
        <w:t xml:space="preserve"> </w:t>
      </w:r>
    </w:p>
    <w:p w14:paraId="6ED749DD" w14:textId="77777777" w:rsidR="00515545" w:rsidRPr="00B6039A" w:rsidRDefault="00515545" w:rsidP="00D54323">
      <w:pPr>
        <w:pStyle w:val="ListParagraph"/>
        <w:numPr>
          <w:ilvl w:val="0"/>
          <w:numId w:val="4"/>
        </w:numPr>
        <w:spacing w:after="120"/>
        <w:contextualSpacing w:val="0"/>
        <w:rPr>
          <w:rFonts w:ascii="Calibri" w:hAnsi="Calibri" w:cs="Calibri"/>
          <w:b/>
          <w:sz w:val="24"/>
          <w:szCs w:val="24"/>
        </w:rPr>
      </w:pPr>
      <w:r w:rsidRPr="00B6039A">
        <w:rPr>
          <w:rFonts w:ascii="Calibri" w:hAnsi="Calibri" w:cs="Calibri"/>
          <w:b/>
          <w:sz w:val="24"/>
          <w:szCs w:val="24"/>
        </w:rPr>
        <w:t xml:space="preserve">Increase benefit levels and the Family Tax Credit; lower abatement rates in Working For Families; and establish a minimum income standard that is met by the income support system (Key Recommendations 20, 23, 25, 26) </w:t>
      </w:r>
    </w:p>
    <w:p w14:paraId="3B98E14C" w14:textId="39854BE1" w:rsidR="001F304F" w:rsidRPr="00B6039A" w:rsidRDefault="001F304F" w:rsidP="00D54323">
      <w:pPr>
        <w:pStyle w:val="ListParagraph"/>
        <w:spacing w:after="120"/>
        <w:ind w:left="0" w:firstLine="0"/>
        <w:contextualSpacing w:val="0"/>
        <w:rPr>
          <w:rFonts w:ascii="Calibri" w:hAnsi="Calibri" w:cs="Calibri"/>
          <w:sz w:val="24"/>
          <w:szCs w:val="24"/>
        </w:rPr>
      </w:pPr>
      <w:r w:rsidRPr="00B6039A">
        <w:rPr>
          <w:rFonts w:ascii="Calibri" w:hAnsi="Calibri" w:cs="Calibri"/>
          <w:sz w:val="24"/>
          <w:szCs w:val="24"/>
        </w:rPr>
        <w:t xml:space="preserve">The increases in the 2018 Families Package and the 2020 </w:t>
      </w:r>
      <w:r w:rsidR="00896704" w:rsidRPr="00B6039A">
        <w:rPr>
          <w:rFonts w:ascii="Calibri" w:hAnsi="Calibri" w:cs="Calibri"/>
          <w:sz w:val="24"/>
          <w:szCs w:val="24"/>
        </w:rPr>
        <w:t xml:space="preserve">benefit increase of </w:t>
      </w:r>
      <w:r w:rsidRPr="00B6039A">
        <w:rPr>
          <w:rFonts w:ascii="Calibri" w:hAnsi="Calibri" w:cs="Calibri"/>
          <w:sz w:val="24"/>
          <w:szCs w:val="24"/>
        </w:rPr>
        <w:t>$25 per week are steps</w:t>
      </w:r>
      <w:r w:rsidR="00EB6D64" w:rsidRPr="00B6039A">
        <w:rPr>
          <w:rFonts w:ascii="Calibri" w:hAnsi="Calibri" w:cs="Calibri"/>
          <w:sz w:val="24"/>
          <w:szCs w:val="24"/>
        </w:rPr>
        <w:t>,</w:t>
      </w:r>
      <w:r w:rsidRPr="00B6039A">
        <w:rPr>
          <w:rFonts w:ascii="Calibri" w:hAnsi="Calibri" w:cs="Calibri"/>
          <w:sz w:val="24"/>
          <w:szCs w:val="24"/>
        </w:rPr>
        <w:t xml:space="preserve"> but inadequate to meet the income needs</w:t>
      </w:r>
      <w:r w:rsidR="00D54323" w:rsidRPr="00B6039A">
        <w:rPr>
          <w:rFonts w:ascii="Calibri" w:hAnsi="Calibri" w:cs="Calibri"/>
          <w:sz w:val="24"/>
          <w:szCs w:val="24"/>
        </w:rPr>
        <w:t xml:space="preserve"> of children and their </w:t>
      </w:r>
      <w:proofErr w:type="spellStart"/>
      <w:r w:rsidR="00D54323" w:rsidRPr="00B6039A">
        <w:rPr>
          <w:rFonts w:ascii="Calibri" w:hAnsi="Calibri" w:cs="Calibri"/>
          <w:sz w:val="24"/>
          <w:szCs w:val="24"/>
        </w:rPr>
        <w:t>whānau</w:t>
      </w:r>
      <w:proofErr w:type="spellEnd"/>
      <w:r w:rsidR="00D54323" w:rsidRPr="00B6039A">
        <w:rPr>
          <w:rFonts w:ascii="Calibri" w:hAnsi="Calibri" w:cs="Calibri"/>
          <w:sz w:val="24"/>
          <w:szCs w:val="24"/>
        </w:rPr>
        <w:t xml:space="preserve"> </w:t>
      </w:r>
      <w:r w:rsidR="00AE4447" w:rsidRPr="00B6039A">
        <w:rPr>
          <w:rFonts w:ascii="Calibri" w:hAnsi="Calibri" w:cs="Calibri"/>
          <w:sz w:val="24"/>
          <w:szCs w:val="24"/>
        </w:rPr>
        <w:t>and</w:t>
      </w:r>
      <w:r w:rsidR="00D54323" w:rsidRPr="00B6039A">
        <w:rPr>
          <w:rFonts w:ascii="Calibri" w:hAnsi="Calibri" w:cs="Calibri"/>
          <w:sz w:val="24"/>
          <w:szCs w:val="24"/>
        </w:rPr>
        <w:t xml:space="preserve"> families</w:t>
      </w:r>
      <w:r w:rsidRPr="00B6039A">
        <w:rPr>
          <w:rFonts w:ascii="Calibri" w:hAnsi="Calibri" w:cs="Calibri"/>
          <w:sz w:val="24"/>
          <w:szCs w:val="24"/>
        </w:rPr>
        <w:t>. Income support benefits need to be increased to the level WEAG recommended.</w:t>
      </w:r>
    </w:p>
    <w:p w14:paraId="38D98AA2" w14:textId="2E2AEBA7" w:rsidR="001F304F" w:rsidRPr="00B6039A" w:rsidRDefault="001F304F" w:rsidP="00D54323">
      <w:pPr>
        <w:pStyle w:val="ListParagraph"/>
        <w:spacing w:after="120"/>
        <w:ind w:left="0" w:firstLine="0"/>
        <w:contextualSpacing w:val="0"/>
        <w:rPr>
          <w:rFonts w:ascii="Calibri" w:hAnsi="Calibri" w:cs="Calibri"/>
          <w:sz w:val="24"/>
          <w:szCs w:val="24"/>
        </w:rPr>
      </w:pPr>
      <w:r w:rsidRPr="00B6039A">
        <w:rPr>
          <w:rFonts w:ascii="Calibri" w:hAnsi="Calibri" w:cs="Calibri"/>
          <w:sz w:val="24"/>
          <w:szCs w:val="24"/>
        </w:rPr>
        <w:t>Children’s wellbeing depends on Working for Families, and the Family Tax Credit needs to be increased</w:t>
      </w:r>
      <w:r w:rsidR="000C2E6B" w:rsidRPr="00B6039A">
        <w:rPr>
          <w:rFonts w:ascii="Calibri" w:hAnsi="Calibri" w:cs="Calibri"/>
          <w:sz w:val="24"/>
          <w:szCs w:val="24"/>
        </w:rPr>
        <w:t xml:space="preserve"> and the In-Work Tax Credit absorbed into it</w:t>
      </w:r>
      <w:r w:rsidRPr="00B6039A">
        <w:rPr>
          <w:rFonts w:ascii="Calibri" w:hAnsi="Calibri" w:cs="Calibri"/>
          <w:sz w:val="24"/>
          <w:szCs w:val="24"/>
        </w:rPr>
        <w:t xml:space="preserve">. Working for Families Tax Credits (which are income) need to be indexed to wages. </w:t>
      </w:r>
      <w:r w:rsidR="006C328D" w:rsidRPr="00B6039A">
        <w:rPr>
          <w:rFonts w:ascii="Calibri" w:hAnsi="Calibri" w:cs="Calibri"/>
          <w:sz w:val="24"/>
          <w:szCs w:val="24"/>
        </w:rPr>
        <w:t xml:space="preserve">Abatement rates </w:t>
      </w:r>
      <w:r w:rsidR="00AE4447" w:rsidRPr="00B6039A">
        <w:rPr>
          <w:rFonts w:ascii="Calibri" w:hAnsi="Calibri" w:cs="Calibri"/>
          <w:sz w:val="24"/>
          <w:szCs w:val="24"/>
        </w:rPr>
        <w:t xml:space="preserve">within Working for Families </w:t>
      </w:r>
      <w:r w:rsidR="006C328D" w:rsidRPr="00B6039A">
        <w:rPr>
          <w:rFonts w:ascii="Calibri" w:hAnsi="Calibri" w:cs="Calibri"/>
          <w:sz w:val="24"/>
          <w:szCs w:val="24"/>
        </w:rPr>
        <w:t>need to be lowered</w:t>
      </w:r>
      <w:r w:rsidR="000C2E6B" w:rsidRPr="00B6039A">
        <w:rPr>
          <w:rFonts w:ascii="Calibri" w:hAnsi="Calibri" w:cs="Calibri"/>
          <w:sz w:val="24"/>
          <w:szCs w:val="24"/>
        </w:rPr>
        <w:t xml:space="preserve"> to 20%</w:t>
      </w:r>
      <w:r w:rsidR="006C328D" w:rsidRPr="00B6039A">
        <w:rPr>
          <w:rFonts w:ascii="Calibri" w:hAnsi="Calibri" w:cs="Calibri"/>
          <w:sz w:val="24"/>
          <w:szCs w:val="24"/>
        </w:rPr>
        <w:t xml:space="preserve">. </w:t>
      </w:r>
    </w:p>
    <w:p w14:paraId="0B937C9A" w14:textId="6F828AA7" w:rsidR="00636F01" w:rsidRPr="00B6039A" w:rsidRDefault="001F304F" w:rsidP="0010225E">
      <w:pPr>
        <w:pStyle w:val="ListParagraph"/>
        <w:spacing w:after="120"/>
        <w:ind w:left="0" w:firstLine="0"/>
        <w:contextualSpacing w:val="0"/>
        <w:rPr>
          <w:rFonts w:ascii="Calibri" w:hAnsi="Calibri" w:cs="Calibri"/>
          <w:sz w:val="24"/>
          <w:szCs w:val="24"/>
        </w:rPr>
      </w:pPr>
      <w:r w:rsidRPr="00B6039A">
        <w:rPr>
          <w:rFonts w:ascii="Calibri" w:hAnsi="Calibri" w:cs="Calibri"/>
          <w:sz w:val="24"/>
          <w:szCs w:val="24"/>
        </w:rPr>
        <w:t>Income support must be adjusted to enable an adequate income.</w:t>
      </w:r>
      <w:r w:rsidR="00D54323" w:rsidRPr="00B6039A">
        <w:rPr>
          <w:rFonts w:ascii="Calibri" w:hAnsi="Calibri" w:cs="Calibri"/>
          <w:sz w:val="24"/>
          <w:szCs w:val="24"/>
        </w:rPr>
        <w:t xml:space="preserve"> </w:t>
      </w:r>
      <w:r w:rsidR="002418A8" w:rsidRPr="00B6039A">
        <w:rPr>
          <w:rFonts w:ascii="Calibri" w:hAnsi="Calibri" w:cs="Calibri"/>
          <w:sz w:val="24"/>
          <w:szCs w:val="24"/>
        </w:rPr>
        <w:t>An</w:t>
      </w:r>
      <w:r w:rsidR="00D54323" w:rsidRPr="00B6039A">
        <w:rPr>
          <w:rFonts w:ascii="Calibri" w:hAnsi="Calibri" w:cs="Calibri"/>
          <w:sz w:val="24"/>
          <w:szCs w:val="24"/>
        </w:rPr>
        <w:t>d an</w:t>
      </w:r>
      <w:r w:rsidR="002418A8" w:rsidRPr="00B6039A">
        <w:rPr>
          <w:rFonts w:ascii="Calibri" w:hAnsi="Calibri" w:cs="Calibri"/>
          <w:sz w:val="24"/>
          <w:szCs w:val="24"/>
        </w:rPr>
        <w:t xml:space="preserve">alysis must be done to </w:t>
      </w:r>
      <w:r w:rsidRPr="00B6039A">
        <w:rPr>
          <w:rFonts w:ascii="Calibri" w:hAnsi="Calibri" w:cs="Calibri"/>
          <w:sz w:val="24"/>
          <w:szCs w:val="24"/>
        </w:rPr>
        <w:t xml:space="preserve">so that </w:t>
      </w:r>
      <w:r w:rsidR="002418A8" w:rsidRPr="00B6039A">
        <w:rPr>
          <w:rFonts w:ascii="Calibri" w:hAnsi="Calibri" w:cs="Calibri"/>
          <w:sz w:val="24"/>
          <w:szCs w:val="24"/>
        </w:rPr>
        <w:t xml:space="preserve">income support </w:t>
      </w:r>
      <w:r w:rsidRPr="00B6039A">
        <w:rPr>
          <w:rFonts w:ascii="Calibri" w:hAnsi="Calibri" w:cs="Calibri"/>
          <w:sz w:val="24"/>
          <w:szCs w:val="24"/>
        </w:rPr>
        <w:t>is</w:t>
      </w:r>
      <w:r w:rsidR="002418A8" w:rsidRPr="00B6039A">
        <w:rPr>
          <w:rFonts w:ascii="Calibri" w:hAnsi="Calibri" w:cs="Calibri"/>
          <w:sz w:val="24"/>
          <w:szCs w:val="24"/>
        </w:rPr>
        <w:t xml:space="preserve"> adjusted to keep pace with this </w:t>
      </w:r>
      <w:r w:rsidRPr="00B6039A">
        <w:rPr>
          <w:rFonts w:ascii="Calibri" w:hAnsi="Calibri" w:cs="Calibri"/>
          <w:sz w:val="24"/>
          <w:szCs w:val="24"/>
        </w:rPr>
        <w:t xml:space="preserve">adequate </w:t>
      </w:r>
      <w:r w:rsidR="002418A8" w:rsidRPr="00B6039A">
        <w:rPr>
          <w:rFonts w:ascii="Calibri" w:hAnsi="Calibri" w:cs="Calibri"/>
          <w:sz w:val="24"/>
          <w:szCs w:val="24"/>
        </w:rPr>
        <w:t xml:space="preserve">income standard. </w:t>
      </w:r>
    </w:p>
    <w:p w14:paraId="12A13D81" w14:textId="77777777" w:rsidR="00636F01" w:rsidRPr="00B6039A" w:rsidRDefault="00636F01" w:rsidP="00D54323">
      <w:pPr>
        <w:pStyle w:val="ListParagraph"/>
        <w:numPr>
          <w:ilvl w:val="0"/>
          <w:numId w:val="4"/>
        </w:numPr>
        <w:spacing w:after="120"/>
        <w:contextualSpacing w:val="0"/>
        <w:rPr>
          <w:rFonts w:ascii="Calibri" w:hAnsi="Calibri" w:cs="Calibri"/>
          <w:b/>
          <w:sz w:val="24"/>
          <w:szCs w:val="24"/>
        </w:rPr>
      </w:pPr>
      <w:r w:rsidRPr="00B6039A">
        <w:rPr>
          <w:rFonts w:ascii="Calibri" w:hAnsi="Calibri" w:cs="Calibri"/>
          <w:b/>
          <w:sz w:val="24"/>
          <w:szCs w:val="24"/>
        </w:rPr>
        <w:lastRenderedPageBreak/>
        <w:t>Ensure disability supports are adequate (Key Recommendation 40, Detailed Recommendations 109-115)</w:t>
      </w:r>
    </w:p>
    <w:p w14:paraId="0730DF2F" w14:textId="77777777" w:rsidR="00374390" w:rsidRPr="00B6039A" w:rsidRDefault="00374390" w:rsidP="00D54323">
      <w:pPr>
        <w:pStyle w:val="ListParagraph"/>
        <w:spacing w:after="120"/>
        <w:ind w:left="142" w:firstLine="0"/>
        <w:contextualSpacing w:val="0"/>
        <w:rPr>
          <w:rFonts w:ascii="Calibri" w:hAnsi="Calibri" w:cs="Calibri"/>
          <w:sz w:val="24"/>
          <w:szCs w:val="24"/>
        </w:rPr>
      </w:pPr>
      <w:r w:rsidRPr="00B6039A">
        <w:rPr>
          <w:rFonts w:ascii="Calibri" w:hAnsi="Calibri" w:cs="Calibri"/>
          <w:sz w:val="24"/>
          <w:szCs w:val="24"/>
        </w:rPr>
        <w:t xml:space="preserve">None of the WEAG’s recommendations for children affected by disability have been implemented. </w:t>
      </w:r>
    </w:p>
    <w:p w14:paraId="3B96A92C" w14:textId="49BCDC91" w:rsidR="00E55CCA" w:rsidRPr="00B6039A" w:rsidRDefault="00374390" w:rsidP="00D54323">
      <w:pPr>
        <w:pStyle w:val="ListParagraph"/>
        <w:spacing w:after="120"/>
        <w:ind w:left="142" w:firstLine="0"/>
        <w:contextualSpacing w:val="0"/>
        <w:rPr>
          <w:rFonts w:ascii="Calibri" w:hAnsi="Calibri" w:cs="Calibri"/>
          <w:sz w:val="24"/>
          <w:szCs w:val="24"/>
        </w:rPr>
      </w:pPr>
      <w:r w:rsidRPr="00B6039A">
        <w:rPr>
          <w:rFonts w:ascii="Calibri" w:hAnsi="Calibri" w:cs="Calibri"/>
          <w:sz w:val="24"/>
          <w:szCs w:val="24"/>
        </w:rPr>
        <w:t>C</w:t>
      </w:r>
      <w:r w:rsidR="00636F01" w:rsidRPr="00B6039A">
        <w:rPr>
          <w:rFonts w:ascii="Calibri" w:hAnsi="Calibri" w:cs="Calibri"/>
          <w:sz w:val="24"/>
          <w:szCs w:val="24"/>
        </w:rPr>
        <w:t xml:space="preserve">PAG has </w:t>
      </w:r>
      <w:r w:rsidR="00AE4447" w:rsidRPr="00B6039A">
        <w:rPr>
          <w:rFonts w:ascii="Calibri" w:hAnsi="Calibri" w:cs="Calibri"/>
          <w:sz w:val="24"/>
          <w:szCs w:val="24"/>
        </w:rPr>
        <w:t>recently confirmed</w:t>
      </w:r>
      <w:r w:rsidR="00636F01" w:rsidRPr="00B6039A">
        <w:rPr>
          <w:rFonts w:ascii="Calibri" w:hAnsi="Calibri" w:cs="Calibri"/>
          <w:sz w:val="24"/>
          <w:szCs w:val="24"/>
        </w:rPr>
        <w:t xml:space="preserve"> the inadequacy of current income support for disabled children and children living in households with disabled </w:t>
      </w:r>
      <w:proofErr w:type="spellStart"/>
      <w:r w:rsidR="00636F01" w:rsidRPr="00B6039A">
        <w:rPr>
          <w:rFonts w:ascii="Calibri" w:hAnsi="Calibri" w:cs="Calibri"/>
          <w:sz w:val="24"/>
          <w:szCs w:val="24"/>
        </w:rPr>
        <w:t>whānau</w:t>
      </w:r>
      <w:proofErr w:type="spellEnd"/>
      <w:r w:rsidR="00636F01" w:rsidRPr="00B6039A">
        <w:rPr>
          <w:rFonts w:ascii="Calibri" w:hAnsi="Calibri" w:cs="Calibri"/>
          <w:sz w:val="24"/>
          <w:szCs w:val="24"/>
        </w:rPr>
        <w:t>, and the many barriers associated with accessing support.</w:t>
      </w:r>
      <w:r w:rsidR="00636F01" w:rsidRPr="00B6039A">
        <w:rPr>
          <w:rStyle w:val="FootnoteReference"/>
          <w:rFonts w:ascii="Calibri" w:hAnsi="Calibri" w:cs="Calibri"/>
          <w:sz w:val="24"/>
          <w:szCs w:val="24"/>
        </w:rPr>
        <w:footnoteReference w:id="181"/>
      </w:r>
      <w:r w:rsidR="00636F01" w:rsidRPr="00B6039A">
        <w:rPr>
          <w:rFonts w:ascii="Calibri" w:hAnsi="Calibri" w:cs="Calibri"/>
          <w:sz w:val="24"/>
          <w:szCs w:val="24"/>
        </w:rPr>
        <w:t xml:space="preserve"> </w:t>
      </w:r>
    </w:p>
    <w:p w14:paraId="2B74C1A4" w14:textId="307F049B" w:rsidR="00E55CCA" w:rsidRPr="00B6039A" w:rsidRDefault="00E55CCA" w:rsidP="00D54323">
      <w:pPr>
        <w:pStyle w:val="ListParagraph"/>
        <w:spacing w:after="120"/>
        <w:ind w:left="142" w:firstLine="0"/>
        <w:contextualSpacing w:val="0"/>
        <w:rPr>
          <w:rFonts w:ascii="Calibri" w:hAnsi="Calibri" w:cs="Calibri"/>
          <w:sz w:val="24"/>
          <w:szCs w:val="24"/>
        </w:rPr>
      </w:pPr>
      <w:r w:rsidRPr="00B6039A">
        <w:rPr>
          <w:rFonts w:ascii="Calibri" w:hAnsi="Calibri" w:cs="Calibri"/>
          <w:sz w:val="24"/>
          <w:szCs w:val="24"/>
        </w:rPr>
        <w:t>Income s</w:t>
      </w:r>
      <w:r w:rsidR="00636F01" w:rsidRPr="00B6039A">
        <w:rPr>
          <w:rFonts w:ascii="Calibri" w:hAnsi="Calibri" w:cs="Calibri"/>
          <w:sz w:val="24"/>
          <w:szCs w:val="24"/>
        </w:rPr>
        <w:t xml:space="preserve">upports must be easy to </w:t>
      </w:r>
      <w:r w:rsidR="00374390" w:rsidRPr="00B6039A">
        <w:rPr>
          <w:rFonts w:ascii="Calibri" w:hAnsi="Calibri" w:cs="Calibri"/>
          <w:sz w:val="24"/>
          <w:szCs w:val="24"/>
        </w:rPr>
        <w:t>a</w:t>
      </w:r>
      <w:r w:rsidRPr="00B6039A">
        <w:rPr>
          <w:rFonts w:ascii="Calibri" w:hAnsi="Calibri" w:cs="Calibri"/>
          <w:sz w:val="24"/>
          <w:szCs w:val="24"/>
        </w:rPr>
        <w:t>ccess.</w:t>
      </w:r>
    </w:p>
    <w:p w14:paraId="4EC14532" w14:textId="26193F65" w:rsidR="00636F01" w:rsidRPr="00B6039A" w:rsidRDefault="00E55CCA" w:rsidP="00D54323">
      <w:pPr>
        <w:pStyle w:val="ListParagraph"/>
        <w:ind w:left="142" w:firstLine="0"/>
        <w:rPr>
          <w:rFonts w:ascii="Calibri" w:hAnsi="Calibri" w:cs="Calibri"/>
          <w:sz w:val="24"/>
          <w:szCs w:val="24"/>
        </w:rPr>
      </w:pPr>
      <w:r w:rsidRPr="00B6039A">
        <w:rPr>
          <w:rFonts w:ascii="Calibri" w:hAnsi="Calibri" w:cs="Calibri"/>
          <w:sz w:val="24"/>
          <w:szCs w:val="24"/>
        </w:rPr>
        <w:t xml:space="preserve">Income supports must </w:t>
      </w:r>
      <w:r w:rsidR="00636F01" w:rsidRPr="00B6039A">
        <w:rPr>
          <w:rFonts w:ascii="Calibri" w:hAnsi="Calibri" w:cs="Calibri"/>
          <w:sz w:val="24"/>
          <w:szCs w:val="24"/>
        </w:rPr>
        <w:t xml:space="preserve">enable people to appropriately cover the direct and indirect costs </w:t>
      </w:r>
      <w:r w:rsidRPr="00B6039A">
        <w:rPr>
          <w:rFonts w:ascii="Calibri" w:hAnsi="Calibri" w:cs="Calibri"/>
          <w:sz w:val="24"/>
          <w:szCs w:val="24"/>
        </w:rPr>
        <w:t>a</w:t>
      </w:r>
      <w:r w:rsidR="00636F01" w:rsidRPr="00B6039A">
        <w:rPr>
          <w:rFonts w:ascii="Calibri" w:hAnsi="Calibri" w:cs="Calibri"/>
          <w:sz w:val="24"/>
          <w:szCs w:val="24"/>
        </w:rPr>
        <w:t xml:space="preserve">ssociated with having a disability. </w:t>
      </w:r>
    </w:p>
    <w:p w14:paraId="76133AE3" w14:textId="77777777" w:rsidR="00636F01" w:rsidRPr="00B6039A" w:rsidRDefault="00636F01" w:rsidP="00636F01">
      <w:pPr>
        <w:pStyle w:val="ListParagraph"/>
        <w:ind w:firstLine="0"/>
        <w:rPr>
          <w:rFonts w:ascii="Calibri" w:hAnsi="Calibri" w:cs="Calibri"/>
          <w:sz w:val="24"/>
          <w:szCs w:val="24"/>
        </w:rPr>
      </w:pPr>
    </w:p>
    <w:p w14:paraId="4C2AF11B" w14:textId="4D3AE1D8" w:rsidR="00636F01" w:rsidRPr="00B6039A" w:rsidRDefault="00636F01" w:rsidP="00636F01">
      <w:pPr>
        <w:pStyle w:val="ListParagraph"/>
        <w:numPr>
          <w:ilvl w:val="0"/>
          <w:numId w:val="4"/>
        </w:numPr>
        <w:rPr>
          <w:rFonts w:ascii="Calibri" w:hAnsi="Calibri" w:cs="Calibri"/>
          <w:b/>
          <w:sz w:val="24"/>
          <w:szCs w:val="24"/>
        </w:rPr>
      </w:pPr>
      <w:r w:rsidRPr="00B6039A">
        <w:rPr>
          <w:rFonts w:ascii="Calibri" w:hAnsi="Calibri" w:cs="Calibri"/>
          <w:b/>
          <w:sz w:val="24"/>
          <w:szCs w:val="24"/>
        </w:rPr>
        <w:t>Amend the Social Security Act and ensure that the welfare system fulfils the principles of this amended Act (Key Recommendations 1,</w:t>
      </w:r>
      <w:r w:rsidR="003A49D6" w:rsidRPr="00B6039A">
        <w:rPr>
          <w:rFonts w:ascii="Calibri" w:hAnsi="Calibri" w:cs="Calibri"/>
          <w:b/>
          <w:sz w:val="24"/>
          <w:szCs w:val="24"/>
        </w:rPr>
        <w:t xml:space="preserve"> 2 and</w:t>
      </w:r>
      <w:r w:rsidRPr="00B6039A">
        <w:rPr>
          <w:rFonts w:ascii="Calibri" w:hAnsi="Calibri" w:cs="Calibri"/>
          <w:b/>
          <w:sz w:val="24"/>
          <w:szCs w:val="24"/>
        </w:rPr>
        <w:t xml:space="preserve"> 4</w:t>
      </w:r>
      <w:r w:rsidR="00374390" w:rsidRPr="00B6039A">
        <w:rPr>
          <w:rFonts w:ascii="Calibri" w:hAnsi="Calibri" w:cs="Calibri"/>
          <w:b/>
          <w:sz w:val="24"/>
          <w:szCs w:val="24"/>
        </w:rPr>
        <w:t xml:space="preserve"> which have not yet been implemented</w:t>
      </w:r>
      <w:r w:rsidR="0010225E" w:rsidRPr="00B6039A">
        <w:rPr>
          <w:rFonts w:ascii="Calibri" w:hAnsi="Calibri" w:cs="Calibri"/>
          <w:b/>
          <w:sz w:val="24"/>
          <w:szCs w:val="24"/>
        </w:rPr>
        <w:t>)</w:t>
      </w:r>
      <w:r w:rsidR="00374390" w:rsidRPr="00B6039A">
        <w:rPr>
          <w:rFonts w:ascii="Calibri" w:hAnsi="Calibri" w:cs="Calibri"/>
          <w:b/>
          <w:sz w:val="24"/>
          <w:szCs w:val="24"/>
        </w:rPr>
        <w:t>:</w:t>
      </w:r>
    </w:p>
    <w:p w14:paraId="561EAC43" w14:textId="5C6930E5" w:rsidR="00352C32" w:rsidRPr="00B6039A" w:rsidRDefault="00352C32" w:rsidP="00636F01">
      <w:pPr>
        <w:pStyle w:val="ListParagraph"/>
        <w:ind w:firstLine="0"/>
        <w:rPr>
          <w:rFonts w:ascii="Calibri" w:hAnsi="Calibri" w:cs="Calibri"/>
          <w:sz w:val="24"/>
          <w:szCs w:val="24"/>
        </w:rPr>
      </w:pPr>
    </w:p>
    <w:p w14:paraId="267084DB" w14:textId="56C391DF" w:rsidR="00636F01" w:rsidRPr="00B6039A" w:rsidRDefault="0010225E" w:rsidP="00896704">
      <w:pPr>
        <w:pStyle w:val="ListParagraph"/>
        <w:spacing w:after="120"/>
        <w:ind w:left="144" w:firstLine="0"/>
        <w:contextualSpacing w:val="0"/>
        <w:rPr>
          <w:rFonts w:ascii="Calibri" w:hAnsi="Calibri" w:cs="Calibri"/>
          <w:sz w:val="24"/>
          <w:szCs w:val="24"/>
        </w:rPr>
      </w:pPr>
      <w:r w:rsidRPr="00B6039A">
        <w:rPr>
          <w:rFonts w:ascii="Calibri" w:hAnsi="Calibri" w:cs="Calibri"/>
          <w:sz w:val="24"/>
          <w:szCs w:val="24"/>
        </w:rPr>
        <w:t>Getting the foundations right will ensure the Act is compatible with the WEAG r</w:t>
      </w:r>
      <w:r w:rsidR="00F95676" w:rsidRPr="00B6039A">
        <w:rPr>
          <w:rFonts w:ascii="Calibri" w:hAnsi="Calibri" w:cs="Calibri"/>
          <w:sz w:val="24"/>
          <w:szCs w:val="24"/>
        </w:rPr>
        <w:t xml:space="preserve">ecommendations and the </w:t>
      </w:r>
      <w:r w:rsidR="00896704" w:rsidRPr="00B6039A">
        <w:rPr>
          <w:rFonts w:ascii="Calibri" w:hAnsi="Calibri" w:cs="Calibri"/>
          <w:sz w:val="24"/>
          <w:szCs w:val="24"/>
        </w:rPr>
        <w:t>g</w:t>
      </w:r>
      <w:r w:rsidR="00F95676" w:rsidRPr="00B6039A">
        <w:rPr>
          <w:rFonts w:ascii="Calibri" w:hAnsi="Calibri" w:cs="Calibri"/>
          <w:sz w:val="24"/>
          <w:szCs w:val="24"/>
        </w:rPr>
        <w:t>overnment’s vision – and will facilitate its realisation</w:t>
      </w:r>
      <w:r w:rsidR="00896704" w:rsidRPr="00B6039A">
        <w:rPr>
          <w:rFonts w:ascii="Calibri" w:hAnsi="Calibri" w:cs="Calibri"/>
          <w:sz w:val="24"/>
          <w:szCs w:val="24"/>
        </w:rPr>
        <w:t>. T</w:t>
      </w:r>
      <w:r w:rsidR="00AE4447" w:rsidRPr="00B6039A">
        <w:rPr>
          <w:rFonts w:ascii="Calibri" w:hAnsi="Calibri" w:cs="Calibri"/>
          <w:sz w:val="24"/>
          <w:szCs w:val="24"/>
        </w:rPr>
        <w:t>he current Act is a barrier.</w:t>
      </w:r>
      <w:r w:rsidR="00F95676" w:rsidRPr="00B6039A">
        <w:rPr>
          <w:rFonts w:ascii="Calibri" w:hAnsi="Calibri" w:cs="Calibri"/>
          <w:sz w:val="24"/>
          <w:szCs w:val="24"/>
        </w:rPr>
        <w:t xml:space="preserve"> W</w:t>
      </w:r>
      <w:r w:rsidR="00374390" w:rsidRPr="00B6039A">
        <w:rPr>
          <w:rFonts w:ascii="Calibri" w:hAnsi="Calibri" w:cs="Calibri"/>
          <w:sz w:val="24"/>
          <w:szCs w:val="24"/>
        </w:rPr>
        <w:t>e urge full implementation of these recommend</w:t>
      </w:r>
      <w:r w:rsidR="003A49D6" w:rsidRPr="00B6039A">
        <w:rPr>
          <w:rFonts w:ascii="Calibri" w:hAnsi="Calibri" w:cs="Calibri"/>
          <w:sz w:val="24"/>
          <w:szCs w:val="24"/>
        </w:rPr>
        <w:t>ations:</w:t>
      </w:r>
    </w:p>
    <w:p w14:paraId="0367B6D4" w14:textId="71503222" w:rsidR="00374390" w:rsidRPr="00B6039A" w:rsidRDefault="00374390" w:rsidP="00896704">
      <w:pPr>
        <w:autoSpaceDE w:val="0"/>
        <w:autoSpaceDN w:val="0"/>
        <w:adjustRightInd w:val="0"/>
        <w:spacing w:line="201" w:lineRule="atLeast"/>
        <w:ind w:left="284" w:firstLine="0"/>
        <w:jc w:val="both"/>
        <w:rPr>
          <w:rFonts w:ascii="Calibri" w:hAnsi="Calibri" w:cs="Calibri"/>
          <w:i/>
          <w:color w:val="000000"/>
          <w:sz w:val="24"/>
          <w:szCs w:val="24"/>
        </w:rPr>
      </w:pPr>
      <w:r w:rsidRPr="00B6039A">
        <w:rPr>
          <w:rFonts w:ascii="Calibri" w:hAnsi="Calibri" w:cs="Calibri"/>
          <w:b/>
          <w:bCs/>
          <w:i/>
          <w:color w:val="003C50"/>
          <w:sz w:val="24"/>
          <w:szCs w:val="24"/>
        </w:rPr>
        <w:t xml:space="preserve">“Recommendation 1: </w:t>
      </w:r>
      <w:r w:rsidRPr="00B6039A">
        <w:rPr>
          <w:rFonts w:ascii="Calibri" w:hAnsi="Calibri" w:cs="Calibri"/>
          <w:i/>
          <w:color w:val="000000"/>
          <w:sz w:val="24"/>
          <w:szCs w:val="24"/>
        </w:rPr>
        <w:t xml:space="preserve">Amend the Social Security Act 2018 to state that anyone exercising power under the Act have regard to the following purpose and values. </w:t>
      </w:r>
    </w:p>
    <w:p w14:paraId="3CDD9DE9" w14:textId="77777777" w:rsidR="00374390" w:rsidRPr="00B6039A" w:rsidRDefault="00374390" w:rsidP="00896704">
      <w:pPr>
        <w:autoSpaceDE w:val="0"/>
        <w:autoSpaceDN w:val="0"/>
        <w:adjustRightInd w:val="0"/>
        <w:spacing w:line="201" w:lineRule="atLeast"/>
        <w:ind w:left="284" w:firstLine="0"/>
        <w:jc w:val="both"/>
        <w:rPr>
          <w:rFonts w:ascii="Calibri" w:hAnsi="Calibri" w:cs="Calibri"/>
          <w:i/>
          <w:color w:val="000000"/>
          <w:sz w:val="24"/>
          <w:szCs w:val="24"/>
        </w:rPr>
      </w:pPr>
      <w:r w:rsidRPr="00B6039A">
        <w:rPr>
          <w:rFonts w:ascii="Calibri" w:hAnsi="Calibri" w:cs="Calibri"/>
          <w:i/>
          <w:color w:val="000000"/>
          <w:sz w:val="24"/>
          <w:szCs w:val="24"/>
        </w:rPr>
        <w:t xml:space="preserve">The purpose of the welfare system is to </w:t>
      </w:r>
      <w:proofErr w:type="spellStart"/>
      <w:r w:rsidRPr="00B6039A">
        <w:rPr>
          <w:rFonts w:ascii="Calibri" w:hAnsi="Calibri" w:cs="Calibri"/>
          <w:i/>
          <w:color w:val="000000"/>
          <w:sz w:val="24"/>
          <w:szCs w:val="24"/>
        </w:rPr>
        <w:t>whakamana</w:t>
      </w:r>
      <w:proofErr w:type="spellEnd"/>
      <w:r w:rsidRPr="00B6039A">
        <w:rPr>
          <w:rFonts w:ascii="Calibri" w:hAnsi="Calibri" w:cs="Calibri"/>
          <w:i/>
          <w:color w:val="000000"/>
          <w:sz w:val="24"/>
          <w:szCs w:val="24"/>
        </w:rPr>
        <w:t xml:space="preserve"> </w:t>
      </w:r>
      <w:proofErr w:type="spellStart"/>
      <w:r w:rsidRPr="00B6039A">
        <w:rPr>
          <w:rFonts w:ascii="Calibri" w:hAnsi="Calibri" w:cs="Calibri"/>
          <w:i/>
          <w:color w:val="000000"/>
          <w:sz w:val="24"/>
          <w:szCs w:val="24"/>
        </w:rPr>
        <w:t>tāngata</w:t>
      </w:r>
      <w:proofErr w:type="spellEnd"/>
      <w:r w:rsidRPr="00B6039A">
        <w:rPr>
          <w:rFonts w:ascii="Calibri" w:hAnsi="Calibri" w:cs="Calibri"/>
          <w:i/>
          <w:color w:val="000000"/>
          <w:sz w:val="24"/>
          <w:szCs w:val="24"/>
        </w:rPr>
        <w:t xml:space="preserve"> and ensure a dignified life by: </w:t>
      </w:r>
    </w:p>
    <w:p w14:paraId="1CFFC4A5" w14:textId="77777777" w:rsidR="00374390" w:rsidRPr="00B6039A" w:rsidRDefault="00374390" w:rsidP="00896704">
      <w:pPr>
        <w:numPr>
          <w:ilvl w:val="0"/>
          <w:numId w:val="15"/>
        </w:numPr>
        <w:autoSpaceDE w:val="0"/>
        <w:autoSpaceDN w:val="0"/>
        <w:adjustRightInd w:val="0"/>
        <w:ind w:left="284" w:firstLine="0"/>
        <w:rPr>
          <w:rFonts w:ascii="Calibri" w:hAnsi="Calibri" w:cs="Calibri"/>
          <w:i/>
          <w:color w:val="000000"/>
          <w:sz w:val="24"/>
          <w:szCs w:val="24"/>
        </w:rPr>
      </w:pPr>
      <w:r w:rsidRPr="00B6039A">
        <w:rPr>
          <w:rFonts w:ascii="Calibri" w:hAnsi="Calibri" w:cs="Calibri"/>
          <w:i/>
          <w:color w:val="000000"/>
          <w:sz w:val="24"/>
          <w:szCs w:val="24"/>
        </w:rPr>
        <w:t xml:space="preserve">providing financial security and social security sufficient for an adequate standard of living </w:t>
      </w:r>
    </w:p>
    <w:p w14:paraId="1B27AEFB" w14:textId="77777777" w:rsidR="00374390" w:rsidRPr="00B6039A" w:rsidRDefault="00374390" w:rsidP="00896704">
      <w:pPr>
        <w:numPr>
          <w:ilvl w:val="0"/>
          <w:numId w:val="15"/>
        </w:numPr>
        <w:autoSpaceDE w:val="0"/>
        <w:autoSpaceDN w:val="0"/>
        <w:adjustRightInd w:val="0"/>
        <w:ind w:left="284" w:firstLine="0"/>
        <w:rPr>
          <w:rFonts w:ascii="Calibri" w:hAnsi="Calibri" w:cs="Calibri"/>
          <w:i/>
          <w:color w:val="000000"/>
          <w:sz w:val="24"/>
          <w:szCs w:val="24"/>
        </w:rPr>
      </w:pPr>
      <w:r w:rsidRPr="00B6039A">
        <w:rPr>
          <w:rFonts w:ascii="Calibri" w:hAnsi="Calibri" w:cs="Calibri"/>
          <w:i/>
          <w:color w:val="000000"/>
          <w:sz w:val="24"/>
          <w:szCs w:val="24"/>
        </w:rPr>
        <w:t xml:space="preserve">supporting people to achieve their potential for learning, caring or volunteering, and earning through good and appropriate work </w:t>
      </w:r>
    </w:p>
    <w:p w14:paraId="67BC2718" w14:textId="77777777" w:rsidR="00374390" w:rsidRPr="00B6039A" w:rsidRDefault="00374390" w:rsidP="00896704">
      <w:pPr>
        <w:autoSpaceDE w:val="0"/>
        <w:autoSpaceDN w:val="0"/>
        <w:adjustRightInd w:val="0"/>
        <w:spacing w:line="201" w:lineRule="atLeast"/>
        <w:ind w:left="284" w:firstLine="0"/>
        <w:jc w:val="both"/>
        <w:rPr>
          <w:rFonts w:ascii="Calibri" w:hAnsi="Calibri" w:cs="Calibri"/>
          <w:i/>
          <w:color w:val="000000"/>
          <w:sz w:val="24"/>
          <w:szCs w:val="24"/>
        </w:rPr>
      </w:pPr>
      <w:r w:rsidRPr="00B6039A">
        <w:rPr>
          <w:rFonts w:ascii="Calibri" w:hAnsi="Calibri" w:cs="Calibri"/>
          <w:i/>
          <w:color w:val="000000"/>
          <w:sz w:val="24"/>
          <w:szCs w:val="24"/>
        </w:rPr>
        <w:t xml:space="preserve">The welfare system is underpinned by Kia Piki Ake </w:t>
      </w:r>
      <w:proofErr w:type="spellStart"/>
      <w:r w:rsidRPr="00B6039A">
        <w:rPr>
          <w:rFonts w:ascii="Calibri" w:hAnsi="Calibri" w:cs="Calibri"/>
          <w:i/>
          <w:color w:val="000000"/>
          <w:sz w:val="24"/>
          <w:szCs w:val="24"/>
        </w:rPr>
        <w:t>Te</w:t>
      </w:r>
      <w:proofErr w:type="spellEnd"/>
      <w:r w:rsidRPr="00B6039A">
        <w:rPr>
          <w:rFonts w:ascii="Calibri" w:hAnsi="Calibri" w:cs="Calibri"/>
          <w:i/>
          <w:color w:val="000000"/>
          <w:sz w:val="24"/>
          <w:szCs w:val="24"/>
        </w:rPr>
        <w:t xml:space="preserve"> Mana </w:t>
      </w:r>
      <w:proofErr w:type="spellStart"/>
      <w:r w:rsidRPr="00B6039A">
        <w:rPr>
          <w:rFonts w:ascii="Calibri" w:hAnsi="Calibri" w:cs="Calibri"/>
          <w:i/>
          <w:color w:val="000000"/>
          <w:sz w:val="24"/>
          <w:szCs w:val="24"/>
        </w:rPr>
        <w:t>Tangata</w:t>
      </w:r>
      <w:proofErr w:type="spellEnd"/>
      <w:r w:rsidRPr="00B6039A">
        <w:rPr>
          <w:rFonts w:ascii="Calibri" w:hAnsi="Calibri" w:cs="Calibri"/>
          <w:i/>
          <w:color w:val="000000"/>
          <w:sz w:val="24"/>
          <w:szCs w:val="24"/>
        </w:rPr>
        <w:t xml:space="preserve">, including </w:t>
      </w:r>
      <w:proofErr w:type="spellStart"/>
      <w:r w:rsidRPr="00B6039A">
        <w:rPr>
          <w:rFonts w:ascii="Calibri" w:hAnsi="Calibri" w:cs="Calibri"/>
          <w:i/>
          <w:color w:val="000000"/>
          <w:sz w:val="24"/>
          <w:szCs w:val="24"/>
        </w:rPr>
        <w:t>kaupapa</w:t>
      </w:r>
      <w:proofErr w:type="spellEnd"/>
      <w:r w:rsidRPr="00B6039A">
        <w:rPr>
          <w:rFonts w:ascii="Calibri" w:hAnsi="Calibri" w:cs="Calibri"/>
          <w:i/>
          <w:color w:val="000000"/>
          <w:sz w:val="24"/>
          <w:szCs w:val="24"/>
        </w:rPr>
        <w:t xml:space="preserve"> Māori values of: </w:t>
      </w:r>
    </w:p>
    <w:p w14:paraId="3834AF64" w14:textId="77777777" w:rsidR="00374390" w:rsidRPr="00B6039A" w:rsidRDefault="00374390" w:rsidP="00896704">
      <w:pPr>
        <w:numPr>
          <w:ilvl w:val="0"/>
          <w:numId w:val="18"/>
        </w:numPr>
        <w:autoSpaceDE w:val="0"/>
        <w:autoSpaceDN w:val="0"/>
        <w:adjustRightInd w:val="0"/>
        <w:ind w:left="709" w:firstLine="0"/>
        <w:rPr>
          <w:rFonts w:ascii="Calibri" w:hAnsi="Calibri" w:cs="Calibri"/>
          <w:i/>
          <w:color w:val="000000"/>
          <w:sz w:val="24"/>
          <w:szCs w:val="24"/>
        </w:rPr>
      </w:pPr>
      <w:proofErr w:type="spellStart"/>
      <w:r w:rsidRPr="00B6039A">
        <w:rPr>
          <w:rFonts w:ascii="Calibri" w:hAnsi="Calibri" w:cs="Calibri"/>
          <w:i/>
          <w:color w:val="000000"/>
          <w:sz w:val="24"/>
          <w:szCs w:val="24"/>
        </w:rPr>
        <w:t>manaakitanga</w:t>
      </w:r>
      <w:proofErr w:type="spellEnd"/>
      <w:r w:rsidRPr="00B6039A">
        <w:rPr>
          <w:rFonts w:ascii="Calibri" w:hAnsi="Calibri" w:cs="Calibri"/>
          <w:i/>
          <w:color w:val="000000"/>
          <w:sz w:val="24"/>
          <w:szCs w:val="24"/>
        </w:rPr>
        <w:t xml:space="preserve"> – caring with dignity and respect </w:t>
      </w:r>
    </w:p>
    <w:p w14:paraId="583969D7" w14:textId="77777777" w:rsidR="00374390" w:rsidRPr="00B6039A" w:rsidRDefault="00374390" w:rsidP="00896704">
      <w:pPr>
        <w:numPr>
          <w:ilvl w:val="0"/>
          <w:numId w:val="18"/>
        </w:numPr>
        <w:autoSpaceDE w:val="0"/>
        <w:autoSpaceDN w:val="0"/>
        <w:adjustRightInd w:val="0"/>
        <w:ind w:left="709" w:firstLine="0"/>
        <w:rPr>
          <w:rFonts w:ascii="Calibri" w:hAnsi="Calibri" w:cs="Calibri"/>
          <w:i/>
          <w:color w:val="000000"/>
          <w:sz w:val="24"/>
          <w:szCs w:val="24"/>
        </w:rPr>
      </w:pPr>
      <w:proofErr w:type="spellStart"/>
      <w:r w:rsidRPr="00B6039A">
        <w:rPr>
          <w:rFonts w:ascii="Calibri" w:hAnsi="Calibri" w:cs="Calibri"/>
          <w:i/>
          <w:color w:val="000000"/>
          <w:sz w:val="24"/>
          <w:szCs w:val="24"/>
        </w:rPr>
        <w:t>ōhanga</w:t>
      </w:r>
      <w:proofErr w:type="spellEnd"/>
      <w:r w:rsidRPr="00B6039A">
        <w:rPr>
          <w:rFonts w:ascii="Calibri" w:hAnsi="Calibri" w:cs="Calibri"/>
          <w:i/>
          <w:color w:val="000000"/>
          <w:sz w:val="24"/>
          <w:szCs w:val="24"/>
        </w:rPr>
        <w:t xml:space="preserve"> – economics </w:t>
      </w:r>
    </w:p>
    <w:p w14:paraId="2D9E4721" w14:textId="77777777" w:rsidR="00374390" w:rsidRPr="00B6039A" w:rsidRDefault="00374390" w:rsidP="00896704">
      <w:pPr>
        <w:numPr>
          <w:ilvl w:val="0"/>
          <w:numId w:val="18"/>
        </w:numPr>
        <w:autoSpaceDE w:val="0"/>
        <w:autoSpaceDN w:val="0"/>
        <w:adjustRightInd w:val="0"/>
        <w:ind w:left="709" w:firstLine="0"/>
        <w:rPr>
          <w:rFonts w:ascii="Calibri" w:hAnsi="Calibri" w:cs="Calibri"/>
          <w:i/>
          <w:color w:val="000000"/>
          <w:sz w:val="24"/>
          <w:szCs w:val="24"/>
        </w:rPr>
      </w:pPr>
      <w:r w:rsidRPr="00B6039A">
        <w:rPr>
          <w:rFonts w:ascii="Calibri" w:hAnsi="Calibri" w:cs="Calibri"/>
          <w:i/>
          <w:color w:val="000000"/>
          <w:sz w:val="24"/>
          <w:szCs w:val="24"/>
        </w:rPr>
        <w:t xml:space="preserve">whanaungatanga – treasuring kinship ties and relationships </w:t>
      </w:r>
    </w:p>
    <w:p w14:paraId="2C1B97A7" w14:textId="77777777" w:rsidR="00374390" w:rsidRPr="00B6039A" w:rsidRDefault="00374390" w:rsidP="00896704">
      <w:pPr>
        <w:numPr>
          <w:ilvl w:val="0"/>
          <w:numId w:val="18"/>
        </w:numPr>
        <w:autoSpaceDE w:val="0"/>
        <w:autoSpaceDN w:val="0"/>
        <w:adjustRightInd w:val="0"/>
        <w:ind w:left="709" w:firstLine="0"/>
        <w:rPr>
          <w:rFonts w:ascii="Calibri" w:hAnsi="Calibri" w:cs="Calibri"/>
          <w:i/>
          <w:color w:val="000000"/>
          <w:sz w:val="24"/>
          <w:szCs w:val="24"/>
        </w:rPr>
      </w:pPr>
      <w:proofErr w:type="spellStart"/>
      <w:r w:rsidRPr="00B6039A">
        <w:rPr>
          <w:rFonts w:ascii="Calibri" w:hAnsi="Calibri" w:cs="Calibri"/>
          <w:i/>
          <w:color w:val="000000"/>
          <w:sz w:val="24"/>
          <w:szCs w:val="24"/>
        </w:rPr>
        <w:t>kotahitanga</w:t>
      </w:r>
      <w:proofErr w:type="spellEnd"/>
      <w:r w:rsidRPr="00B6039A">
        <w:rPr>
          <w:rFonts w:ascii="Calibri" w:hAnsi="Calibri" w:cs="Calibri"/>
          <w:i/>
          <w:color w:val="000000"/>
          <w:sz w:val="24"/>
          <w:szCs w:val="24"/>
        </w:rPr>
        <w:t xml:space="preserve"> – unity </w:t>
      </w:r>
    </w:p>
    <w:p w14:paraId="3995B344" w14:textId="77777777" w:rsidR="00374390" w:rsidRPr="00B6039A" w:rsidRDefault="00374390" w:rsidP="00896704">
      <w:pPr>
        <w:numPr>
          <w:ilvl w:val="0"/>
          <w:numId w:val="18"/>
        </w:numPr>
        <w:autoSpaceDE w:val="0"/>
        <w:autoSpaceDN w:val="0"/>
        <w:adjustRightInd w:val="0"/>
        <w:ind w:left="709" w:firstLine="0"/>
        <w:rPr>
          <w:rFonts w:ascii="Calibri" w:hAnsi="Calibri" w:cs="Calibri"/>
          <w:i/>
          <w:color w:val="000000"/>
          <w:sz w:val="24"/>
          <w:szCs w:val="24"/>
        </w:rPr>
      </w:pPr>
      <w:proofErr w:type="spellStart"/>
      <w:r w:rsidRPr="00B6039A">
        <w:rPr>
          <w:rFonts w:ascii="Calibri" w:hAnsi="Calibri" w:cs="Calibri"/>
          <w:i/>
          <w:color w:val="000000"/>
          <w:sz w:val="24"/>
          <w:szCs w:val="24"/>
        </w:rPr>
        <w:t>takatūtanga</w:t>
      </w:r>
      <w:proofErr w:type="spellEnd"/>
      <w:r w:rsidRPr="00B6039A">
        <w:rPr>
          <w:rFonts w:ascii="Calibri" w:hAnsi="Calibri" w:cs="Calibri"/>
          <w:i/>
          <w:color w:val="000000"/>
          <w:sz w:val="24"/>
          <w:szCs w:val="24"/>
        </w:rPr>
        <w:t xml:space="preserve"> – preparedness </w:t>
      </w:r>
    </w:p>
    <w:p w14:paraId="25903FF9" w14:textId="018F0D5F" w:rsidR="00374390" w:rsidRPr="00B6039A" w:rsidRDefault="00374390" w:rsidP="00896704">
      <w:pPr>
        <w:numPr>
          <w:ilvl w:val="0"/>
          <w:numId w:val="18"/>
        </w:numPr>
        <w:autoSpaceDE w:val="0"/>
        <w:autoSpaceDN w:val="0"/>
        <w:adjustRightInd w:val="0"/>
        <w:spacing w:after="120"/>
        <w:ind w:left="706" w:firstLine="0"/>
        <w:rPr>
          <w:rFonts w:ascii="Calibri" w:hAnsi="Calibri" w:cs="Calibri"/>
          <w:i/>
          <w:color w:val="000000"/>
          <w:sz w:val="24"/>
          <w:szCs w:val="24"/>
        </w:rPr>
      </w:pPr>
      <w:proofErr w:type="spellStart"/>
      <w:r w:rsidRPr="00B6039A">
        <w:rPr>
          <w:rFonts w:ascii="Calibri" w:hAnsi="Calibri" w:cs="Calibri"/>
          <w:i/>
          <w:color w:val="000000"/>
          <w:sz w:val="24"/>
          <w:szCs w:val="24"/>
        </w:rPr>
        <w:t>kaitiakitanga</w:t>
      </w:r>
      <w:proofErr w:type="spellEnd"/>
      <w:r w:rsidRPr="00B6039A">
        <w:rPr>
          <w:rFonts w:ascii="Calibri" w:hAnsi="Calibri" w:cs="Calibri"/>
          <w:i/>
          <w:color w:val="000000"/>
          <w:sz w:val="24"/>
          <w:szCs w:val="24"/>
        </w:rPr>
        <w:t xml:space="preserve"> – guardianship. </w:t>
      </w:r>
    </w:p>
    <w:p w14:paraId="29F2FED6" w14:textId="77777777" w:rsidR="00374390" w:rsidRPr="00B6039A" w:rsidRDefault="00374390" w:rsidP="00896704">
      <w:pPr>
        <w:autoSpaceDE w:val="0"/>
        <w:autoSpaceDN w:val="0"/>
        <w:adjustRightInd w:val="0"/>
        <w:spacing w:line="201" w:lineRule="atLeast"/>
        <w:ind w:left="284" w:firstLine="0"/>
        <w:jc w:val="both"/>
        <w:rPr>
          <w:rFonts w:ascii="Calibri" w:hAnsi="Calibri" w:cs="Calibri"/>
          <w:i/>
          <w:color w:val="000000"/>
          <w:sz w:val="24"/>
          <w:szCs w:val="24"/>
        </w:rPr>
      </w:pPr>
      <w:r w:rsidRPr="00B6039A">
        <w:rPr>
          <w:rFonts w:ascii="Calibri" w:hAnsi="Calibri" w:cs="Calibri"/>
          <w:b/>
          <w:bCs/>
          <w:i/>
          <w:color w:val="003C50"/>
          <w:sz w:val="24"/>
          <w:szCs w:val="24"/>
        </w:rPr>
        <w:t xml:space="preserve">Recommendation 2: </w:t>
      </w:r>
      <w:r w:rsidRPr="00B6039A">
        <w:rPr>
          <w:rFonts w:ascii="Calibri" w:hAnsi="Calibri" w:cs="Calibri"/>
          <w:i/>
          <w:color w:val="000000"/>
          <w:sz w:val="24"/>
          <w:szCs w:val="24"/>
        </w:rPr>
        <w:t xml:space="preserve">Use the following principles to guide the design and operation of the welfare system. </w:t>
      </w:r>
    </w:p>
    <w:p w14:paraId="6A27273D" w14:textId="77777777" w:rsidR="00374390" w:rsidRPr="00B6039A" w:rsidRDefault="00374390" w:rsidP="00896704">
      <w:pPr>
        <w:numPr>
          <w:ilvl w:val="0"/>
          <w:numId w:val="19"/>
        </w:numPr>
        <w:autoSpaceDE w:val="0"/>
        <w:autoSpaceDN w:val="0"/>
        <w:adjustRightInd w:val="0"/>
        <w:ind w:left="709" w:firstLine="0"/>
        <w:rPr>
          <w:rFonts w:ascii="Calibri" w:hAnsi="Calibri" w:cs="Calibri"/>
          <w:i/>
          <w:color w:val="000000"/>
          <w:sz w:val="24"/>
          <w:szCs w:val="24"/>
        </w:rPr>
      </w:pPr>
      <w:r w:rsidRPr="00B6039A">
        <w:rPr>
          <w:rFonts w:ascii="Calibri" w:hAnsi="Calibri" w:cs="Calibri"/>
          <w:i/>
          <w:color w:val="000000"/>
          <w:sz w:val="24"/>
          <w:szCs w:val="24"/>
        </w:rPr>
        <w:t xml:space="preserve">Be person-centred and wellbeing focused. </w:t>
      </w:r>
    </w:p>
    <w:p w14:paraId="7B1944A5" w14:textId="77777777" w:rsidR="00374390" w:rsidRPr="00B6039A" w:rsidRDefault="00374390" w:rsidP="00896704">
      <w:pPr>
        <w:numPr>
          <w:ilvl w:val="0"/>
          <w:numId w:val="19"/>
        </w:numPr>
        <w:autoSpaceDE w:val="0"/>
        <w:autoSpaceDN w:val="0"/>
        <w:adjustRightInd w:val="0"/>
        <w:ind w:left="709" w:firstLine="0"/>
        <w:rPr>
          <w:rFonts w:ascii="Calibri" w:hAnsi="Calibri" w:cs="Calibri"/>
          <w:i/>
          <w:color w:val="000000"/>
          <w:sz w:val="24"/>
          <w:szCs w:val="24"/>
        </w:rPr>
      </w:pPr>
      <w:r w:rsidRPr="00B6039A">
        <w:rPr>
          <w:rFonts w:ascii="Calibri" w:hAnsi="Calibri" w:cs="Calibri"/>
          <w:i/>
          <w:color w:val="000000"/>
          <w:sz w:val="24"/>
          <w:szCs w:val="24"/>
        </w:rPr>
        <w:t xml:space="preserve">Keep children paramount. </w:t>
      </w:r>
    </w:p>
    <w:p w14:paraId="136B66F4"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t xml:space="preserve">Value </w:t>
      </w:r>
      <w:proofErr w:type="spellStart"/>
      <w:r w:rsidRPr="00B6039A">
        <w:rPr>
          <w:rFonts w:ascii="Calibri" w:hAnsi="Calibri" w:cs="Calibri"/>
          <w:i/>
          <w:color w:val="000000"/>
          <w:sz w:val="24"/>
          <w:szCs w:val="24"/>
        </w:rPr>
        <w:t>whānau</w:t>
      </w:r>
      <w:proofErr w:type="spellEnd"/>
      <w:r w:rsidRPr="00B6039A">
        <w:rPr>
          <w:rFonts w:ascii="Calibri" w:hAnsi="Calibri" w:cs="Calibri"/>
          <w:i/>
          <w:color w:val="000000"/>
          <w:sz w:val="24"/>
          <w:szCs w:val="24"/>
        </w:rPr>
        <w:t xml:space="preserve"> and families. </w:t>
      </w:r>
    </w:p>
    <w:p w14:paraId="1A595F9B"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t xml:space="preserve">Treat people with dignity, respect and compassion. </w:t>
      </w:r>
    </w:p>
    <w:p w14:paraId="71B5834A"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t xml:space="preserve">Provide an income sufficient for an adequate standard of living. </w:t>
      </w:r>
    </w:p>
    <w:p w14:paraId="5B7AA0BF"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t xml:space="preserve">Provide full and correct entitlements. </w:t>
      </w:r>
    </w:p>
    <w:p w14:paraId="0A75AAC3"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t xml:space="preserve">Deliver support that is easy to access, timely and appropriate. </w:t>
      </w:r>
    </w:p>
    <w:p w14:paraId="5F24B97A"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lastRenderedPageBreak/>
        <w:t xml:space="preserve">Provide an employment service that supports people into good and appropriate work. </w:t>
      </w:r>
    </w:p>
    <w:p w14:paraId="1EEC77D5"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t xml:space="preserve">Support the provision of housing that is affordable, secure, of good quality and appropriate for the person (and their family or </w:t>
      </w:r>
      <w:proofErr w:type="spellStart"/>
      <w:r w:rsidRPr="00B6039A">
        <w:rPr>
          <w:rFonts w:ascii="Calibri" w:hAnsi="Calibri" w:cs="Calibri"/>
          <w:i/>
          <w:color w:val="000000"/>
          <w:sz w:val="24"/>
          <w:szCs w:val="24"/>
        </w:rPr>
        <w:t>whānau</w:t>
      </w:r>
      <w:proofErr w:type="spellEnd"/>
      <w:r w:rsidRPr="00B6039A">
        <w:rPr>
          <w:rFonts w:ascii="Calibri" w:hAnsi="Calibri" w:cs="Calibri"/>
          <w:i/>
          <w:color w:val="000000"/>
          <w:sz w:val="24"/>
          <w:szCs w:val="24"/>
        </w:rPr>
        <w:t xml:space="preserve">). </w:t>
      </w:r>
    </w:p>
    <w:p w14:paraId="70BDD92D"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t xml:space="preserve">Promote mutual expectations. </w:t>
      </w:r>
    </w:p>
    <w:p w14:paraId="3E419965"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t xml:space="preserve">Aim for equitable outcomes. </w:t>
      </w:r>
    </w:p>
    <w:p w14:paraId="75A68FE1" w14:textId="77777777" w:rsidR="00374390" w:rsidRPr="00B6039A" w:rsidRDefault="00374390" w:rsidP="00896704">
      <w:pPr>
        <w:numPr>
          <w:ilvl w:val="0"/>
          <w:numId w:val="19"/>
        </w:numPr>
        <w:autoSpaceDE w:val="0"/>
        <w:autoSpaceDN w:val="0"/>
        <w:adjustRightInd w:val="0"/>
        <w:ind w:left="706" w:firstLine="0"/>
        <w:rPr>
          <w:rFonts w:ascii="Calibri" w:hAnsi="Calibri" w:cs="Calibri"/>
          <w:i/>
          <w:color w:val="000000"/>
          <w:sz w:val="24"/>
          <w:szCs w:val="24"/>
        </w:rPr>
      </w:pPr>
      <w:r w:rsidRPr="00B6039A">
        <w:rPr>
          <w:rFonts w:ascii="Calibri" w:hAnsi="Calibri" w:cs="Calibri"/>
          <w:i/>
          <w:color w:val="000000"/>
          <w:sz w:val="24"/>
          <w:szCs w:val="24"/>
        </w:rPr>
        <w:t xml:space="preserve">Build and maintain effective links with other parts of government. </w:t>
      </w:r>
    </w:p>
    <w:p w14:paraId="11EAA2ED" w14:textId="77777777" w:rsidR="00374390" w:rsidRPr="00B6039A" w:rsidRDefault="00374390" w:rsidP="00896704">
      <w:pPr>
        <w:numPr>
          <w:ilvl w:val="0"/>
          <w:numId w:val="19"/>
        </w:numPr>
        <w:autoSpaceDE w:val="0"/>
        <w:autoSpaceDN w:val="0"/>
        <w:adjustRightInd w:val="0"/>
        <w:spacing w:after="120"/>
        <w:ind w:left="706" w:firstLine="0"/>
        <w:rPr>
          <w:rFonts w:ascii="Calibri" w:hAnsi="Calibri" w:cs="Calibri"/>
          <w:i/>
          <w:color w:val="000000"/>
          <w:sz w:val="24"/>
          <w:szCs w:val="24"/>
        </w:rPr>
      </w:pPr>
      <w:r w:rsidRPr="00B6039A">
        <w:rPr>
          <w:rFonts w:ascii="Calibri" w:hAnsi="Calibri" w:cs="Calibri"/>
          <w:i/>
          <w:color w:val="000000"/>
          <w:sz w:val="24"/>
          <w:szCs w:val="24"/>
        </w:rPr>
        <w:t xml:space="preserve">Be sustainable. </w:t>
      </w:r>
    </w:p>
    <w:p w14:paraId="46DC886E" w14:textId="1A11A36C" w:rsidR="00374390" w:rsidRPr="00B6039A" w:rsidRDefault="00374390" w:rsidP="003A49D6">
      <w:pPr>
        <w:ind w:left="709" w:firstLine="0"/>
        <w:rPr>
          <w:rFonts w:ascii="Calibri" w:hAnsi="Calibri" w:cs="Calibri"/>
          <w:sz w:val="24"/>
          <w:szCs w:val="24"/>
        </w:rPr>
      </w:pPr>
      <w:r w:rsidRPr="00B6039A">
        <w:rPr>
          <w:rFonts w:ascii="Calibri" w:hAnsi="Calibri" w:cs="Calibri"/>
          <w:b/>
          <w:bCs/>
          <w:i/>
          <w:color w:val="003C50"/>
          <w:sz w:val="24"/>
          <w:szCs w:val="24"/>
        </w:rPr>
        <w:t xml:space="preserve">Recommendation 4: </w:t>
      </w:r>
      <w:r w:rsidRPr="00B6039A">
        <w:rPr>
          <w:rFonts w:ascii="Calibri" w:hAnsi="Calibri" w:cs="Calibri"/>
          <w:i/>
          <w:color w:val="000000"/>
          <w:sz w:val="24"/>
          <w:szCs w:val="24"/>
        </w:rPr>
        <w:t xml:space="preserve">Direct the Chief Executive of the Ministry of Social Development to design and implement a welfare system that will fulfil the new purpose and principles of the amended Social Security Act, is cognisant of responsibilities under </w:t>
      </w:r>
      <w:proofErr w:type="spellStart"/>
      <w:r w:rsidRPr="00B6039A">
        <w:rPr>
          <w:rFonts w:ascii="Calibri" w:hAnsi="Calibri" w:cs="Calibri"/>
          <w:i/>
          <w:color w:val="000000"/>
          <w:sz w:val="24"/>
          <w:szCs w:val="24"/>
        </w:rPr>
        <w:t>Te</w:t>
      </w:r>
      <w:proofErr w:type="spellEnd"/>
      <w:r w:rsidRPr="00B6039A">
        <w:rPr>
          <w:rFonts w:ascii="Calibri" w:hAnsi="Calibri" w:cs="Calibri"/>
          <w:i/>
          <w:color w:val="000000"/>
          <w:sz w:val="24"/>
          <w:szCs w:val="24"/>
        </w:rPr>
        <w:t xml:space="preserve"> </w:t>
      </w:r>
      <w:proofErr w:type="spellStart"/>
      <w:r w:rsidRPr="00B6039A">
        <w:rPr>
          <w:rFonts w:ascii="Calibri" w:hAnsi="Calibri" w:cs="Calibri"/>
          <w:i/>
          <w:color w:val="000000"/>
          <w:sz w:val="24"/>
          <w:szCs w:val="24"/>
        </w:rPr>
        <w:t>Tiriti</w:t>
      </w:r>
      <w:proofErr w:type="spellEnd"/>
      <w:r w:rsidRPr="00B6039A">
        <w:rPr>
          <w:rFonts w:ascii="Calibri" w:hAnsi="Calibri" w:cs="Calibri"/>
          <w:i/>
          <w:color w:val="000000"/>
          <w:sz w:val="24"/>
          <w:szCs w:val="24"/>
        </w:rPr>
        <w:t xml:space="preserve"> o Waitangi and involves users of the system.”</w:t>
      </w:r>
      <w:r w:rsidR="003A49D6" w:rsidRPr="00B6039A">
        <w:rPr>
          <w:rStyle w:val="FootnoteReference"/>
          <w:rFonts w:ascii="Calibri" w:hAnsi="Calibri" w:cs="Calibri"/>
          <w:i/>
          <w:color w:val="000000"/>
          <w:sz w:val="24"/>
          <w:szCs w:val="24"/>
        </w:rPr>
        <w:footnoteReference w:id="182"/>
      </w:r>
    </w:p>
    <w:p w14:paraId="2BDFF45D" w14:textId="77777777" w:rsidR="00636F01" w:rsidRPr="00B6039A" w:rsidRDefault="00636F01" w:rsidP="003A49D6">
      <w:pPr>
        <w:ind w:left="0" w:firstLine="0"/>
        <w:rPr>
          <w:rFonts w:ascii="Calibri" w:hAnsi="Calibri" w:cs="Calibri"/>
          <w:sz w:val="24"/>
          <w:szCs w:val="24"/>
        </w:rPr>
      </w:pPr>
    </w:p>
    <w:p w14:paraId="6C94C123" w14:textId="77777777" w:rsidR="00636F01" w:rsidRPr="00B6039A" w:rsidRDefault="00636F01" w:rsidP="00F95676">
      <w:pPr>
        <w:pStyle w:val="ListParagraph"/>
        <w:numPr>
          <w:ilvl w:val="0"/>
          <w:numId w:val="4"/>
        </w:numPr>
        <w:spacing w:after="120"/>
        <w:contextualSpacing w:val="0"/>
        <w:rPr>
          <w:rFonts w:ascii="Calibri" w:hAnsi="Calibri" w:cs="Calibri"/>
          <w:b/>
          <w:sz w:val="24"/>
          <w:szCs w:val="24"/>
        </w:rPr>
      </w:pPr>
      <w:r w:rsidRPr="00B6039A">
        <w:rPr>
          <w:rFonts w:ascii="Calibri" w:hAnsi="Calibri" w:cs="Calibri"/>
          <w:b/>
          <w:sz w:val="24"/>
          <w:szCs w:val="24"/>
        </w:rPr>
        <w:t>Accelerate public housing development (Key Recommendation 29)</w:t>
      </w:r>
    </w:p>
    <w:p w14:paraId="4A85A898" w14:textId="38C1707C" w:rsidR="00EB6D64" w:rsidRPr="00B6039A" w:rsidRDefault="00636F01" w:rsidP="00F95676">
      <w:pPr>
        <w:pStyle w:val="ListParagraph"/>
        <w:spacing w:after="120"/>
        <w:ind w:left="0" w:firstLine="0"/>
        <w:contextualSpacing w:val="0"/>
        <w:rPr>
          <w:rFonts w:ascii="Calibri" w:hAnsi="Calibri" w:cs="Calibri"/>
          <w:sz w:val="24"/>
          <w:szCs w:val="24"/>
        </w:rPr>
      </w:pPr>
      <w:r w:rsidRPr="00B6039A">
        <w:rPr>
          <w:rFonts w:ascii="Calibri" w:hAnsi="Calibri" w:cs="Calibri"/>
          <w:sz w:val="24"/>
          <w:szCs w:val="24"/>
        </w:rPr>
        <w:t xml:space="preserve">Housing costs </w:t>
      </w:r>
      <w:r w:rsidR="00465DB1" w:rsidRPr="00B6039A">
        <w:rPr>
          <w:rFonts w:ascii="Calibri" w:hAnsi="Calibri" w:cs="Calibri"/>
          <w:sz w:val="24"/>
          <w:szCs w:val="24"/>
        </w:rPr>
        <w:t xml:space="preserve">and a lack of housing </w:t>
      </w:r>
      <w:r w:rsidRPr="00B6039A">
        <w:rPr>
          <w:rFonts w:ascii="Calibri" w:hAnsi="Calibri" w:cs="Calibri"/>
          <w:sz w:val="24"/>
          <w:szCs w:val="24"/>
        </w:rPr>
        <w:t>significantly exacerbate child poverty in Aotearoa. Unstable</w:t>
      </w:r>
      <w:r w:rsidR="00800ABD" w:rsidRPr="00B6039A">
        <w:rPr>
          <w:rFonts w:ascii="Calibri" w:hAnsi="Calibri" w:cs="Calibri"/>
          <w:sz w:val="24"/>
          <w:szCs w:val="24"/>
        </w:rPr>
        <w:t xml:space="preserve">, </w:t>
      </w:r>
      <w:r w:rsidRPr="00B6039A">
        <w:rPr>
          <w:rFonts w:ascii="Calibri" w:hAnsi="Calibri" w:cs="Calibri"/>
          <w:sz w:val="24"/>
          <w:szCs w:val="24"/>
        </w:rPr>
        <w:t>insecure</w:t>
      </w:r>
      <w:r w:rsidR="00800ABD" w:rsidRPr="00B6039A">
        <w:rPr>
          <w:rFonts w:ascii="Calibri" w:hAnsi="Calibri" w:cs="Calibri"/>
          <w:sz w:val="24"/>
          <w:szCs w:val="24"/>
        </w:rPr>
        <w:t>, overcrowded</w:t>
      </w:r>
      <w:r w:rsidRPr="00B6039A">
        <w:rPr>
          <w:rFonts w:ascii="Calibri" w:hAnsi="Calibri" w:cs="Calibri"/>
          <w:sz w:val="24"/>
          <w:szCs w:val="24"/>
        </w:rPr>
        <w:t xml:space="preserve"> housing circumstances cause significant stress for families, with </w:t>
      </w:r>
      <w:r w:rsidR="008616FD" w:rsidRPr="00B6039A">
        <w:rPr>
          <w:rFonts w:ascii="Calibri" w:hAnsi="Calibri" w:cs="Calibri"/>
          <w:sz w:val="24"/>
          <w:szCs w:val="24"/>
        </w:rPr>
        <w:t xml:space="preserve">adverse </w:t>
      </w:r>
      <w:r w:rsidRPr="00B6039A">
        <w:rPr>
          <w:rFonts w:ascii="Calibri" w:hAnsi="Calibri" w:cs="Calibri"/>
          <w:sz w:val="24"/>
          <w:szCs w:val="24"/>
        </w:rPr>
        <w:t>social and educational outcomes for children.</w:t>
      </w:r>
      <w:r w:rsidRPr="00B6039A">
        <w:rPr>
          <w:rStyle w:val="FootnoteReference"/>
          <w:rFonts w:ascii="Calibri" w:hAnsi="Calibri" w:cs="Calibri"/>
          <w:sz w:val="24"/>
          <w:szCs w:val="24"/>
        </w:rPr>
        <w:footnoteReference w:id="183"/>
      </w:r>
      <w:r w:rsidRPr="00B6039A">
        <w:rPr>
          <w:rFonts w:ascii="Calibri" w:hAnsi="Calibri" w:cs="Calibri"/>
          <w:sz w:val="24"/>
          <w:szCs w:val="24"/>
        </w:rPr>
        <w:t xml:space="preserve"> </w:t>
      </w:r>
    </w:p>
    <w:p w14:paraId="79B04DCE" w14:textId="3F68B012" w:rsidR="00636F01" w:rsidRPr="00B6039A" w:rsidRDefault="00EB6D64" w:rsidP="008616FD">
      <w:pPr>
        <w:pStyle w:val="ListParagraph"/>
        <w:spacing w:after="120"/>
        <w:ind w:left="0" w:firstLine="0"/>
        <w:contextualSpacing w:val="0"/>
        <w:rPr>
          <w:rFonts w:ascii="Calibri" w:hAnsi="Calibri" w:cs="Calibri"/>
          <w:sz w:val="24"/>
          <w:szCs w:val="24"/>
        </w:rPr>
      </w:pPr>
      <w:r w:rsidRPr="00B6039A">
        <w:rPr>
          <w:rFonts w:ascii="Calibri" w:hAnsi="Calibri" w:cs="Calibri"/>
          <w:sz w:val="24"/>
          <w:szCs w:val="24"/>
        </w:rPr>
        <w:t xml:space="preserve">The current rate of building state housing, while an improvement, is insufficient. </w:t>
      </w:r>
      <w:r w:rsidR="00636F01" w:rsidRPr="00B6039A">
        <w:rPr>
          <w:rFonts w:ascii="Calibri" w:hAnsi="Calibri" w:cs="Calibri"/>
          <w:sz w:val="24"/>
          <w:szCs w:val="24"/>
        </w:rPr>
        <w:t xml:space="preserve">The public housing register has exponentially increased, with demand increasing by </w:t>
      </w:r>
      <w:r w:rsidR="00A557B6" w:rsidRPr="00B6039A">
        <w:rPr>
          <w:rFonts w:ascii="Calibri" w:hAnsi="Calibri" w:cs="Calibri"/>
          <w:sz w:val="24"/>
          <w:szCs w:val="24"/>
        </w:rPr>
        <w:t>55</w:t>
      </w:r>
      <w:r w:rsidR="00636F01" w:rsidRPr="00B6039A">
        <w:rPr>
          <w:rFonts w:ascii="Calibri" w:hAnsi="Calibri" w:cs="Calibri"/>
          <w:sz w:val="24"/>
          <w:szCs w:val="24"/>
        </w:rPr>
        <w:t xml:space="preserve"> percent between </w:t>
      </w:r>
      <w:r w:rsidR="00A557B6" w:rsidRPr="00B6039A">
        <w:rPr>
          <w:rFonts w:ascii="Calibri" w:hAnsi="Calibri" w:cs="Calibri"/>
          <w:sz w:val="24"/>
          <w:szCs w:val="24"/>
        </w:rPr>
        <w:t>August</w:t>
      </w:r>
      <w:r w:rsidR="00636F01" w:rsidRPr="00B6039A">
        <w:rPr>
          <w:rFonts w:ascii="Calibri" w:hAnsi="Calibri" w:cs="Calibri"/>
          <w:sz w:val="24"/>
          <w:szCs w:val="24"/>
        </w:rPr>
        <w:t xml:space="preserve"> 2019 and </w:t>
      </w:r>
      <w:r w:rsidR="00A557B6" w:rsidRPr="00B6039A">
        <w:rPr>
          <w:rFonts w:ascii="Calibri" w:hAnsi="Calibri" w:cs="Calibri"/>
          <w:sz w:val="24"/>
          <w:szCs w:val="24"/>
        </w:rPr>
        <w:t>August</w:t>
      </w:r>
      <w:r w:rsidR="00636F01" w:rsidRPr="00B6039A">
        <w:rPr>
          <w:rFonts w:ascii="Calibri" w:hAnsi="Calibri" w:cs="Calibri"/>
          <w:sz w:val="24"/>
          <w:szCs w:val="24"/>
        </w:rPr>
        <w:t xml:space="preserve"> 2020 to </w:t>
      </w:r>
      <w:r w:rsidR="00A557B6" w:rsidRPr="00B6039A">
        <w:rPr>
          <w:rFonts w:ascii="Calibri" w:hAnsi="Calibri" w:cs="Calibri"/>
          <w:sz w:val="24"/>
          <w:szCs w:val="24"/>
        </w:rPr>
        <w:t>20,385</w:t>
      </w:r>
      <w:r w:rsidR="00636F01" w:rsidRPr="00B6039A">
        <w:rPr>
          <w:rFonts w:ascii="Calibri" w:hAnsi="Calibri" w:cs="Calibri"/>
          <w:sz w:val="24"/>
          <w:szCs w:val="24"/>
        </w:rPr>
        <w:t xml:space="preserve"> households.</w:t>
      </w:r>
      <w:r w:rsidR="002B2A08" w:rsidRPr="00B6039A">
        <w:rPr>
          <w:rStyle w:val="FootnoteReference"/>
          <w:rFonts w:ascii="Calibri" w:hAnsi="Calibri" w:cs="Calibri"/>
          <w:sz w:val="24"/>
          <w:szCs w:val="24"/>
        </w:rPr>
        <w:footnoteReference w:id="184"/>
      </w:r>
      <w:r w:rsidR="00636F01" w:rsidRPr="00B6039A">
        <w:rPr>
          <w:rFonts w:ascii="Calibri" w:hAnsi="Calibri" w:cs="Calibri"/>
          <w:sz w:val="24"/>
          <w:szCs w:val="24"/>
        </w:rPr>
        <w:t xml:space="preserve"> 43 percent of households on the regi</w:t>
      </w:r>
      <w:r w:rsidR="002B2A08" w:rsidRPr="00B6039A">
        <w:rPr>
          <w:rFonts w:ascii="Calibri" w:hAnsi="Calibri" w:cs="Calibri"/>
          <w:sz w:val="24"/>
          <w:szCs w:val="24"/>
        </w:rPr>
        <w:t>ster in June 2020 had children.</w:t>
      </w:r>
      <w:r w:rsidR="002B2A08" w:rsidRPr="00B6039A">
        <w:rPr>
          <w:rStyle w:val="FootnoteReference"/>
          <w:rFonts w:ascii="Calibri" w:hAnsi="Calibri" w:cs="Calibri"/>
          <w:sz w:val="24"/>
          <w:szCs w:val="24"/>
        </w:rPr>
        <w:footnoteReference w:id="185"/>
      </w:r>
    </w:p>
    <w:p w14:paraId="51DDD764" w14:textId="6FB6804E" w:rsidR="00EB6D64" w:rsidRPr="00B6039A" w:rsidRDefault="00636F01" w:rsidP="00F95676">
      <w:pPr>
        <w:pStyle w:val="ListParagraph"/>
        <w:numPr>
          <w:ilvl w:val="0"/>
          <w:numId w:val="4"/>
        </w:numPr>
        <w:spacing w:after="120"/>
        <w:ind w:left="714" w:hanging="357"/>
        <w:contextualSpacing w:val="0"/>
        <w:rPr>
          <w:rFonts w:ascii="Calibri" w:hAnsi="Calibri" w:cs="Calibri"/>
          <w:b/>
          <w:sz w:val="24"/>
          <w:szCs w:val="24"/>
        </w:rPr>
      </w:pPr>
      <w:r w:rsidRPr="00B6039A">
        <w:rPr>
          <w:rFonts w:ascii="Calibri" w:hAnsi="Calibri" w:cs="Calibri"/>
          <w:b/>
          <w:sz w:val="24"/>
          <w:szCs w:val="24"/>
        </w:rPr>
        <w:t xml:space="preserve">Change relationship rules </w:t>
      </w:r>
      <w:r w:rsidR="00F95676" w:rsidRPr="00B6039A">
        <w:rPr>
          <w:rFonts w:ascii="Calibri" w:hAnsi="Calibri" w:cs="Calibri"/>
          <w:b/>
          <w:sz w:val="24"/>
          <w:szCs w:val="24"/>
        </w:rPr>
        <w:t xml:space="preserve">so </w:t>
      </w:r>
      <w:r w:rsidR="005A3211" w:rsidRPr="00B6039A">
        <w:rPr>
          <w:rFonts w:ascii="Calibri" w:hAnsi="Calibri" w:cs="Calibri"/>
          <w:b/>
          <w:sz w:val="24"/>
          <w:szCs w:val="24"/>
        </w:rPr>
        <w:t xml:space="preserve">that relationship status (and relationship status changes) </w:t>
      </w:r>
      <w:r w:rsidR="00F95676" w:rsidRPr="00B6039A">
        <w:rPr>
          <w:rFonts w:ascii="Calibri" w:hAnsi="Calibri" w:cs="Calibri"/>
          <w:b/>
          <w:sz w:val="24"/>
          <w:szCs w:val="24"/>
        </w:rPr>
        <w:t xml:space="preserve">have less of an effect on </w:t>
      </w:r>
      <w:r w:rsidR="008616FD" w:rsidRPr="00B6039A">
        <w:rPr>
          <w:rFonts w:ascii="Calibri" w:hAnsi="Calibri" w:cs="Calibri"/>
          <w:b/>
          <w:sz w:val="24"/>
          <w:szCs w:val="24"/>
        </w:rPr>
        <w:t xml:space="preserve">individuals’ </w:t>
      </w:r>
      <w:r w:rsidR="00F95676" w:rsidRPr="00B6039A">
        <w:rPr>
          <w:rFonts w:ascii="Calibri" w:hAnsi="Calibri" w:cs="Calibri"/>
          <w:b/>
          <w:sz w:val="24"/>
          <w:szCs w:val="24"/>
        </w:rPr>
        <w:t>income</w:t>
      </w:r>
      <w:r w:rsidR="008616FD" w:rsidRPr="00B6039A">
        <w:rPr>
          <w:rFonts w:ascii="Calibri" w:hAnsi="Calibri" w:cs="Calibri"/>
          <w:b/>
          <w:sz w:val="24"/>
          <w:szCs w:val="24"/>
        </w:rPr>
        <w:t xml:space="preserve"> entitlements</w:t>
      </w:r>
      <w:r w:rsidR="00F95676" w:rsidRPr="00B6039A">
        <w:rPr>
          <w:rFonts w:ascii="Calibri" w:hAnsi="Calibri" w:cs="Calibri"/>
          <w:b/>
          <w:sz w:val="24"/>
          <w:szCs w:val="24"/>
        </w:rPr>
        <w:t xml:space="preserve"> </w:t>
      </w:r>
      <w:r w:rsidRPr="00B6039A">
        <w:rPr>
          <w:rFonts w:ascii="Calibri" w:hAnsi="Calibri" w:cs="Calibri"/>
          <w:b/>
          <w:sz w:val="24"/>
          <w:szCs w:val="24"/>
        </w:rPr>
        <w:t>(Key Recommendation 28, Detailed Recommendations 6</w:t>
      </w:r>
      <w:r w:rsidR="00374390" w:rsidRPr="00B6039A">
        <w:rPr>
          <w:rFonts w:ascii="Calibri" w:hAnsi="Calibri" w:cs="Calibri"/>
          <w:b/>
          <w:sz w:val="24"/>
          <w:szCs w:val="24"/>
        </w:rPr>
        <w:t>3</w:t>
      </w:r>
      <w:r w:rsidRPr="00B6039A">
        <w:rPr>
          <w:rFonts w:ascii="Calibri" w:hAnsi="Calibri" w:cs="Calibri"/>
          <w:b/>
          <w:sz w:val="24"/>
          <w:szCs w:val="24"/>
        </w:rPr>
        <w:t xml:space="preserve"> to 65)</w:t>
      </w:r>
    </w:p>
    <w:p w14:paraId="20E03BC3" w14:textId="5AA76ADD" w:rsidR="00F95676" w:rsidRPr="00B6039A" w:rsidRDefault="004E4C64" w:rsidP="008616FD">
      <w:pPr>
        <w:pStyle w:val="ListParagraph"/>
        <w:ind w:left="0" w:firstLine="0"/>
        <w:rPr>
          <w:rFonts w:ascii="Calibri" w:hAnsi="Calibri" w:cs="Calibri"/>
        </w:rPr>
      </w:pPr>
      <w:r w:rsidRPr="00B6039A">
        <w:rPr>
          <w:bCs/>
          <w:sz w:val="23"/>
          <w:szCs w:val="23"/>
        </w:rPr>
        <w:t xml:space="preserve">The definition of a relationship for the purposes of the welfare system needs to be changed: CPAG’s view is it should be similar to that of the Property (Relationships) Act; WEAG’s view is that a 6-month grace period is sufficient after a couple starts living together (rather than the current six weeks). In addition, if an individual earns a low income, this should not affect their partner’s welfare entitlements. This would align </w:t>
      </w:r>
      <w:r w:rsidR="004F5804" w:rsidRPr="00B6039A">
        <w:rPr>
          <w:bCs/>
          <w:sz w:val="23"/>
          <w:szCs w:val="23"/>
        </w:rPr>
        <w:t xml:space="preserve">eligibility for core benefits </w:t>
      </w:r>
      <w:r w:rsidRPr="00B6039A">
        <w:rPr>
          <w:bCs/>
          <w:sz w:val="23"/>
          <w:szCs w:val="23"/>
        </w:rPr>
        <w:t xml:space="preserve">with </w:t>
      </w:r>
      <w:r w:rsidR="004F5804" w:rsidRPr="00B6039A">
        <w:rPr>
          <w:bCs/>
          <w:sz w:val="23"/>
          <w:szCs w:val="23"/>
        </w:rPr>
        <w:t xml:space="preserve">eligibility for </w:t>
      </w:r>
      <w:r w:rsidR="0076484C" w:rsidRPr="00B6039A">
        <w:rPr>
          <w:rFonts w:ascii="Calibri" w:hAnsi="Calibri" w:cs="Calibri"/>
          <w:sz w:val="24"/>
          <w:szCs w:val="24"/>
        </w:rPr>
        <w:t xml:space="preserve">the </w:t>
      </w:r>
      <w:proofErr w:type="spellStart"/>
      <w:r w:rsidR="0076484C" w:rsidRPr="00B6039A">
        <w:rPr>
          <w:rFonts w:ascii="Calibri" w:hAnsi="Calibri" w:cs="Calibri"/>
          <w:sz w:val="24"/>
          <w:szCs w:val="24"/>
        </w:rPr>
        <w:t>Covid</w:t>
      </w:r>
      <w:proofErr w:type="spellEnd"/>
      <w:r w:rsidR="0076484C" w:rsidRPr="00B6039A">
        <w:rPr>
          <w:rFonts w:ascii="Calibri" w:hAnsi="Calibri" w:cs="Calibri"/>
          <w:sz w:val="24"/>
          <w:szCs w:val="24"/>
        </w:rPr>
        <w:t xml:space="preserve"> Income Relief Payment</w:t>
      </w:r>
      <w:r w:rsidR="004F5804" w:rsidRPr="00B6039A">
        <w:rPr>
          <w:rFonts w:ascii="Calibri" w:hAnsi="Calibri" w:cs="Calibri"/>
          <w:sz w:val="24"/>
          <w:szCs w:val="24"/>
        </w:rPr>
        <w:t xml:space="preserve">, which demonstrated </w:t>
      </w:r>
      <w:r w:rsidR="00D5553C" w:rsidRPr="00B6039A">
        <w:rPr>
          <w:rFonts w:ascii="Calibri" w:hAnsi="Calibri" w:cs="Calibri"/>
          <w:sz w:val="24"/>
          <w:szCs w:val="24"/>
        </w:rPr>
        <w:t>MSD’s</w:t>
      </w:r>
      <w:r w:rsidR="0076484C" w:rsidRPr="00B6039A">
        <w:rPr>
          <w:rFonts w:ascii="Calibri" w:hAnsi="Calibri" w:cs="Calibri"/>
          <w:sz w:val="24"/>
          <w:szCs w:val="24"/>
        </w:rPr>
        <w:t xml:space="preserve"> ability</w:t>
      </w:r>
      <w:r w:rsidR="00D5553C" w:rsidRPr="00B6039A">
        <w:rPr>
          <w:rFonts w:ascii="Calibri" w:hAnsi="Calibri" w:cs="Calibri"/>
          <w:sz w:val="24"/>
          <w:szCs w:val="24"/>
        </w:rPr>
        <w:t xml:space="preserve"> to administer benefits individually. </w:t>
      </w:r>
      <w:r w:rsidR="004F5804" w:rsidRPr="00B6039A">
        <w:rPr>
          <w:rFonts w:ascii="Calibri" w:hAnsi="Calibri" w:cs="Calibri"/>
          <w:sz w:val="24"/>
          <w:szCs w:val="24"/>
        </w:rPr>
        <w:t xml:space="preserve">This </w:t>
      </w:r>
      <w:r w:rsidR="00465DB1" w:rsidRPr="00B6039A">
        <w:rPr>
          <w:rFonts w:ascii="Calibri" w:hAnsi="Calibri" w:cs="Calibri"/>
          <w:sz w:val="24"/>
          <w:szCs w:val="24"/>
        </w:rPr>
        <w:t xml:space="preserve">individualisation </w:t>
      </w:r>
      <w:r w:rsidR="004F5804" w:rsidRPr="00B6039A">
        <w:rPr>
          <w:rFonts w:ascii="Calibri" w:hAnsi="Calibri" w:cs="Calibri"/>
          <w:sz w:val="24"/>
          <w:szCs w:val="24"/>
        </w:rPr>
        <w:t xml:space="preserve">would enable </w:t>
      </w:r>
      <w:r w:rsidR="00D5553C" w:rsidRPr="00B6039A">
        <w:rPr>
          <w:rFonts w:ascii="Calibri" w:hAnsi="Calibri" w:cs="Calibri"/>
          <w:sz w:val="24"/>
          <w:szCs w:val="24"/>
        </w:rPr>
        <w:t xml:space="preserve">parents </w:t>
      </w:r>
      <w:r w:rsidR="004F5804" w:rsidRPr="00B6039A">
        <w:rPr>
          <w:rFonts w:ascii="Calibri" w:hAnsi="Calibri" w:cs="Calibri"/>
          <w:sz w:val="24"/>
          <w:szCs w:val="24"/>
        </w:rPr>
        <w:t xml:space="preserve">to </w:t>
      </w:r>
      <w:r w:rsidR="00D5553C" w:rsidRPr="00B6039A">
        <w:rPr>
          <w:rFonts w:ascii="Calibri" w:hAnsi="Calibri" w:cs="Calibri"/>
          <w:sz w:val="24"/>
          <w:szCs w:val="24"/>
        </w:rPr>
        <w:t>make independent decisions about relationship formation without fear of retribution.</w:t>
      </w:r>
      <w:bookmarkStart w:id="15" w:name="_Toc57025848"/>
    </w:p>
    <w:p w14:paraId="2408FEB8" w14:textId="2C06EDDF" w:rsidR="002D2EA7" w:rsidRPr="00B6039A" w:rsidRDefault="00326E28" w:rsidP="00D5553C">
      <w:pPr>
        <w:pStyle w:val="Heading1"/>
        <w:ind w:left="0" w:firstLine="0"/>
        <w:rPr>
          <w:rFonts w:ascii="Calibri" w:hAnsi="Calibri" w:cs="Calibri"/>
        </w:rPr>
      </w:pPr>
      <w:r w:rsidRPr="00B6039A">
        <w:rPr>
          <w:rFonts w:ascii="Calibri" w:hAnsi="Calibri" w:cs="Calibri"/>
        </w:rPr>
        <w:t>Conclusion</w:t>
      </w:r>
      <w:bookmarkEnd w:id="15"/>
    </w:p>
    <w:p w14:paraId="344790E6" w14:textId="77777777" w:rsidR="00AC2E2D" w:rsidRPr="00B6039A" w:rsidRDefault="00AC2E2D" w:rsidP="005B0DC6">
      <w:pPr>
        <w:ind w:left="0" w:firstLine="0"/>
        <w:rPr>
          <w:rFonts w:ascii="Calibri" w:hAnsi="Calibri" w:cs="Calibri"/>
          <w:sz w:val="24"/>
          <w:szCs w:val="24"/>
        </w:rPr>
      </w:pPr>
    </w:p>
    <w:p w14:paraId="0BFC995D" w14:textId="72EA40B1" w:rsidR="004924CF" w:rsidRPr="00B6039A" w:rsidRDefault="00636F01" w:rsidP="004924CF">
      <w:pPr>
        <w:spacing w:after="120"/>
        <w:ind w:left="0" w:firstLine="0"/>
        <w:rPr>
          <w:rFonts w:ascii="Calibri" w:hAnsi="Calibri" w:cs="Calibri"/>
          <w:sz w:val="24"/>
          <w:szCs w:val="24"/>
        </w:rPr>
      </w:pPr>
      <w:r w:rsidRPr="00B6039A">
        <w:rPr>
          <w:rFonts w:ascii="Calibri" w:hAnsi="Calibri" w:cs="Calibri"/>
          <w:sz w:val="24"/>
          <w:szCs w:val="24"/>
        </w:rPr>
        <w:t>T</w:t>
      </w:r>
      <w:r w:rsidR="004D2883" w:rsidRPr="00B6039A">
        <w:rPr>
          <w:rFonts w:ascii="Calibri" w:hAnsi="Calibri" w:cs="Calibri"/>
          <w:sz w:val="24"/>
          <w:szCs w:val="24"/>
        </w:rPr>
        <w:t xml:space="preserve">he Coalition Government </w:t>
      </w:r>
      <w:r w:rsidR="005A3211" w:rsidRPr="00B6039A">
        <w:rPr>
          <w:rFonts w:ascii="Calibri" w:hAnsi="Calibri" w:cs="Calibri"/>
          <w:sz w:val="24"/>
          <w:szCs w:val="24"/>
        </w:rPr>
        <w:t xml:space="preserve">achieved little of its stated aim to overhaul </w:t>
      </w:r>
      <w:r w:rsidR="004D2883" w:rsidRPr="00B6039A">
        <w:rPr>
          <w:rFonts w:ascii="Calibri" w:hAnsi="Calibri" w:cs="Calibri"/>
          <w:sz w:val="24"/>
          <w:szCs w:val="24"/>
        </w:rPr>
        <w:t>the welfare system</w:t>
      </w:r>
      <w:r w:rsidR="00CE2477" w:rsidRPr="00B6039A">
        <w:rPr>
          <w:rFonts w:ascii="Calibri" w:hAnsi="Calibri" w:cs="Calibri"/>
          <w:sz w:val="24"/>
          <w:szCs w:val="24"/>
        </w:rPr>
        <w:t>.</w:t>
      </w:r>
      <w:r w:rsidR="004D2883" w:rsidRPr="00B6039A">
        <w:rPr>
          <w:rFonts w:ascii="Calibri" w:hAnsi="Calibri" w:cs="Calibri"/>
          <w:sz w:val="24"/>
          <w:szCs w:val="24"/>
        </w:rPr>
        <w:t xml:space="preserve"> </w:t>
      </w:r>
      <w:r w:rsidR="00CE2477" w:rsidRPr="00B6039A">
        <w:rPr>
          <w:rFonts w:ascii="Calibri" w:hAnsi="Calibri" w:cs="Calibri"/>
          <w:sz w:val="24"/>
          <w:szCs w:val="24"/>
        </w:rPr>
        <w:t>W</w:t>
      </w:r>
      <w:r w:rsidR="004D2883" w:rsidRPr="00B6039A">
        <w:rPr>
          <w:rFonts w:ascii="Calibri" w:hAnsi="Calibri" w:cs="Calibri"/>
          <w:sz w:val="24"/>
          <w:szCs w:val="24"/>
        </w:rPr>
        <w:t>e call on the newly elected 2020 Labour Government to</w:t>
      </w:r>
      <w:r w:rsidR="00CE2477" w:rsidRPr="00B6039A">
        <w:rPr>
          <w:rFonts w:ascii="Calibri" w:hAnsi="Calibri" w:cs="Calibri"/>
          <w:sz w:val="24"/>
          <w:szCs w:val="24"/>
        </w:rPr>
        <w:t xml:space="preserve"> concretely </w:t>
      </w:r>
      <w:r w:rsidR="004D2883" w:rsidRPr="00B6039A">
        <w:rPr>
          <w:rFonts w:ascii="Calibri" w:hAnsi="Calibri" w:cs="Calibri"/>
          <w:sz w:val="24"/>
          <w:szCs w:val="24"/>
        </w:rPr>
        <w:t xml:space="preserve">deliver on its </w:t>
      </w:r>
      <w:r w:rsidR="00CE2477" w:rsidRPr="00B6039A">
        <w:rPr>
          <w:rFonts w:ascii="Calibri" w:hAnsi="Calibri" w:cs="Calibri"/>
          <w:sz w:val="24"/>
          <w:szCs w:val="24"/>
        </w:rPr>
        <w:t xml:space="preserve">Election Manifesto </w:t>
      </w:r>
      <w:r w:rsidR="004924CF" w:rsidRPr="00B6039A">
        <w:rPr>
          <w:rFonts w:ascii="Calibri" w:hAnsi="Calibri" w:cs="Calibri"/>
          <w:sz w:val="24"/>
          <w:szCs w:val="24"/>
        </w:rPr>
        <w:t>statement that “</w:t>
      </w:r>
      <w:r w:rsidR="005A3211" w:rsidRPr="00B6039A">
        <w:rPr>
          <w:rFonts w:ascii="Calibri" w:hAnsi="Calibri" w:cs="Calibri"/>
          <w:sz w:val="24"/>
          <w:szCs w:val="24"/>
        </w:rPr>
        <w:t>Labour will continue overhauling our welfare system</w:t>
      </w:r>
      <w:r w:rsidR="004924CF" w:rsidRPr="00B6039A">
        <w:rPr>
          <w:rFonts w:ascii="Calibri" w:hAnsi="Calibri" w:cs="Calibri"/>
          <w:sz w:val="24"/>
          <w:szCs w:val="24"/>
        </w:rPr>
        <w:t xml:space="preserve">” with one </w:t>
      </w:r>
      <w:r w:rsidR="004924CF" w:rsidRPr="00B6039A">
        <w:rPr>
          <w:rFonts w:ascii="Calibri" w:hAnsi="Calibri" w:cs="Calibri"/>
          <w:sz w:val="24"/>
          <w:szCs w:val="24"/>
        </w:rPr>
        <w:lastRenderedPageBreak/>
        <w:t>of three priority goals being “</w:t>
      </w:r>
      <w:r w:rsidR="005A3211" w:rsidRPr="00B6039A">
        <w:rPr>
          <w:rFonts w:ascii="Calibri" w:hAnsi="Calibri" w:cs="Calibri"/>
          <w:sz w:val="24"/>
          <w:szCs w:val="24"/>
        </w:rPr>
        <w:t>income adequacy so families that depend on the benefit are not living in poverty</w:t>
      </w:r>
      <w:r w:rsidR="004924CF" w:rsidRPr="00B6039A">
        <w:rPr>
          <w:rFonts w:ascii="Calibri" w:hAnsi="Calibri" w:cs="Calibri"/>
          <w:sz w:val="24"/>
          <w:szCs w:val="24"/>
        </w:rPr>
        <w:t>”</w:t>
      </w:r>
      <w:r w:rsidR="00CE2477" w:rsidRPr="00B6039A">
        <w:rPr>
          <w:rFonts w:ascii="Calibri" w:hAnsi="Calibri" w:cs="Calibri"/>
          <w:sz w:val="24"/>
          <w:szCs w:val="24"/>
        </w:rPr>
        <w:t>.</w:t>
      </w:r>
      <w:r w:rsidR="00CE2477" w:rsidRPr="00B6039A">
        <w:rPr>
          <w:rStyle w:val="FootnoteReference"/>
          <w:rFonts w:ascii="Calibri" w:hAnsi="Calibri" w:cs="Calibri"/>
          <w:sz w:val="24"/>
          <w:szCs w:val="24"/>
        </w:rPr>
        <w:footnoteReference w:id="186"/>
      </w:r>
      <w:r w:rsidR="004D2883" w:rsidRPr="00B6039A">
        <w:rPr>
          <w:rFonts w:ascii="Calibri" w:hAnsi="Calibri" w:cs="Calibri"/>
          <w:sz w:val="24"/>
          <w:szCs w:val="24"/>
        </w:rPr>
        <w:t xml:space="preserve"> </w:t>
      </w:r>
    </w:p>
    <w:p w14:paraId="388EA6A4" w14:textId="2A4D3E32" w:rsidR="00AC2E2D" w:rsidRPr="00B6039A" w:rsidRDefault="004D2883" w:rsidP="00756D5B">
      <w:pPr>
        <w:spacing w:after="120"/>
        <w:ind w:left="0" w:firstLine="0"/>
        <w:rPr>
          <w:rFonts w:ascii="Calibri" w:hAnsi="Calibri" w:cs="Calibri"/>
          <w:sz w:val="24"/>
          <w:szCs w:val="24"/>
        </w:rPr>
      </w:pPr>
      <w:r w:rsidRPr="00B6039A">
        <w:rPr>
          <w:rFonts w:ascii="Calibri" w:hAnsi="Calibri" w:cs="Calibri"/>
          <w:sz w:val="24"/>
          <w:szCs w:val="24"/>
        </w:rPr>
        <w:t xml:space="preserve">This report has laid out progress to date in implementing the WEAG’s recommendations following the release of </w:t>
      </w:r>
      <w:proofErr w:type="spellStart"/>
      <w:r w:rsidRPr="00B6039A">
        <w:rPr>
          <w:rFonts w:ascii="Calibri" w:hAnsi="Calibri" w:cs="Calibri"/>
          <w:i/>
          <w:sz w:val="24"/>
          <w:szCs w:val="24"/>
        </w:rPr>
        <w:t>Whakamana</w:t>
      </w:r>
      <w:proofErr w:type="spellEnd"/>
      <w:r w:rsidRPr="00B6039A">
        <w:rPr>
          <w:rFonts w:ascii="Calibri" w:hAnsi="Calibri" w:cs="Calibri"/>
          <w:i/>
          <w:sz w:val="24"/>
          <w:szCs w:val="24"/>
        </w:rPr>
        <w:t xml:space="preserve"> </w:t>
      </w:r>
      <w:proofErr w:type="spellStart"/>
      <w:r w:rsidRPr="00B6039A">
        <w:rPr>
          <w:rFonts w:ascii="Calibri" w:hAnsi="Calibri" w:cs="Calibri"/>
          <w:i/>
          <w:sz w:val="24"/>
          <w:szCs w:val="24"/>
        </w:rPr>
        <w:t>Tāngata</w:t>
      </w:r>
      <w:proofErr w:type="spellEnd"/>
      <w:r w:rsidRPr="00B6039A">
        <w:rPr>
          <w:rFonts w:ascii="Calibri" w:hAnsi="Calibri" w:cs="Calibri"/>
          <w:sz w:val="24"/>
          <w:szCs w:val="24"/>
        </w:rPr>
        <w:t xml:space="preserve">. While the Prime Minister claimed </w:t>
      </w:r>
      <w:r w:rsidR="00430A9F" w:rsidRPr="00B6039A">
        <w:rPr>
          <w:rFonts w:ascii="Calibri" w:hAnsi="Calibri" w:cs="Calibri"/>
          <w:sz w:val="24"/>
          <w:szCs w:val="24"/>
        </w:rPr>
        <w:t xml:space="preserve">in the lead up to the 2020 election </w:t>
      </w:r>
      <w:r w:rsidRPr="00B6039A">
        <w:rPr>
          <w:rFonts w:ascii="Calibri" w:hAnsi="Calibri" w:cs="Calibri"/>
          <w:sz w:val="24"/>
          <w:szCs w:val="24"/>
        </w:rPr>
        <w:t xml:space="preserve">to have implemented 22 </w:t>
      </w:r>
      <w:r w:rsidR="004924CF" w:rsidRPr="00B6039A">
        <w:rPr>
          <w:rFonts w:ascii="Calibri" w:hAnsi="Calibri" w:cs="Calibri"/>
          <w:sz w:val="24"/>
          <w:szCs w:val="24"/>
        </w:rPr>
        <w:t>r</w:t>
      </w:r>
      <w:r w:rsidRPr="00B6039A">
        <w:rPr>
          <w:rFonts w:ascii="Calibri" w:hAnsi="Calibri" w:cs="Calibri"/>
          <w:sz w:val="24"/>
          <w:szCs w:val="24"/>
        </w:rPr>
        <w:t xml:space="preserve">ecommendations, our audit suggests that </w:t>
      </w:r>
      <w:r w:rsidR="008363FD" w:rsidRPr="00B6039A">
        <w:rPr>
          <w:rFonts w:ascii="Calibri" w:hAnsi="Calibri" w:cs="Calibri"/>
          <w:sz w:val="24"/>
          <w:szCs w:val="24"/>
        </w:rPr>
        <w:t>none of the</w:t>
      </w:r>
      <w:r w:rsidRPr="00B6039A">
        <w:rPr>
          <w:rFonts w:ascii="Calibri" w:hAnsi="Calibri" w:cs="Calibri"/>
          <w:sz w:val="24"/>
          <w:szCs w:val="24"/>
        </w:rPr>
        <w:t xml:space="preserve"> 42 </w:t>
      </w:r>
      <w:r w:rsidR="004924CF" w:rsidRPr="00B6039A">
        <w:rPr>
          <w:rFonts w:ascii="Calibri" w:hAnsi="Calibri" w:cs="Calibri"/>
          <w:sz w:val="24"/>
          <w:szCs w:val="24"/>
        </w:rPr>
        <w:t>k</w:t>
      </w:r>
      <w:r w:rsidRPr="00B6039A">
        <w:rPr>
          <w:rFonts w:ascii="Calibri" w:hAnsi="Calibri" w:cs="Calibri"/>
          <w:sz w:val="24"/>
          <w:szCs w:val="24"/>
        </w:rPr>
        <w:t xml:space="preserve">ey </w:t>
      </w:r>
      <w:r w:rsidR="00756D5B" w:rsidRPr="00B6039A">
        <w:rPr>
          <w:rFonts w:ascii="Calibri" w:hAnsi="Calibri" w:cs="Calibri"/>
          <w:sz w:val="24"/>
          <w:szCs w:val="24"/>
        </w:rPr>
        <w:t>r</w:t>
      </w:r>
      <w:r w:rsidRPr="00B6039A">
        <w:rPr>
          <w:rFonts w:ascii="Calibri" w:hAnsi="Calibri" w:cs="Calibri"/>
          <w:sz w:val="24"/>
          <w:szCs w:val="24"/>
        </w:rPr>
        <w:t xml:space="preserve">ecommendations have been fully implemented, </w:t>
      </w:r>
      <w:r w:rsidR="00756D5B" w:rsidRPr="00B6039A">
        <w:rPr>
          <w:rFonts w:ascii="Calibri" w:hAnsi="Calibri" w:cs="Calibri"/>
          <w:sz w:val="24"/>
          <w:szCs w:val="24"/>
        </w:rPr>
        <w:t xml:space="preserve">with only </w:t>
      </w:r>
      <w:r w:rsidRPr="00B6039A">
        <w:rPr>
          <w:rFonts w:ascii="Calibri" w:hAnsi="Calibri" w:cs="Calibri"/>
          <w:sz w:val="24"/>
          <w:szCs w:val="24"/>
        </w:rPr>
        <w:t>1</w:t>
      </w:r>
      <w:r w:rsidR="008363FD" w:rsidRPr="00B6039A">
        <w:rPr>
          <w:rFonts w:ascii="Calibri" w:hAnsi="Calibri" w:cs="Calibri"/>
          <w:sz w:val="24"/>
          <w:szCs w:val="24"/>
        </w:rPr>
        <w:t>9</w:t>
      </w:r>
      <w:r w:rsidRPr="00B6039A">
        <w:rPr>
          <w:rFonts w:ascii="Calibri" w:hAnsi="Calibri" w:cs="Calibri"/>
          <w:sz w:val="24"/>
          <w:szCs w:val="24"/>
        </w:rPr>
        <w:t xml:space="preserve"> </w:t>
      </w:r>
      <w:r w:rsidR="00756D5B" w:rsidRPr="00B6039A">
        <w:rPr>
          <w:rFonts w:ascii="Calibri" w:hAnsi="Calibri" w:cs="Calibri"/>
          <w:sz w:val="24"/>
          <w:szCs w:val="24"/>
        </w:rPr>
        <w:t xml:space="preserve">having been </w:t>
      </w:r>
      <w:r w:rsidRPr="00B6039A">
        <w:rPr>
          <w:rFonts w:ascii="Calibri" w:hAnsi="Calibri" w:cs="Calibri"/>
          <w:sz w:val="24"/>
          <w:szCs w:val="24"/>
        </w:rPr>
        <w:t xml:space="preserve">partially or minimally implemented. Of the 126 </w:t>
      </w:r>
      <w:r w:rsidR="00756D5B" w:rsidRPr="00B6039A">
        <w:rPr>
          <w:rFonts w:ascii="Calibri" w:hAnsi="Calibri" w:cs="Calibri"/>
          <w:sz w:val="24"/>
          <w:szCs w:val="24"/>
        </w:rPr>
        <w:t>d</w:t>
      </w:r>
      <w:r w:rsidR="008363FD" w:rsidRPr="00B6039A">
        <w:rPr>
          <w:rFonts w:ascii="Calibri" w:hAnsi="Calibri" w:cs="Calibri"/>
          <w:sz w:val="24"/>
          <w:szCs w:val="24"/>
        </w:rPr>
        <w:t xml:space="preserve">etailed </w:t>
      </w:r>
      <w:r w:rsidR="00756D5B" w:rsidRPr="00B6039A">
        <w:rPr>
          <w:rFonts w:ascii="Calibri" w:hAnsi="Calibri" w:cs="Calibri"/>
          <w:sz w:val="24"/>
          <w:szCs w:val="24"/>
        </w:rPr>
        <w:t>r</w:t>
      </w:r>
      <w:r w:rsidR="008363FD" w:rsidRPr="00B6039A">
        <w:rPr>
          <w:rFonts w:ascii="Calibri" w:hAnsi="Calibri" w:cs="Calibri"/>
          <w:sz w:val="24"/>
          <w:szCs w:val="24"/>
        </w:rPr>
        <w:t>ecommendations, only four</w:t>
      </w:r>
      <w:r w:rsidRPr="00B6039A">
        <w:rPr>
          <w:rFonts w:ascii="Calibri" w:hAnsi="Calibri" w:cs="Calibri"/>
          <w:sz w:val="24"/>
          <w:szCs w:val="24"/>
        </w:rPr>
        <w:t xml:space="preserve"> have been fully implemented. Su</w:t>
      </w:r>
      <w:r w:rsidR="00430A9F" w:rsidRPr="00B6039A">
        <w:rPr>
          <w:rFonts w:ascii="Calibri" w:hAnsi="Calibri" w:cs="Calibri"/>
          <w:sz w:val="24"/>
          <w:szCs w:val="24"/>
        </w:rPr>
        <w:t>ch progress does not reflect welfare</w:t>
      </w:r>
      <w:r w:rsidRPr="00B6039A">
        <w:rPr>
          <w:rFonts w:ascii="Calibri" w:hAnsi="Calibri" w:cs="Calibri"/>
          <w:sz w:val="24"/>
          <w:szCs w:val="24"/>
        </w:rPr>
        <w:t xml:space="preserve"> overhaul, but rather a </w:t>
      </w:r>
      <w:r w:rsidR="00465DB1" w:rsidRPr="00B6039A">
        <w:rPr>
          <w:rFonts w:ascii="Calibri" w:hAnsi="Calibri" w:cs="Calibri"/>
          <w:sz w:val="24"/>
          <w:szCs w:val="24"/>
        </w:rPr>
        <w:t>small number</w:t>
      </w:r>
      <w:r w:rsidRPr="00B6039A">
        <w:rPr>
          <w:rFonts w:ascii="Calibri" w:hAnsi="Calibri" w:cs="Calibri"/>
          <w:sz w:val="24"/>
          <w:szCs w:val="24"/>
        </w:rPr>
        <w:t xml:space="preserve"> of incremental </w:t>
      </w:r>
      <w:r w:rsidR="00A33402" w:rsidRPr="00B6039A">
        <w:rPr>
          <w:rFonts w:ascii="Calibri" w:hAnsi="Calibri" w:cs="Calibri"/>
          <w:sz w:val="24"/>
          <w:szCs w:val="24"/>
        </w:rPr>
        <w:t xml:space="preserve">changes </w:t>
      </w:r>
      <w:r w:rsidRPr="00B6039A">
        <w:rPr>
          <w:rFonts w:ascii="Calibri" w:hAnsi="Calibri" w:cs="Calibri"/>
          <w:sz w:val="24"/>
          <w:szCs w:val="24"/>
        </w:rPr>
        <w:t>that</w:t>
      </w:r>
      <w:r w:rsidR="00756D5B" w:rsidRPr="00B6039A">
        <w:rPr>
          <w:rFonts w:ascii="Calibri" w:hAnsi="Calibri" w:cs="Calibri"/>
          <w:sz w:val="24"/>
          <w:szCs w:val="24"/>
        </w:rPr>
        <w:t>,</w:t>
      </w:r>
      <w:r w:rsidRPr="00B6039A">
        <w:rPr>
          <w:rFonts w:ascii="Calibri" w:hAnsi="Calibri" w:cs="Calibri"/>
          <w:sz w:val="24"/>
          <w:szCs w:val="24"/>
        </w:rPr>
        <w:t xml:space="preserve"> </w:t>
      </w:r>
      <w:r w:rsidR="00756D5B" w:rsidRPr="00B6039A">
        <w:rPr>
          <w:rFonts w:ascii="Calibri" w:hAnsi="Calibri" w:cs="Calibri"/>
          <w:sz w:val="24"/>
          <w:szCs w:val="24"/>
        </w:rPr>
        <w:t xml:space="preserve">on their own, are not an appropriate response to </w:t>
      </w:r>
      <w:r w:rsidRPr="00B6039A">
        <w:rPr>
          <w:rFonts w:ascii="Calibri" w:hAnsi="Calibri" w:cs="Calibri"/>
          <w:sz w:val="24"/>
          <w:szCs w:val="24"/>
        </w:rPr>
        <w:t xml:space="preserve">the severity and urgency of need </w:t>
      </w:r>
      <w:r w:rsidR="00756D5B" w:rsidRPr="00B6039A">
        <w:rPr>
          <w:rFonts w:ascii="Calibri" w:hAnsi="Calibri" w:cs="Calibri"/>
          <w:sz w:val="24"/>
          <w:szCs w:val="24"/>
        </w:rPr>
        <w:t xml:space="preserve">of </w:t>
      </w:r>
      <w:r w:rsidRPr="00B6039A">
        <w:rPr>
          <w:rFonts w:ascii="Calibri" w:hAnsi="Calibri" w:cs="Calibri"/>
          <w:sz w:val="24"/>
          <w:szCs w:val="24"/>
        </w:rPr>
        <w:t>many New Zealanders</w:t>
      </w:r>
      <w:r w:rsidR="00A33402" w:rsidRPr="00B6039A">
        <w:rPr>
          <w:rFonts w:ascii="Calibri" w:hAnsi="Calibri" w:cs="Calibri"/>
          <w:sz w:val="24"/>
          <w:szCs w:val="24"/>
        </w:rPr>
        <w:t>, and especially children</w:t>
      </w:r>
      <w:r w:rsidRPr="00B6039A">
        <w:rPr>
          <w:rFonts w:ascii="Calibri" w:hAnsi="Calibri" w:cs="Calibri"/>
          <w:sz w:val="24"/>
          <w:szCs w:val="24"/>
        </w:rPr>
        <w:t xml:space="preserve">. </w:t>
      </w:r>
    </w:p>
    <w:p w14:paraId="33F20435" w14:textId="3A28F846" w:rsidR="000233C1" w:rsidRPr="00B6039A" w:rsidRDefault="007F34BE" w:rsidP="00326E28">
      <w:pPr>
        <w:ind w:left="0" w:firstLine="0"/>
        <w:rPr>
          <w:rFonts w:ascii="Calibri" w:hAnsi="Calibri" w:cs="Calibri"/>
          <w:sz w:val="24"/>
          <w:szCs w:val="24"/>
        </w:rPr>
      </w:pPr>
      <w:r w:rsidRPr="00B6039A">
        <w:rPr>
          <w:sz w:val="24"/>
          <w:szCs w:val="24"/>
        </w:rPr>
        <w:t xml:space="preserve">Children cannot wait for more resources, as their minds, emotions, bodies are constantly developing and are often permanently adversely affected by </w:t>
      </w:r>
      <w:r w:rsidR="00AC2312" w:rsidRPr="00B6039A">
        <w:rPr>
          <w:sz w:val="24"/>
          <w:szCs w:val="24"/>
        </w:rPr>
        <w:t xml:space="preserve">toxic stress and </w:t>
      </w:r>
      <w:r w:rsidRPr="00B6039A">
        <w:rPr>
          <w:sz w:val="24"/>
          <w:szCs w:val="24"/>
        </w:rPr>
        <w:t xml:space="preserve">lack of essentials. </w:t>
      </w:r>
      <w:r w:rsidR="005B1A43" w:rsidRPr="00B6039A">
        <w:rPr>
          <w:rFonts w:ascii="Calibri" w:hAnsi="Calibri" w:cs="Calibri"/>
          <w:sz w:val="24"/>
          <w:szCs w:val="24"/>
        </w:rPr>
        <w:t>O</w:t>
      </w:r>
      <w:r w:rsidR="00752411" w:rsidRPr="00B6039A">
        <w:rPr>
          <w:rFonts w:ascii="Calibri" w:hAnsi="Calibri" w:cs="Calibri"/>
          <w:sz w:val="24"/>
          <w:szCs w:val="24"/>
        </w:rPr>
        <w:t>ur inadequate and ineffective welfare system continues to entrench poverty</w:t>
      </w:r>
      <w:r w:rsidR="00AC2312" w:rsidRPr="00B6039A">
        <w:rPr>
          <w:rFonts w:ascii="Calibri" w:hAnsi="Calibri" w:cs="Calibri"/>
          <w:sz w:val="24"/>
          <w:szCs w:val="24"/>
        </w:rPr>
        <w:t xml:space="preserve"> for children</w:t>
      </w:r>
      <w:r w:rsidR="004A09F7" w:rsidRPr="00B6039A">
        <w:rPr>
          <w:rFonts w:ascii="Calibri" w:hAnsi="Calibri" w:cs="Calibri"/>
          <w:sz w:val="24"/>
          <w:szCs w:val="24"/>
        </w:rPr>
        <w:t>. The stress for these children and families not only has</w:t>
      </w:r>
      <w:r w:rsidR="004D2883" w:rsidRPr="00B6039A">
        <w:rPr>
          <w:rFonts w:ascii="Calibri" w:hAnsi="Calibri" w:cs="Calibri"/>
          <w:sz w:val="24"/>
          <w:szCs w:val="24"/>
        </w:rPr>
        <w:t xml:space="preserve"> immediate</w:t>
      </w:r>
      <w:r w:rsidR="004A09F7" w:rsidRPr="00B6039A">
        <w:rPr>
          <w:rFonts w:ascii="Calibri" w:hAnsi="Calibri" w:cs="Calibri"/>
          <w:sz w:val="24"/>
          <w:szCs w:val="24"/>
        </w:rPr>
        <w:t xml:space="preserve"> adverse</w:t>
      </w:r>
      <w:r w:rsidR="004D2883" w:rsidRPr="00B6039A">
        <w:rPr>
          <w:rFonts w:ascii="Calibri" w:hAnsi="Calibri" w:cs="Calibri"/>
          <w:sz w:val="24"/>
          <w:szCs w:val="24"/>
        </w:rPr>
        <w:t xml:space="preserve"> impacts for the</w:t>
      </w:r>
      <w:r w:rsidR="004A09F7" w:rsidRPr="00B6039A">
        <w:rPr>
          <w:rFonts w:ascii="Calibri" w:hAnsi="Calibri" w:cs="Calibri"/>
          <w:sz w:val="24"/>
          <w:szCs w:val="24"/>
        </w:rPr>
        <w:t>ir</w:t>
      </w:r>
      <w:r w:rsidR="00430A9F" w:rsidRPr="00B6039A">
        <w:rPr>
          <w:rFonts w:ascii="Calibri" w:hAnsi="Calibri" w:cs="Calibri"/>
          <w:sz w:val="24"/>
          <w:szCs w:val="24"/>
        </w:rPr>
        <w:t xml:space="preserve"> wellbeing, </w:t>
      </w:r>
      <w:r w:rsidR="004A09F7" w:rsidRPr="00B6039A">
        <w:rPr>
          <w:rFonts w:ascii="Calibri" w:hAnsi="Calibri" w:cs="Calibri"/>
          <w:sz w:val="24"/>
          <w:szCs w:val="24"/>
        </w:rPr>
        <w:t xml:space="preserve">but has lasting effects on their lives and </w:t>
      </w:r>
      <w:r w:rsidR="00430A9F" w:rsidRPr="00B6039A">
        <w:rPr>
          <w:rFonts w:ascii="Calibri" w:hAnsi="Calibri" w:cs="Calibri"/>
          <w:sz w:val="24"/>
          <w:szCs w:val="24"/>
        </w:rPr>
        <w:t>s</w:t>
      </w:r>
      <w:r w:rsidR="004A09F7" w:rsidRPr="00B6039A">
        <w:rPr>
          <w:rFonts w:ascii="Calibri" w:hAnsi="Calibri" w:cs="Calibri"/>
          <w:sz w:val="24"/>
          <w:szCs w:val="24"/>
        </w:rPr>
        <w:t xml:space="preserve">ociety; </w:t>
      </w:r>
      <w:r w:rsidR="00752411" w:rsidRPr="00B6039A">
        <w:rPr>
          <w:rFonts w:ascii="Calibri" w:hAnsi="Calibri" w:cs="Calibri"/>
          <w:sz w:val="24"/>
          <w:szCs w:val="24"/>
        </w:rPr>
        <w:t>downstream costs in areas of</w:t>
      </w:r>
      <w:r w:rsidR="004D2883" w:rsidRPr="00B6039A">
        <w:rPr>
          <w:rFonts w:ascii="Calibri" w:hAnsi="Calibri" w:cs="Calibri"/>
          <w:sz w:val="24"/>
          <w:szCs w:val="24"/>
        </w:rPr>
        <w:t xml:space="preserve"> health, education and justice</w:t>
      </w:r>
      <w:r w:rsidR="004A09F7" w:rsidRPr="00B6039A">
        <w:rPr>
          <w:rFonts w:ascii="Calibri" w:hAnsi="Calibri" w:cs="Calibri"/>
          <w:sz w:val="24"/>
          <w:szCs w:val="24"/>
        </w:rPr>
        <w:t xml:space="preserve"> alone are huge</w:t>
      </w:r>
      <w:r w:rsidR="004D2883" w:rsidRPr="00B6039A">
        <w:rPr>
          <w:rFonts w:ascii="Calibri" w:hAnsi="Calibri" w:cs="Calibri"/>
          <w:sz w:val="24"/>
          <w:szCs w:val="24"/>
        </w:rPr>
        <w:t>.</w:t>
      </w:r>
      <w:r w:rsidR="004D2883" w:rsidRPr="00B6039A">
        <w:rPr>
          <w:rStyle w:val="FootnoteReference"/>
          <w:rFonts w:ascii="Calibri" w:hAnsi="Calibri" w:cs="Calibri"/>
          <w:sz w:val="24"/>
          <w:szCs w:val="24"/>
        </w:rPr>
        <w:footnoteReference w:id="187"/>
      </w:r>
      <w:r w:rsidR="00326E28" w:rsidRPr="00B6039A">
        <w:rPr>
          <w:rFonts w:ascii="Calibri" w:hAnsi="Calibri" w:cs="Calibri"/>
          <w:sz w:val="24"/>
          <w:szCs w:val="24"/>
        </w:rPr>
        <w:t xml:space="preserve"> The intention of a welfare overhaul was to ensure that </w:t>
      </w:r>
      <w:r w:rsidR="006A458D" w:rsidRPr="00B6039A">
        <w:rPr>
          <w:rFonts w:ascii="Calibri" w:hAnsi="Calibri" w:cs="Calibri"/>
          <w:sz w:val="24"/>
          <w:szCs w:val="24"/>
        </w:rPr>
        <w:t>everyone has a standard of living and income that is conducive to their participation in society, and enables them to live with dignity</w:t>
      </w:r>
      <w:r w:rsidR="00326E28" w:rsidRPr="00B6039A">
        <w:rPr>
          <w:rFonts w:ascii="Calibri" w:hAnsi="Calibri" w:cs="Calibri"/>
          <w:sz w:val="24"/>
          <w:szCs w:val="24"/>
        </w:rPr>
        <w:t>;</w:t>
      </w:r>
      <w:r w:rsidR="006A458D" w:rsidRPr="00B6039A">
        <w:rPr>
          <w:rStyle w:val="FootnoteReference"/>
          <w:rFonts w:ascii="Calibri" w:hAnsi="Calibri" w:cs="Calibri"/>
          <w:sz w:val="24"/>
          <w:szCs w:val="24"/>
        </w:rPr>
        <w:footnoteReference w:id="188"/>
      </w:r>
      <w:r w:rsidR="006A458D" w:rsidRPr="00B6039A">
        <w:rPr>
          <w:rFonts w:ascii="Calibri" w:hAnsi="Calibri" w:cs="Calibri"/>
          <w:sz w:val="24"/>
          <w:szCs w:val="24"/>
        </w:rPr>
        <w:t xml:space="preserve"> </w:t>
      </w:r>
      <w:r w:rsidR="00326E28" w:rsidRPr="00B6039A">
        <w:rPr>
          <w:rFonts w:ascii="Calibri" w:hAnsi="Calibri" w:cs="Calibri"/>
          <w:sz w:val="24"/>
          <w:szCs w:val="24"/>
        </w:rPr>
        <w:t xml:space="preserve">a baseline that all New Zealand children deserve. </w:t>
      </w:r>
    </w:p>
    <w:p w14:paraId="50C966E0" w14:textId="597C8A39" w:rsidR="00C93BB9" w:rsidRPr="00B6039A" w:rsidRDefault="00C93BB9" w:rsidP="00326E28">
      <w:pPr>
        <w:ind w:left="0" w:firstLine="0"/>
        <w:rPr>
          <w:rFonts w:ascii="Calibri" w:hAnsi="Calibri" w:cs="Calibri"/>
          <w:sz w:val="24"/>
          <w:szCs w:val="24"/>
        </w:rPr>
      </w:pPr>
    </w:p>
    <w:p w14:paraId="346F5CFF" w14:textId="77777777" w:rsidR="00326E28" w:rsidRPr="00B6039A" w:rsidRDefault="00326E28" w:rsidP="00326E28">
      <w:pPr>
        <w:ind w:left="0" w:firstLine="0"/>
        <w:rPr>
          <w:rFonts w:ascii="Calibri" w:hAnsi="Calibri" w:cs="Calibri"/>
          <w:sz w:val="24"/>
          <w:szCs w:val="24"/>
        </w:rPr>
      </w:pPr>
    </w:p>
    <w:p w14:paraId="5ED61237" w14:textId="2727156A" w:rsidR="00756D5B" w:rsidRPr="00B6039A" w:rsidRDefault="00756D5B">
      <w:pPr>
        <w:rPr>
          <w:rFonts w:ascii="Calibri" w:hAnsi="Calibri" w:cs="Calibri"/>
          <w:sz w:val="24"/>
          <w:szCs w:val="24"/>
        </w:rPr>
      </w:pPr>
      <w:r w:rsidRPr="00B6039A">
        <w:rPr>
          <w:rFonts w:ascii="Calibri" w:hAnsi="Calibri" w:cs="Calibri"/>
          <w:sz w:val="24"/>
          <w:szCs w:val="24"/>
        </w:rPr>
        <w:br w:type="page"/>
      </w:r>
    </w:p>
    <w:p w14:paraId="645F2B6A" w14:textId="77777777" w:rsidR="00302D18" w:rsidRPr="00B6039A" w:rsidRDefault="00302D18" w:rsidP="00302D18">
      <w:pPr>
        <w:pStyle w:val="Heading1"/>
      </w:pPr>
      <w:bookmarkStart w:id="16" w:name="_Toc57025849"/>
      <w:r w:rsidRPr="00B6039A">
        <w:lastRenderedPageBreak/>
        <w:t>Reference list</w:t>
      </w:r>
      <w:bookmarkEnd w:id="16"/>
      <w:r w:rsidRPr="00B6039A">
        <w:t xml:space="preserve"> </w:t>
      </w:r>
    </w:p>
    <w:p w14:paraId="32116F47" w14:textId="04AA3ED5" w:rsidR="00302D18" w:rsidRPr="00B6039A" w:rsidRDefault="00302D18" w:rsidP="00302D18">
      <w:pPr>
        <w:rPr>
          <w:highlight w:val="yellow"/>
        </w:rPr>
      </w:pPr>
      <w:r w:rsidRPr="00B6039A">
        <w:t xml:space="preserve">1News (2019). Training scheme Mana in Mahi gets $49.9 million boost. </w:t>
      </w:r>
      <w:r w:rsidR="00756D5B" w:rsidRPr="00B6039A">
        <w:t xml:space="preserve">TVNZ 13 Aug 2020. </w:t>
      </w:r>
      <w:r w:rsidRPr="00B6039A">
        <w:t xml:space="preserve">Retrieved from </w:t>
      </w:r>
      <w:hyperlink r:id="rId16" w:history="1">
        <w:r w:rsidRPr="00B6039A">
          <w:rPr>
            <w:rStyle w:val="Hyperlink"/>
          </w:rPr>
          <w:t>https://www.tvnz.co.nz/one-news/new-zealand/training-scheme-mana-in-mahi-gets-49-9-million-boost</w:t>
        </w:r>
      </w:hyperlink>
    </w:p>
    <w:p w14:paraId="6F7701AB" w14:textId="5D015387" w:rsidR="00302D18" w:rsidRPr="00B6039A" w:rsidRDefault="00302D18" w:rsidP="00302D18">
      <w:pPr>
        <w:rPr>
          <w:rStyle w:val="Hyperlink"/>
        </w:rPr>
      </w:pPr>
      <w:r w:rsidRPr="00B6039A">
        <w:t xml:space="preserve">Ardern, J. (2017). Speech from the Throne. </w:t>
      </w:r>
      <w:r w:rsidRPr="00B6039A">
        <w:rPr>
          <w:i/>
        </w:rPr>
        <w:t xml:space="preserve">New Zealand Government. </w:t>
      </w:r>
      <w:r w:rsidRPr="00B6039A">
        <w:t xml:space="preserve">Retrieved from </w:t>
      </w:r>
      <w:hyperlink r:id="rId17" w:history="1">
        <w:r w:rsidRPr="00B6039A">
          <w:rPr>
            <w:rStyle w:val="Hyperlink"/>
          </w:rPr>
          <w:t>https://www.beehive.govt.nz/speech/speech-throne-2017</w:t>
        </w:r>
      </w:hyperlink>
    </w:p>
    <w:p w14:paraId="4F0079A9" w14:textId="06C0CBFF" w:rsidR="00302D18" w:rsidRPr="00B6039A" w:rsidRDefault="00302D18" w:rsidP="00302D18">
      <w:r w:rsidRPr="00B6039A">
        <w:t>Beehive.govt.nz. (2020</w:t>
      </w:r>
      <w:r w:rsidR="00756D5B" w:rsidRPr="00B6039A">
        <w:t>a</w:t>
      </w:r>
      <w:r w:rsidRPr="00B6039A">
        <w:t xml:space="preserve">). Income support factsheet. Retrieved from </w:t>
      </w:r>
      <w:hyperlink r:id="rId18" w:history="1">
        <w:r w:rsidRPr="00B6039A">
          <w:rPr>
            <w:rStyle w:val="Hyperlink"/>
          </w:rPr>
          <w:t>https://www.beehive.govt.nz/sites/default/files/2020-03/Income%20support%20factsheet.pdf</w:t>
        </w:r>
      </w:hyperlink>
    </w:p>
    <w:p w14:paraId="5A27BD97" w14:textId="77777777" w:rsidR="00756D5B" w:rsidRPr="00B6039A" w:rsidRDefault="00756D5B" w:rsidP="00756D5B">
      <w:pPr>
        <w:rPr>
          <w:rStyle w:val="Hyperlink"/>
        </w:rPr>
      </w:pPr>
      <w:r w:rsidRPr="00B6039A">
        <w:t xml:space="preserve">Beehive.govt.nz. (2020b). COVID-19 Income Relief Payment – Q&amp;A. Retrieved from </w:t>
      </w:r>
      <w:hyperlink r:id="rId19" w:history="1">
        <w:r w:rsidRPr="00B6039A">
          <w:rPr>
            <w:rStyle w:val="Hyperlink"/>
          </w:rPr>
          <w:t>https://www.beehive.govt.nz/sites/default/files/2020-05/COVID-19%20Income%20Relief%20Payment%20Q%20and%20A%20FINAL.pdf</w:t>
        </w:r>
      </w:hyperlink>
    </w:p>
    <w:p w14:paraId="60482741" w14:textId="415F3E0F" w:rsidR="00302D18" w:rsidRPr="00B6039A" w:rsidRDefault="00302D18" w:rsidP="00302D18">
      <w:r w:rsidRPr="00B6039A">
        <w:t xml:space="preserve">Castles, F. G. (1996). Needs-based strategies of social protection in Australia and New Zealand. </w:t>
      </w:r>
      <w:r w:rsidRPr="00B6039A">
        <w:rPr>
          <w:i/>
        </w:rPr>
        <w:t>Welfare states in transition</w:t>
      </w:r>
      <w:r w:rsidRPr="00B6039A">
        <w:t>: National adaptations in global economies, 88-115.</w:t>
      </w:r>
    </w:p>
    <w:p w14:paraId="3C8D4566" w14:textId="7DDC9ADD" w:rsidR="007D31D4" w:rsidRPr="00B6039A" w:rsidRDefault="007D31D4" w:rsidP="00302D18">
      <w:pPr>
        <w:rPr>
          <w:rStyle w:val="Hyperlink"/>
          <w:color w:val="auto"/>
          <w:u w:val="none"/>
        </w:rPr>
      </w:pPr>
      <w:r w:rsidRPr="00B6039A">
        <w:rPr>
          <w:rStyle w:val="Hyperlink"/>
          <w:color w:val="auto"/>
          <w:u w:val="none"/>
        </w:rPr>
        <w:t xml:space="preserve">Child Poverty Action Group (2019). The Experts Can All Agree. Retrieved from </w:t>
      </w:r>
      <w:hyperlink r:id="rId20" w:history="1">
        <w:r w:rsidRPr="00B6039A">
          <w:rPr>
            <w:rStyle w:val="Hyperlink"/>
          </w:rPr>
          <w:t>https://www.cpag.org.nz/assets/EMBARGOED%20MONDAY%2023%20SEPT%20-%20cpag%20MEDIA%20BRIEFING.pdf</w:t>
        </w:r>
      </w:hyperlink>
      <w:r w:rsidRPr="00B6039A">
        <w:rPr>
          <w:rStyle w:val="Hyperlink"/>
          <w:color w:val="auto"/>
          <w:u w:val="none"/>
        </w:rPr>
        <w:t xml:space="preserve"> </w:t>
      </w:r>
    </w:p>
    <w:p w14:paraId="42EF70A8" w14:textId="10CAB13D" w:rsidR="00302D18" w:rsidRPr="00B6039A" w:rsidRDefault="00302D18" w:rsidP="00302D18">
      <w:pPr>
        <w:rPr>
          <w:rStyle w:val="Hyperlink"/>
          <w:color w:val="auto"/>
          <w:u w:val="none"/>
        </w:rPr>
      </w:pPr>
      <w:r w:rsidRPr="00B6039A">
        <w:rPr>
          <w:rStyle w:val="Hyperlink"/>
          <w:color w:val="auto"/>
          <w:u w:val="none"/>
        </w:rPr>
        <w:t>Cooke, H. (2020).</w:t>
      </w:r>
      <w:r w:rsidRPr="00B6039A">
        <w:rPr>
          <w:rStyle w:val="Hyperlink"/>
          <w:color w:val="auto"/>
        </w:rPr>
        <w:t xml:space="preserve"> </w:t>
      </w:r>
      <w:r w:rsidRPr="00B6039A">
        <w:rPr>
          <w:rStyle w:val="Hyperlink"/>
          <w:color w:val="auto"/>
          <w:u w:val="none"/>
        </w:rPr>
        <w:t xml:space="preserve">Election 2020: Public housing wait list nears 20,000 applicants. </w:t>
      </w:r>
      <w:r w:rsidRPr="00B6039A">
        <w:rPr>
          <w:rStyle w:val="Hyperlink"/>
          <w:i/>
          <w:color w:val="auto"/>
          <w:u w:val="none"/>
        </w:rPr>
        <w:t>Stuff</w:t>
      </w:r>
      <w:r w:rsidR="00756D5B" w:rsidRPr="00B6039A">
        <w:rPr>
          <w:rStyle w:val="Hyperlink"/>
          <w:iCs/>
          <w:color w:val="auto"/>
          <w:u w:val="none"/>
        </w:rPr>
        <w:t xml:space="preserve"> 21 Sept 2020</w:t>
      </w:r>
      <w:r w:rsidRPr="00B6039A">
        <w:rPr>
          <w:rStyle w:val="Hyperlink"/>
          <w:color w:val="auto"/>
          <w:u w:val="none"/>
        </w:rPr>
        <w:t>.</w:t>
      </w:r>
      <w:r w:rsidRPr="00B6039A">
        <w:rPr>
          <w:rStyle w:val="Hyperlink"/>
          <w:color w:val="auto"/>
        </w:rPr>
        <w:t xml:space="preserve"> </w:t>
      </w:r>
      <w:r w:rsidRPr="00B6039A">
        <w:rPr>
          <w:rStyle w:val="Hyperlink"/>
        </w:rPr>
        <w:t xml:space="preserve">Retrieved from </w:t>
      </w:r>
      <w:hyperlink r:id="rId21" w:history="1">
        <w:r w:rsidRPr="00B6039A">
          <w:rPr>
            <w:rStyle w:val="Hyperlink"/>
          </w:rPr>
          <w:t>https://www.stuff.co.nz/national/politics/300112537/election-2020-public-housing-wait-list-nears-20000-applicants</w:t>
        </w:r>
      </w:hyperlink>
      <w:r w:rsidRPr="00B6039A">
        <w:rPr>
          <w:rStyle w:val="Hyperlink"/>
        </w:rPr>
        <w:t xml:space="preserve"> </w:t>
      </w:r>
    </w:p>
    <w:p w14:paraId="3ED20492" w14:textId="083E4D75" w:rsidR="003979B4" w:rsidRPr="00B6039A" w:rsidRDefault="003979B4" w:rsidP="00302D18">
      <w:proofErr w:type="spellStart"/>
      <w:r w:rsidRPr="00B6039A">
        <w:t>Cotterell</w:t>
      </w:r>
      <w:proofErr w:type="spellEnd"/>
      <w:r w:rsidRPr="00B6039A">
        <w:t xml:space="preserve">, G., St John, S., Dale, M. C. &amp; So, Y. (2017). Further fraying of the welfare safety net. </w:t>
      </w:r>
      <w:r w:rsidRPr="00B6039A">
        <w:rPr>
          <w:i/>
        </w:rPr>
        <w:t xml:space="preserve">Child Poverty Action Group. </w:t>
      </w:r>
      <w:r w:rsidRPr="00B6039A">
        <w:t xml:space="preserve">Retrieved from </w:t>
      </w:r>
      <w:hyperlink r:id="rId22" w:history="1">
        <w:r w:rsidRPr="00B6039A">
          <w:rPr>
            <w:rStyle w:val="Hyperlink"/>
          </w:rPr>
          <w:t>https://www.cpag.org.nz/assets/171208%20CPAG%20further%20fraying%20of%20the%20welfare%20safety%20WEB.pdf</w:t>
        </w:r>
      </w:hyperlink>
      <w:r w:rsidRPr="00B6039A">
        <w:t xml:space="preserve"> </w:t>
      </w:r>
    </w:p>
    <w:p w14:paraId="592E417E" w14:textId="701D24E9" w:rsidR="004F4196" w:rsidRPr="00B6039A" w:rsidRDefault="004F4196" w:rsidP="00302D18">
      <w:r w:rsidRPr="00B6039A">
        <w:t xml:space="preserve">Coughlan, T. (2019). Where to next for dead welfare report?. </w:t>
      </w:r>
      <w:r w:rsidRPr="00B6039A">
        <w:rPr>
          <w:i/>
          <w:iCs/>
        </w:rPr>
        <w:t>Newsroom</w:t>
      </w:r>
      <w:r w:rsidRPr="00B6039A">
        <w:t xml:space="preserve"> 20 May 2019. Retrieved from </w:t>
      </w:r>
      <w:hyperlink r:id="rId23" w:history="1">
        <w:r w:rsidRPr="00B6039A">
          <w:rPr>
            <w:rStyle w:val="Hyperlink"/>
          </w:rPr>
          <w:t>https://www.newsroom.co.nz/where-to-next-for-dead-welfare-report</w:t>
        </w:r>
      </w:hyperlink>
      <w:r w:rsidRPr="00B6039A">
        <w:t xml:space="preserve"> </w:t>
      </w:r>
    </w:p>
    <w:p w14:paraId="537ACFD9" w14:textId="77777777" w:rsidR="007D31D4" w:rsidRPr="00B6039A" w:rsidRDefault="007D31D4" w:rsidP="007D31D4">
      <w:pPr>
        <w:rPr>
          <w:rStyle w:val="Hyperlink"/>
        </w:rPr>
      </w:pPr>
      <w:r w:rsidRPr="00B6039A">
        <w:t xml:space="preserve">DPMC, Department of the Prime Minister and Cabinet, (2019). </w:t>
      </w:r>
      <w:r w:rsidRPr="00B6039A">
        <w:rPr>
          <w:i/>
        </w:rPr>
        <w:t xml:space="preserve">Child and Youth Wellbeing Strategy: Summary Document 2019. </w:t>
      </w:r>
      <w:r w:rsidRPr="00B6039A">
        <w:t xml:space="preserve">Retrieved from </w:t>
      </w:r>
      <w:hyperlink r:id="rId24" w:history="1">
        <w:r w:rsidRPr="00B6039A">
          <w:rPr>
            <w:rStyle w:val="Hyperlink"/>
          </w:rPr>
          <w:t>https://childyouthwellbeing.govt.nz/sites/default/files/2019-08/summary-child-youth-wellbeing-2019.pdf</w:t>
        </w:r>
      </w:hyperlink>
    </w:p>
    <w:p w14:paraId="76C1C45B" w14:textId="77777777" w:rsidR="00302D18" w:rsidRPr="00B6039A" w:rsidRDefault="00302D18" w:rsidP="00302D18">
      <w:pPr>
        <w:rPr>
          <w:rStyle w:val="Hyperlink"/>
        </w:rPr>
      </w:pPr>
      <w:r w:rsidRPr="00B6039A">
        <w:t xml:space="preserve">Expert Advisory Group on Solutions to Child Poverty (2012). Child Poverty in New Zealand: What you told us. </w:t>
      </w:r>
      <w:r w:rsidRPr="00B6039A">
        <w:rPr>
          <w:i/>
        </w:rPr>
        <w:t>Office of the Children’s Commissioner</w:t>
      </w:r>
      <w:r w:rsidRPr="00B6039A">
        <w:t>. Retrieved from (</w:t>
      </w:r>
      <w:hyperlink r:id="rId25" w:history="1">
        <w:r w:rsidRPr="00B6039A">
          <w:rPr>
            <w:rStyle w:val="Hyperlink"/>
          </w:rPr>
          <w:t>https://www.occ.org.nz/assets/Uploads/EAG/Consultation/What-you-told-us.pdf</w:t>
        </w:r>
      </w:hyperlink>
    </w:p>
    <w:p w14:paraId="0296C369" w14:textId="623D10A0" w:rsidR="00302D18" w:rsidRPr="00B6039A" w:rsidRDefault="00302D18" w:rsidP="00302D18">
      <w:r w:rsidRPr="00B6039A">
        <w:t xml:space="preserve">Fletcher, M. (2020). The case for a huge Covid-19 benefit reform. </w:t>
      </w:r>
      <w:r w:rsidRPr="00B6039A">
        <w:rPr>
          <w:i/>
        </w:rPr>
        <w:t>The Spinoff</w:t>
      </w:r>
      <w:r w:rsidR="00756D5B" w:rsidRPr="00B6039A">
        <w:rPr>
          <w:iCs/>
        </w:rPr>
        <w:t xml:space="preserve"> 24 March 2020</w:t>
      </w:r>
      <w:r w:rsidRPr="00B6039A">
        <w:rPr>
          <w:i/>
        </w:rPr>
        <w:t xml:space="preserve">. </w:t>
      </w:r>
      <w:r w:rsidRPr="00B6039A">
        <w:t xml:space="preserve">Retrieved from </w:t>
      </w:r>
      <w:hyperlink r:id="rId26" w:history="1">
        <w:r w:rsidRPr="00B6039A">
          <w:rPr>
            <w:rStyle w:val="Hyperlink"/>
          </w:rPr>
          <w:t>https://thespinoff.co.nz/politics/24-03-2020/the-case-for-a-huge-covid-19-benefit-reform/</w:t>
        </w:r>
      </w:hyperlink>
    </w:p>
    <w:p w14:paraId="6CD3396E" w14:textId="77777777" w:rsidR="00302D18" w:rsidRPr="00B6039A" w:rsidRDefault="00302D18" w:rsidP="00302D18">
      <w:pPr>
        <w:rPr>
          <w:rStyle w:val="Hyperlink"/>
        </w:rPr>
      </w:pPr>
      <w:proofErr w:type="spellStart"/>
      <w:r w:rsidRPr="00B6039A">
        <w:t>Gromada</w:t>
      </w:r>
      <w:proofErr w:type="spellEnd"/>
      <w:r w:rsidRPr="00B6039A">
        <w:t xml:space="preserve">, A., Rees, G. &amp; </w:t>
      </w:r>
      <w:proofErr w:type="spellStart"/>
      <w:r w:rsidRPr="00B6039A">
        <w:t>Chzhen</w:t>
      </w:r>
      <w:proofErr w:type="spellEnd"/>
      <w:r w:rsidRPr="00B6039A">
        <w:t xml:space="preserve">, Y. (2020). Worlds of Influence: Understanding What Shapes Child Well-being in Rich countries. </w:t>
      </w:r>
      <w:proofErr w:type="spellStart"/>
      <w:r w:rsidRPr="00B6039A">
        <w:rPr>
          <w:i/>
        </w:rPr>
        <w:t>Unicef</w:t>
      </w:r>
      <w:proofErr w:type="spellEnd"/>
      <w:r w:rsidRPr="00B6039A">
        <w:rPr>
          <w:i/>
        </w:rPr>
        <w:t xml:space="preserve">. </w:t>
      </w:r>
      <w:r w:rsidRPr="00B6039A">
        <w:t xml:space="preserve">Retrieved from </w:t>
      </w:r>
      <w:hyperlink r:id="rId27" w:history="1">
        <w:r w:rsidRPr="00B6039A">
          <w:rPr>
            <w:rStyle w:val="Hyperlink"/>
          </w:rPr>
          <w:t>https://www.unicef-irc.org/publications/1140-worlds-of-influence-understanding-what-shapes-child-well-being-in-rich-countries.html</w:t>
        </w:r>
      </w:hyperlink>
    </w:p>
    <w:p w14:paraId="7E4F2A32" w14:textId="77777777" w:rsidR="00302D18" w:rsidRPr="00B6039A" w:rsidRDefault="00302D18" w:rsidP="00302D18">
      <w:pPr>
        <w:rPr>
          <w:rStyle w:val="Hyperlink"/>
        </w:rPr>
      </w:pPr>
      <w:r w:rsidRPr="00B6039A">
        <w:t>Healey, O. &amp; Curtin, J. (2019). ‘</w:t>
      </w:r>
      <w:r w:rsidRPr="00B6039A">
        <w:rPr>
          <w:i/>
        </w:rPr>
        <w:t>Relationship status’ and the Welfare System in Aotearoa New Zealand</w:t>
      </w:r>
      <w:r w:rsidRPr="00B6039A">
        <w:t xml:space="preserve">. Retrieved from </w:t>
      </w:r>
      <w:hyperlink r:id="rId28" w:history="1">
        <w:r w:rsidRPr="00B6039A">
          <w:rPr>
            <w:rStyle w:val="Hyperlink"/>
          </w:rPr>
          <w:t>https://www.cpag.org.nz/assets/1907%20Repartnering%20Report%20PPI_CPAG%20Final%20July.pdf</w:t>
        </w:r>
      </w:hyperlink>
    </w:p>
    <w:p w14:paraId="3E12AD09" w14:textId="77777777" w:rsidR="00302D18" w:rsidRPr="00B6039A" w:rsidRDefault="00302D18" w:rsidP="00302D18">
      <w:pPr>
        <w:rPr>
          <w:rStyle w:val="Hyperlink"/>
        </w:rPr>
      </w:pPr>
      <w:proofErr w:type="spellStart"/>
      <w:r w:rsidRPr="00B6039A">
        <w:t>Humpage</w:t>
      </w:r>
      <w:proofErr w:type="spellEnd"/>
      <w:r w:rsidRPr="00B6039A">
        <w:t xml:space="preserve">, L. &amp; </w:t>
      </w:r>
      <w:proofErr w:type="spellStart"/>
      <w:r w:rsidRPr="00B6039A">
        <w:t>Neuwelt</w:t>
      </w:r>
      <w:proofErr w:type="spellEnd"/>
      <w:r w:rsidRPr="00B6039A">
        <w:t xml:space="preserve">-Kearns, C. (2020). </w:t>
      </w:r>
      <w:r w:rsidRPr="00B6039A">
        <w:rPr>
          <w:i/>
        </w:rPr>
        <w:t>Income support in the wake of Covid-19: survey</w:t>
      </w:r>
      <w:r w:rsidRPr="00B6039A">
        <w:t xml:space="preserve">. Retrieved from </w:t>
      </w:r>
      <w:hyperlink r:id="rId29" w:history="1">
        <w:r w:rsidRPr="00B6039A">
          <w:rPr>
            <w:rStyle w:val="Hyperlink"/>
          </w:rPr>
          <w:t>https://www.cpag.org.nz/assets/EMBARGOED%20MONDAY%2023%20SEPT%20-%20cpag%20MEDIA%20BRIEFING.pdf</w:t>
        </w:r>
      </w:hyperlink>
    </w:p>
    <w:p w14:paraId="6D850942" w14:textId="77777777" w:rsidR="00302D18" w:rsidRPr="00B6039A" w:rsidRDefault="00302D18" w:rsidP="00302D18">
      <w:pPr>
        <w:rPr>
          <w:rStyle w:val="Hyperlink"/>
        </w:rPr>
      </w:pPr>
      <w:r w:rsidRPr="00B6039A">
        <w:t xml:space="preserve">Jackson, W. (2020). Regional Skills Leadership Groups to be eyes and ears for labour market recovery. </w:t>
      </w:r>
      <w:r w:rsidRPr="00B6039A">
        <w:rPr>
          <w:i/>
        </w:rPr>
        <w:t>Beehive.govt.nz</w:t>
      </w:r>
      <w:r w:rsidRPr="00B6039A">
        <w:t xml:space="preserve">. Retrieved from </w:t>
      </w:r>
      <w:hyperlink r:id="rId30" w:history="1">
        <w:r w:rsidRPr="00B6039A">
          <w:rPr>
            <w:rStyle w:val="Hyperlink"/>
          </w:rPr>
          <w:t>https://www.beehive.govt.nz/release/regional-skills-leadership-groups-be-eyes-and-ears-labour-market-recovery</w:t>
        </w:r>
      </w:hyperlink>
    </w:p>
    <w:p w14:paraId="23C124C3" w14:textId="77777777" w:rsidR="00302D18" w:rsidRPr="00B6039A" w:rsidRDefault="00302D18" w:rsidP="00302D18">
      <w:pPr>
        <w:rPr>
          <w:color w:val="0563C1" w:themeColor="hyperlink"/>
          <w:u w:val="single"/>
        </w:rPr>
      </w:pPr>
      <w:proofErr w:type="spellStart"/>
      <w:r w:rsidRPr="00B6039A">
        <w:lastRenderedPageBreak/>
        <w:t>Kāinga</w:t>
      </w:r>
      <w:proofErr w:type="spellEnd"/>
      <w:r w:rsidRPr="00B6039A">
        <w:t xml:space="preserve"> Ora (2020). Tenant Home Ownership Programme. Retrieved from </w:t>
      </w:r>
      <w:hyperlink r:id="rId31" w:history="1">
        <w:r w:rsidRPr="00B6039A">
          <w:rPr>
            <w:rStyle w:val="Hyperlink"/>
          </w:rPr>
          <w:t>https://kaingaora.govt.nz/assets/Home-ownership/Brochures-and-forms/HNZ16297-Tenant-Home-Ownership-Jan-2020.pdf</w:t>
        </w:r>
      </w:hyperlink>
    </w:p>
    <w:p w14:paraId="4D075F96" w14:textId="1F062357" w:rsidR="00CE2477" w:rsidRPr="00B6039A" w:rsidRDefault="00CE2477" w:rsidP="00302D18">
      <w:r w:rsidRPr="00B6039A">
        <w:t xml:space="preserve">Labour (2020). </w:t>
      </w:r>
      <w:r w:rsidR="004924CF" w:rsidRPr="00B6039A">
        <w:t xml:space="preserve">Social Development &amp; Employment: </w:t>
      </w:r>
      <w:r w:rsidRPr="00B6039A">
        <w:t xml:space="preserve">Our </w:t>
      </w:r>
      <w:r w:rsidR="004924CF" w:rsidRPr="00B6039A">
        <w:t>Plan</w:t>
      </w:r>
      <w:r w:rsidRPr="00B6039A">
        <w:t xml:space="preserve">. Retrieved from </w:t>
      </w:r>
      <w:hyperlink r:id="rId32" w:history="1">
        <w:r w:rsidR="004924CF" w:rsidRPr="00B6039A">
          <w:rPr>
            <w:rStyle w:val="Hyperlink"/>
          </w:rPr>
          <w:t>https://www.labour.org.nz/socialdevelopment</w:t>
        </w:r>
      </w:hyperlink>
      <w:r w:rsidR="004924CF" w:rsidRPr="00B6039A">
        <w:t xml:space="preserve"> </w:t>
      </w:r>
      <w:r w:rsidRPr="00B6039A">
        <w:t xml:space="preserve"> </w:t>
      </w:r>
    </w:p>
    <w:p w14:paraId="43AC0303" w14:textId="77777777" w:rsidR="00302D18" w:rsidRPr="00B6039A" w:rsidRDefault="00302D18" w:rsidP="00302D18">
      <w:pPr>
        <w:rPr>
          <w:rStyle w:val="Hyperlink"/>
        </w:rPr>
      </w:pPr>
      <w:r w:rsidRPr="00B6039A">
        <w:t xml:space="preserve">Mental Health and Wellbeing Commission (2020). He Ara </w:t>
      </w:r>
      <w:proofErr w:type="spellStart"/>
      <w:r w:rsidRPr="00B6039A">
        <w:t>Oranga</w:t>
      </w:r>
      <w:proofErr w:type="spellEnd"/>
      <w:r w:rsidRPr="00B6039A">
        <w:t xml:space="preserve"> – </w:t>
      </w:r>
      <w:proofErr w:type="spellStart"/>
      <w:r w:rsidRPr="00B6039A">
        <w:t>Mānuka</w:t>
      </w:r>
      <w:proofErr w:type="spellEnd"/>
      <w:r w:rsidRPr="00B6039A">
        <w:t xml:space="preserve"> </w:t>
      </w:r>
      <w:proofErr w:type="spellStart"/>
      <w:r w:rsidRPr="00B6039A">
        <w:t>Takoto</w:t>
      </w:r>
      <w:proofErr w:type="spellEnd"/>
      <w:r w:rsidRPr="00B6039A">
        <w:t xml:space="preserve">, </w:t>
      </w:r>
      <w:proofErr w:type="spellStart"/>
      <w:r w:rsidRPr="00B6039A">
        <w:t>Kawea</w:t>
      </w:r>
      <w:proofErr w:type="spellEnd"/>
      <w:r w:rsidRPr="00B6039A">
        <w:t xml:space="preserve"> Ake / Upholding the Wero Laid in He Ara </w:t>
      </w:r>
      <w:proofErr w:type="spellStart"/>
      <w:r w:rsidRPr="00B6039A">
        <w:t>Oranga</w:t>
      </w:r>
      <w:proofErr w:type="spellEnd"/>
      <w:r w:rsidRPr="00B6039A">
        <w:t xml:space="preserve">. Retrieved from </w:t>
      </w:r>
      <w:hyperlink r:id="rId33" w:history="1">
        <w:r w:rsidRPr="00B6039A">
          <w:rPr>
            <w:rStyle w:val="Hyperlink"/>
          </w:rPr>
          <w:t>https://www.mhwc.govt.nz/interim-report/</w:t>
        </w:r>
      </w:hyperlink>
    </w:p>
    <w:p w14:paraId="1B2DDC93" w14:textId="21214248" w:rsidR="00B46154" w:rsidRPr="00B6039A" w:rsidRDefault="00B46154" w:rsidP="00302D18">
      <w:r w:rsidRPr="00B6039A">
        <w:t xml:space="preserve">Ministry of Business, Innovation and Employment (2020). Just Transition. Retrieved from </w:t>
      </w:r>
      <w:hyperlink r:id="rId34" w:anchor="just-transitions-unit" w:history="1">
        <w:r w:rsidRPr="00B6039A">
          <w:rPr>
            <w:rStyle w:val="Hyperlink"/>
          </w:rPr>
          <w:t>https://www.mbie.govt.nz/business-and-employment/economic-development/just-transition/#just-transitions-unit</w:t>
        </w:r>
      </w:hyperlink>
      <w:r w:rsidRPr="00B6039A">
        <w:t xml:space="preserve"> </w:t>
      </w:r>
    </w:p>
    <w:p w14:paraId="38FC7071" w14:textId="77777777" w:rsidR="00302D18" w:rsidRPr="00B6039A" w:rsidRDefault="00302D18" w:rsidP="00302D18">
      <w:pPr>
        <w:rPr>
          <w:rStyle w:val="Hyperlink"/>
        </w:rPr>
      </w:pPr>
      <w:r w:rsidRPr="00B6039A">
        <w:t xml:space="preserve">Ministry of Housing and Urban Development (n.d.). The Government Housing Programme Dashboard. Retrieved from </w:t>
      </w:r>
      <w:hyperlink r:id="rId35" w:history="1">
        <w:r w:rsidRPr="00B6039A">
          <w:rPr>
            <w:rStyle w:val="Hyperlink"/>
          </w:rPr>
          <w:t>https://www.hud.govt.nz/news-and-resources/statistics-and-research/government-build-programme-housing-dashboard/</w:t>
        </w:r>
      </w:hyperlink>
    </w:p>
    <w:p w14:paraId="47727D89" w14:textId="77777777" w:rsidR="00302D18" w:rsidRPr="00B6039A" w:rsidRDefault="00302D18" w:rsidP="00302D18">
      <w:r w:rsidRPr="00B6039A">
        <w:t xml:space="preserve">Ministry of Housing and Urban Development (2020a). Aotearoa/New Zealand Homelessness Action Plan. Retrieved from </w:t>
      </w:r>
      <w:hyperlink r:id="rId36" w:history="1">
        <w:r w:rsidRPr="00B6039A">
          <w:rPr>
            <w:rStyle w:val="Hyperlink"/>
          </w:rPr>
          <w:t>https://www.hud.govt.nz/assets/Community-and-Public-Housing/Support-for-people-in-need/Homelessness-Action-Plan/271a3c7d79/Homelessness-Action-Plan.pdf</w:t>
        </w:r>
      </w:hyperlink>
      <w:r w:rsidRPr="00B6039A">
        <w:t xml:space="preserve"> </w:t>
      </w:r>
    </w:p>
    <w:p w14:paraId="0E46CC7C" w14:textId="77777777" w:rsidR="00302D18" w:rsidRPr="00B6039A" w:rsidRDefault="00302D18" w:rsidP="00302D18">
      <w:r w:rsidRPr="00B6039A">
        <w:t xml:space="preserve">Ministry of Housing and Urban Development (2020b). Progressive Home Ownership. Retrieved from </w:t>
      </w:r>
      <w:hyperlink r:id="rId37" w:history="1">
        <w:r w:rsidRPr="00B6039A">
          <w:rPr>
            <w:rStyle w:val="Hyperlink"/>
          </w:rPr>
          <w:t>https://www.hud.govt.nz/residential-housing/progressive-home-ownership/</w:t>
        </w:r>
      </w:hyperlink>
      <w:r w:rsidRPr="00B6039A">
        <w:t xml:space="preserve"> </w:t>
      </w:r>
    </w:p>
    <w:p w14:paraId="158B776F" w14:textId="3F971B3A" w:rsidR="0046504B" w:rsidRPr="00B6039A" w:rsidRDefault="0046504B" w:rsidP="00302D18">
      <w:r w:rsidRPr="00B6039A">
        <w:t xml:space="preserve">Ministry of Housing and Urban Development (2020c). August 2020: Public Housing Monthly Update. Retrieved from </w:t>
      </w:r>
      <w:hyperlink r:id="rId38" w:history="1">
        <w:r w:rsidRPr="00B6039A">
          <w:rPr>
            <w:rStyle w:val="Hyperlink"/>
          </w:rPr>
          <w:t>https://www.hud.govt.nz/assets/Community-and-Public-Housing/Follow-our-progress/Monthly-Dashboards-2020/August-2020-monthly-update.pdf</w:t>
        </w:r>
      </w:hyperlink>
      <w:r w:rsidRPr="00B6039A">
        <w:t xml:space="preserve"> </w:t>
      </w:r>
    </w:p>
    <w:p w14:paraId="4D1F711C" w14:textId="77777777" w:rsidR="00302D18" w:rsidRPr="00B6039A" w:rsidRDefault="00302D18" w:rsidP="00302D18">
      <w:r w:rsidRPr="00B6039A">
        <w:t xml:space="preserve">Ministry of Social Development (n.d.). Welfare Expert Advisory Group Report. Retrieved from </w:t>
      </w:r>
      <w:hyperlink r:id="rId39" w:history="1">
        <w:r w:rsidRPr="00B6039A">
          <w:rPr>
            <w:rStyle w:val="Hyperlink"/>
          </w:rPr>
          <w:t>https://www.msd.govt.nz/about-msd-and-our-work/publications-resources/research/weag/index.html</w:t>
        </w:r>
      </w:hyperlink>
    </w:p>
    <w:p w14:paraId="4A4324A0" w14:textId="77777777" w:rsidR="00302D18" w:rsidRPr="00B6039A" w:rsidRDefault="00302D18" w:rsidP="00302D18">
      <w:pPr>
        <w:rPr>
          <w:rStyle w:val="Hyperlink"/>
        </w:rPr>
      </w:pPr>
      <w:r w:rsidRPr="00B6039A">
        <w:t xml:space="preserve">Ministry of Social Development (2019a). Welfare Overhaul: Update on Progress and Long-Term Plan (November 2019). Retrieved from </w:t>
      </w:r>
      <w:hyperlink r:id="rId40" w:history="1">
        <w:r w:rsidRPr="00B6039A">
          <w:rPr>
            <w:rStyle w:val="Hyperlink"/>
          </w:rPr>
          <w:t>https://www.msd.govt.nz/documents/about-msd-and-our-work/publications-resources/information-releases/welfare-overhaul-update/cabinet-paper-welfare-overhaul-update-on-progress-and-long-term-plan.pdf</w:t>
        </w:r>
      </w:hyperlink>
    </w:p>
    <w:p w14:paraId="0CE0E5B8" w14:textId="77777777" w:rsidR="00302D18" w:rsidRPr="00B6039A" w:rsidRDefault="00302D18" w:rsidP="00302D18">
      <w:pPr>
        <w:rPr>
          <w:rStyle w:val="Hyperlink"/>
        </w:rPr>
      </w:pPr>
      <w:r w:rsidRPr="00B6039A">
        <w:t xml:space="preserve">Ministry of Social Development (2019b). Welfare Overhaul: Update on Progress and Next Steps (May 2019). Retrieved from </w:t>
      </w:r>
      <w:hyperlink r:id="rId41" w:history="1">
        <w:r w:rsidRPr="00B6039A">
          <w:rPr>
            <w:rStyle w:val="Hyperlink"/>
          </w:rPr>
          <w:t>https://www.msd.govt.nz/documents/about-msd-and-our-work/publications-resources/information-releases/weag-report-release/cabinet-paper-welfare-overhaul-advice-from-the-welfare-expert-advisor....pdf</w:t>
        </w:r>
      </w:hyperlink>
    </w:p>
    <w:p w14:paraId="2AD98449" w14:textId="77777777" w:rsidR="00302D18" w:rsidRPr="00B6039A" w:rsidRDefault="00302D18" w:rsidP="00302D18">
      <w:pPr>
        <w:rPr>
          <w:rStyle w:val="Hyperlink"/>
        </w:rPr>
      </w:pPr>
      <w:r w:rsidRPr="00B6039A">
        <w:t xml:space="preserve">Ministry of Social Development (2019c). Official Information Response 20 Sept 2019. Retrieved from </w:t>
      </w:r>
      <w:hyperlink r:id="rId42" w:history="1">
        <w:r w:rsidRPr="00B6039A">
          <w:rPr>
            <w:rStyle w:val="Hyperlink"/>
          </w:rPr>
          <w:t>http://msd.govt.nz/documents/about-msd-and-our-work/publications-resources/official-information-responses/2019/september/20190920-msd-overpayment-and-fraud-investigations-over-the-past-five-years.pdf</w:t>
        </w:r>
      </w:hyperlink>
    </w:p>
    <w:p w14:paraId="75B4A016" w14:textId="77777777" w:rsidR="00302D18" w:rsidRPr="00B6039A" w:rsidRDefault="00302D18" w:rsidP="00302D18">
      <w:pPr>
        <w:rPr>
          <w:rStyle w:val="Hyperlink"/>
        </w:rPr>
      </w:pPr>
      <w:r w:rsidRPr="00B6039A">
        <w:t xml:space="preserve">Ministry of Social Development (2019d). Pacific Prosperity: Our People, Our Solutions, Our Future. Retrieved from </w:t>
      </w:r>
      <w:hyperlink r:id="rId43" w:history="1">
        <w:r w:rsidRPr="00B6039A">
          <w:rPr>
            <w:rStyle w:val="Hyperlink"/>
          </w:rPr>
          <w:t>https://www.msd.govt.nz/documents/about-msd-and-our-work/about-msd/strategies/pacific-strategy/pacific-prosperity-our-people-our-solutions-our-future-english-version.pdf</w:t>
        </w:r>
      </w:hyperlink>
    </w:p>
    <w:p w14:paraId="2D6E5558" w14:textId="77777777" w:rsidR="00302D18" w:rsidRPr="00B6039A" w:rsidRDefault="00302D18" w:rsidP="00302D18">
      <w:pPr>
        <w:rPr>
          <w:rStyle w:val="Hyperlink"/>
        </w:rPr>
      </w:pPr>
      <w:r w:rsidRPr="00B6039A">
        <w:t xml:space="preserve">Ministry of Social Development (2020a). Housing Register. Retrieved from </w:t>
      </w:r>
      <w:hyperlink r:id="rId44" w:history="1">
        <w:r w:rsidRPr="00B6039A">
          <w:rPr>
            <w:rStyle w:val="Hyperlink"/>
          </w:rPr>
          <w:t>https://www.msd.govt.nz/about-msd-and-our-work/publications-resources/statistics/housing/index.html</w:t>
        </w:r>
      </w:hyperlink>
    </w:p>
    <w:p w14:paraId="7CCCD36D" w14:textId="6D5FDB42" w:rsidR="00302D18" w:rsidRPr="00B6039A" w:rsidRDefault="00302D18" w:rsidP="00302D18">
      <w:pPr>
        <w:rPr>
          <w:rStyle w:val="Hyperlink"/>
        </w:rPr>
      </w:pPr>
      <w:r w:rsidRPr="00B6039A">
        <w:t xml:space="preserve">Ministry of Social Development (2020b). Working Matters. Retrieved from </w:t>
      </w:r>
      <w:hyperlink r:id="rId45" w:history="1">
        <w:r w:rsidRPr="00B6039A">
          <w:rPr>
            <w:rStyle w:val="Hyperlink"/>
          </w:rPr>
          <w:t>https://www.msd.govt.nz/documents/what-we-can-do/disability-services/disability-employment-action-plan/working-matters-2020-spreads.pdf</w:t>
        </w:r>
      </w:hyperlink>
    </w:p>
    <w:p w14:paraId="116B6997" w14:textId="0C79E5ED" w:rsidR="004E4C64" w:rsidRPr="00B6039A" w:rsidRDefault="004E4C64" w:rsidP="00302D18">
      <w:r w:rsidRPr="00B6039A">
        <w:t xml:space="preserve">Ministry of Social Development (2020c). Benefit Fact Sheets. Retrieved from </w:t>
      </w:r>
      <w:hyperlink r:id="rId46" w:history="1">
        <w:r w:rsidRPr="00B6039A">
          <w:rPr>
            <w:rStyle w:val="Hyperlink"/>
          </w:rPr>
          <w:t>https://www.msd.govt.nz/about-msd-and-our-work/publications-resources/statistics/benefit/index.html</w:t>
        </w:r>
      </w:hyperlink>
    </w:p>
    <w:p w14:paraId="58D80138" w14:textId="17DB1B2E" w:rsidR="00302D18" w:rsidRPr="00B6039A" w:rsidRDefault="00302D18" w:rsidP="00302D18">
      <w:pPr>
        <w:rPr>
          <w:rStyle w:val="Hyperlink"/>
        </w:rPr>
      </w:pPr>
      <w:r w:rsidRPr="00B6039A">
        <w:lastRenderedPageBreak/>
        <w:t xml:space="preserve">McCulloch, C. (2020). Green Party says Labour broke promise to overhaul welfare system. </w:t>
      </w:r>
      <w:r w:rsidRPr="00B6039A">
        <w:rPr>
          <w:i/>
        </w:rPr>
        <w:t>RNZ</w:t>
      </w:r>
      <w:r w:rsidR="00756D5B" w:rsidRPr="00B6039A">
        <w:rPr>
          <w:iCs/>
        </w:rPr>
        <w:t xml:space="preserve"> 26 May 2020</w:t>
      </w:r>
      <w:r w:rsidRPr="00B6039A">
        <w:t xml:space="preserve">. Retrieved from </w:t>
      </w:r>
      <w:hyperlink r:id="rId47" w:history="1">
        <w:r w:rsidRPr="00B6039A">
          <w:rPr>
            <w:rStyle w:val="Hyperlink"/>
          </w:rPr>
          <w:t>https://www.rnz.co.nz/news/political/417512/green-party-says-labour-broke-promise-to-overhaul-welfare-system</w:t>
        </w:r>
      </w:hyperlink>
    </w:p>
    <w:p w14:paraId="15408A20" w14:textId="23E34B2F" w:rsidR="00302D18" w:rsidRPr="00B6039A" w:rsidRDefault="00302D18" w:rsidP="00302D18">
      <w:r w:rsidRPr="00B6039A">
        <w:t xml:space="preserve">Moir, J. (2018). Mana in Mahi scheme announced for youth in the dole. </w:t>
      </w:r>
      <w:r w:rsidRPr="00B6039A">
        <w:rPr>
          <w:i/>
        </w:rPr>
        <w:t>RNZ</w:t>
      </w:r>
      <w:r w:rsidR="00495370" w:rsidRPr="00B6039A">
        <w:rPr>
          <w:iCs/>
        </w:rPr>
        <w:t xml:space="preserve"> 11 Aug 2018</w:t>
      </w:r>
      <w:r w:rsidRPr="00B6039A">
        <w:rPr>
          <w:i/>
        </w:rPr>
        <w:t>.</w:t>
      </w:r>
      <w:r w:rsidRPr="00B6039A">
        <w:t xml:space="preserve"> Retrieved from </w:t>
      </w:r>
      <w:hyperlink r:id="rId48" w:history="1">
        <w:r w:rsidRPr="00B6039A">
          <w:rPr>
            <w:rStyle w:val="Hyperlink"/>
          </w:rPr>
          <w:t>https://www.rnz.co.nz/news/political/363717/mana-in-mahi-scheme-announced-for-youth-on-the-dole</w:t>
        </w:r>
      </w:hyperlink>
    </w:p>
    <w:p w14:paraId="67FFA37F" w14:textId="77777777" w:rsidR="00302D18" w:rsidRPr="00B6039A" w:rsidRDefault="00302D18" w:rsidP="00302D18">
      <w:r w:rsidRPr="00B6039A">
        <w:t xml:space="preserve">Murray, S. (2018). Breaking the link between disability and child and whanau poverty. </w:t>
      </w:r>
      <w:r w:rsidRPr="00B6039A">
        <w:rPr>
          <w:i/>
        </w:rPr>
        <w:t>Policy Quarterly, 14</w:t>
      </w:r>
      <w:r w:rsidRPr="00B6039A">
        <w:t>(4).</w:t>
      </w:r>
    </w:p>
    <w:p w14:paraId="55302FFA" w14:textId="77777777" w:rsidR="00302D18" w:rsidRPr="00B6039A" w:rsidRDefault="00302D18" w:rsidP="00302D18">
      <w:pPr>
        <w:rPr>
          <w:rStyle w:val="Hyperlink"/>
        </w:rPr>
      </w:pPr>
      <w:proofErr w:type="spellStart"/>
      <w:r w:rsidRPr="00B6039A">
        <w:t>Neuwelt</w:t>
      </w:r>
      <w:proofErr w:type="spellEnd"/>
      <w:r w:rsidRPr="00B6039A">
        <w:t xml:space="preserve">-Kearns, C., Murray, S., Russell, J. &amp; Lee, J. (2020). ‘Living well’? Children with disability need far greater income support in Aotearoa. </w:t>
      </w:r>
      <w:r w:rsidRPr="00B6039A">
        <w:rPr>
          <w:i/>
        </w:rPr>
        <w:t xml:space="preserve">Child Poverty Action Group. </w:t>
      </w:r>
      <w:r w:rsidRPr="00B6039A">
        <w:t xml:space="preserve">Retrieved from </w:t>
      </w:r>
      <w:hyperlink r:id="rId49" w:history="1">
        <w:r w:rsidRPr="00B6039A">
          <w:rPr>
            <w:rStyle w:val="Hyperlink"/>
          </w:rPr>
          <w:t>https://www.cpag.org.nz/assets/Living%20Well%20Children%20with%20disability%20need%20far%20greater%20income%20support%20in%20Aotearoa%20Sept%202020%20%281%29.pdf</w:t>
        </w:r>
      </w:hyperlink>
    </w:p>
    <w:p w14:paraId="34AD78CA" w14:textId="77777777" w:rsidR="00302D18" w:rsidRPr="00B6039A" w:rsidRDefault="00302D18" w:rsidP="00302D18">
      <w:pPr>
        <w:rPr>
          <w:rStyle w:val="Hyperlink"/>
        </w:rPr>
      </w:pPr>
      <w:r w:rsidRPr="00B6039A">
        <w:t xml:space="preserve">New Zealand Government (2017). Confidence &amp; Supply Agreement: New Zealand Labour Party &amp; Green Party of Aotearoa New Zealand. Retrieved from </w:t>
      </w:r>
      <w:hyperlink r:id="rId50" w:history="1">
        <w:r w:rsidRPr="00B6039A">
          <w:rPr>
            <w:rStyle w:val="Hyperlink"/>
          </w:rPr>
          <w:t>https://www.parliament.nz/media/4487/nzlp___gp_c_s_agreement.pdf</w:t>
        </w:r>
      </w:hyperlink>
    </w:p>
    <w:p w14:paraId="7DFFB798" w14:textId="77777777" w:rsidR="00302D18" w:rsidRPr="00B6039A" w:rsidRDefault="00302D18" w:rsidP="00302D18">
      <w:pPr>
        <w:rPr>
          <w:rStyle w:val="Hyperlink"/>
        </w:rPr>
      </w:pPr>
      <w:r w:rsidRPr="00B6039A">
        <w:t xml:space="preserve">New Zealand Government (2018). Terms of Reference for the Welfare Expert Advisory Group. Retrieved from </w:t>
      </w:r>
      <w:hyperlink r:id="rId51" w:history="1">
        <w:r w:rsidRPr="00B6039A">
          <w:rPr>
            <w:rStyle w:val="Hyperlink"/>
          </w:rPr>
          <w:t>https://www.beehive.govt.nz/sites/default/files/2018-05/WEAG%20Terms%20of%20Reference_0.pdf</w:t>
        </w:r>
      </w:hyperlink>
    </w:p>
    <w:p w14:paraId="563336BB" w14:textId="77777777" w:rsidR="00302D18" w:rsidRPr="00B6039A" w:rsidRDefault="00302D18" w:rsidP="00302D18">
      <w:r w:rsidRPr="00B6039A">
        <w:t xml:space="preserve">New Zealand Government (2019). Our Youth Employment Action Plan. Retrieved from </w:t>
      </w:r>
      <w:hyperlink r:id="rId52" w:history="1">
        <w:r w:rsidRPr="00B6039A">
          <w:rPr>
            <w:rStyle w:val="Hyperlink"/>
          </w:rPr>
          <w:t>https://www.mbie.govt.nz/dmsdocument/6613-our-youth-employment-action-plan</w:t>
        </w:r>
      </w:hyperlink>
    </w:p>
    <w:p w14:paraId="05C78F29" w14:textId="77777777" w:rsidR="00302D18" w:rsidRPr="00B6039A" w:rsidRDefault="00302D18" w:rsidP="00302D18">
      <w:pPr>
        <w:rPr>
          <w:rStyle w:val="Hyperlink"/>
        </w:rPr>
      </w:pPr>
      <w:r w:rsidRPr="00B6039A">
        <w:t xml:space="preserve">New Zealand Government (2019a). Supporting people into work and income security. </w:t>
      </w:r>
      <w:r w:rsidRPr="00B6039A">
        <w:rPr>
          <w:i/>
        </w:rPr>
        <w:t xml:space="preserve">Scoop. </w:t>
      </w:r>
      <w:r w:rsidRPr="00B6039A">
        <w:t xml:space="preserve">Retrieved from </w:t>
      </w:r>
      <w:hyperlink r:id="rId53" w:history="1">
        <w:r w:rsidRPr="00B6039A">
          <w:rPr>
            <w:rStyle w:val="Hyperlink"/>
          </w:rPr>
          <w:t>https://www.scoop.co.nz/stories/PA1905/S00034/supporting-people-into-work-and-income-security.htm</w:t>
        </w:r>
      </w:hyperlink>
    </w:p>
    <w:p w14:paraId="53CBC899" w14:textId="77777777" w:rsidR="00302D18" w:rsidRPr="00B6039A" w:rsidRDefault="00302D18" w:rsidP="00302D18">
      <w:pPr>
        <w:rPr>
          <w:rStyle w:val="Hyperlink"/>
        </w:rPr>
      </w:pPr>
      <w:r w:rsidRPr="00B6039A">
        <w:t xml:space="preserve">New Zealand Government (2019b). Wellbeing Budget 2019: Rebuilding work-focussed case management. Retrieved from </w:t>
      </w:r>
      <w:hyperlink r:id="rId54" w:history="1">
        <w:r w:rsidRPr="00B6039A">
          <w:rPr>
            <w:rStyle w:val="Hyperlink"/>
          </w:rPr>
          <w:t>https://www.msd.govt.nz/documents/about-msd-and-our-work/newsroom/factsheets/budget/factsheet-extra-msd-staff-2019.pdf</w:t>
        </w:r>
      </w:hyperlink>
    </w:p>
    <w:p w14:paraId="4BDB71F8" w14:textId="77777777" w:rsidR="00302D18" w:rsidRPr="00B6039A" w:rsidRDefault="00302D18" w:rsidP="00302D18">
      <w:pPr>
        <w:rPr>
          <w:rStyle w:val="Hyperlink"/>
        </w:rPr>
      </w:pPr>
      <w:r w:rsidRPr="00B6039A">
        <w:t xml:space="preserve">New Zealand Government (2020). Punitive Child Policy From Welfare System To Put Children First. </w:t>
      </w:r>
      <w:r w:rsidRPr="00B6039A">
        <w:rPr>
          <w:i/>
        </w:rPr>
        <w:t>Scoop</w:t>
      </w:r>
      <w:r w:rsidRPr="00B6039A">
        <w:t xml:space="preserve">. Retrieved from </w:t>
      </w:r>
      <w:hyperlink r:id="rId55" w:history="1">
        <w:r w:rsidRPr="00B6039A">
          <w:rPr>
            <w:rStyle w:val="Hyperlink"/>
          </w:rPr>
          <w:t>https://www.scoop.co.nz/stories/PA2007/S00288/government-removes-another-punitive-child-policy-from-welfare-system-to-put-children-first.htm</w:t>
        </w:r>
      </w:hyperlink>
    </w:p>
    <w:p w14:paraId="3CB00F82" w14:textId="77777777" w:rsidR="00302D18" w:rsidRPr="00B6039A" w:rsidRDefault="00302D18" w:rsidP="00302D18">
      <w:r w:rsidRPr="00B6039A">
        <w:t xml:space="preserve">New Zealand Parliament (2020). Hansard (Debates): </w:t>
      </w:r>
      <w:proofErr w:type="spellStart"/>
      <w:r w:rsidRPr="00B6039A">
        <w:t>Sepuloni</w:t>
      </w:r>
      <w:proofErr w:type="spellEnd"/>
      <w:r w:rsidRPr="00B6039A">
        <w:t xml:space="preserve">, Carmel. Retrieved from </w:t>
      </w:r>
      <w:hyperlink r:id="rId56" w:history="1">
        <w:r w:rsidRPr="00B6039A">
          <w:rPr>
            <w:rStyle w:val="Hyperlink"/>
          </w:rPr>
          <w:t>https://www.parliament.nz/en/pb/hansard-debates/rhr/document/HansS_20200305_053400000/sepuloni-carmel</w:t>
        </w:r>
      </w:hyperlink>
    </w:p>
    <w:p w14:paraId="494FD4F4" w14:textId="70BF3111" w:rsidR="00302D18" w:rsidRPr="00B6039A" w:rsidRDefault="00302D18" w:rsidP="00302D18">
      <w:pPr>
        <w:rPr>
          <w:rStyle w:val="Hyperlink"/>
        </w:rPr>
      </w:pPr>
      <w:r w:rsidRPr="00B6039A">
        <w:t xml:space="preserve">Palmer, S. (2019). Carmel </w:t>
      </w:r>
      <w:proofErr w:type="spellStart"/>
      <w:r w:rsidRPr="00B6039A">
        <w:t>Sepuloni</w:t>
      </w:r>
      <w:proofErr w:type="spellEnd"/>
      <w:r w:rsidRPr="00B6039A">
        <w:t xml:space="preserve"> defends not boosting benefits. </w:t>
      </w:r>
      <w:proofErr w:type="spellStart"/>
      <w:r w:rsidRPr="00B6039A">
        <w:rPr>
          <w:i/>
        </w:rPr>
        <w:t>Newshub</w:t>
      </w:r>
      <w:proofErr w:type="spellEnd"/>
      <w:r w:rsidR="00495370" w:rsidRPr="00B6039A">
        <w:rPr>
          <w:iCs/>
        </w:rPr>
        <w:t xml:space="preserve"> 23 Nov 2019</w:t>
      </w:r>
      <w:r w:rsidRPr="00B6039A">
        <w:rPr>
          <w:i/>
        </w:rPr>
        <w:t xml:space="preserve">. </w:t>
      </w:r>
      <w:r w:rsidRPr="00B6039A">
        <w:t xml:space="preserve">Retrieved from </w:t>
      </w:r>
      <w:hyperlink r:id="rId57" w:history="1">
        <w:r w:rsidRPr="00B6039A">
          <w:rPr>
            <w:rStyle w:val="Hyperlink"/>
          </w:rPr>
          <w:t>https://www.newshub.co.nz/home/politics/2019/11/carmel-sepuloni-defends-not-boosting-benefits.html</w:t>
        </w:r>
      </w:hyperlink>
    </w:p>
    <w:p w14:paraId="16A96F9B" w14:textId="7778FF89" w:rsidR="00302D18" w:rsidRPr="00B6039A" w:rsidRDefault="00302D18" w:rsidP="00302D18">
      <w:r w:rsidRPr="00B6039A">
        <w:t xml:space="preserve">RNZ (2018). Govt plans to build 6400 new state homes within four years. </w:t>
      </w:r>
      <w:r w:rsidR="00495370" w:rsidRPr="00B6039A">
        <w:rPr>
          <w:i/>
          <w:iCs/>
        </w:rPr>
        <w:t>RNZ</w:t>
      </w:r>
      <w:r w:rsidR="00495370" w:rsidRPr="00B6039A">
        <w:t xml:space="preserve"> 24 Aug 2018 </w:t>
      </w:r>
      <w:r w:rsidRPr="00B6039A">
        <w:t xml:space="preserve">Retrieved from </w:t>
      </w:r>
      <w:hyperlink r:id="rId58" w:history="1">
        <w:r w:rsidRPr="00B6039A">
          <w:rPr>
            <w:rStyle w:val="Hyperlink"/>
          </w:rPr>
          <w:t>https://www.rnz.co.nz/news/national/364835/govt-plans-to-build-6400-new-state-homes-within-four-years</w:t>
        </w:r>
      </w:hyperlink>
      <w:r w:rsidRPr="00B6039A">
        <w:t xml:space="preserve"> </w:t>
      </w:r>
    </w:p>
    <w:p w14:paraId="7D2B546A" w14:textId="1B05A8E8" w:rsidR="00302D18" w:rsidRPr="00B6039A" w:rsidRDefault="00302D18" w:rsidP="00302D18">
      <w:pPr>
        <w:rPr>
          <w:rStyle w:val="Hyperlink"/>
        </w:rPr>
      </w:pPr>
      <w:r w:rsidRPr="00B6039A">
        <w:t xml:space="preserve">Robson, S. (2020). Cautious approach taken to avoid beneficiary volunteering becoming ‘work for the dole’ scheme. </w:t>
      </w:r>
      <w:r w:rsidRPr="00B6039A">
        <w:rPr>
          <w:i/>
        </w:rPr>
        <w:t>RNZ</w:t>
      </w:r>
      <w:r w:rsidR="00495370" w:rsidRPr="00B6039A">
        <w:rPr>
          <w:i/>
        </w:rPr>
        <w:t xml:space="preserve"> </w:t>
      </w:r>
      <w:r w:rsidR="00495370" w:rsidRPr="00B6039A">
        <w:rPr>
          <w:iCs/>
        </w:rPr>
        <w:t>2 Sept 2020</w:t>
      </w:r>
      <w:r w:rsidRPr="00B6039A">
        <w:t xml:space="preserve">. Retrieved from </w:t>
      </w:r>
      <w:hyperlink r:id="rId59" w:history="1">
        <w:r w:rsidRPr="00B6039A">
          <w:rPr>
            <w:rStyle w:val="Hyperlink"/>
          </w:rPr>
          <w:t>https://www.rnz.co.nz/news/national/425029/cautious-approach-taken-to-avoid-beneficiary-volunteering-becoming-work-for-the-dole-scheme</w:t>
        </w:r>
      </w:hyperlink>
      <w:r w:rsidRPr="00B6039A">
        <w:rPr>
          <w:rStyle w:val="Hyperlink"/>
        </w:rPr>
        <w:t xml:space="preserve"> </w:t>
      </w:r>
    </w:p>
    <w:p w14:paraId="02524ED0" w14:textId="77777777" w:rsidR="00302D18" w:rsidRPr="00B6039A" w:rsidRDefault="00302D18" w:rsidP="00302D18">
      <w:proofErr w:type="spellStart"/>
      <w:r w:rsidRPr="00B6039A">
        <w:t>Sepuloni</w:t>
      </w:r>
      <w:proofErr w:type="spellEnd"/>
      <w:r w:rsidRPr="00B6039A">
        <w:t xml:space="preserve">, C. (2020). Government removes another punitive child policy from welfare system to put children first. </w:t>
      </w:r>
      <w:r w:rsidRPr="00B6039A">
        <w:rPr>
          <w:i/>
        </w:rPr>
        <w:t xml:space="preserve">Beehive.govt.nz. </w:t>
      </w:r>
      <w:r w:rsidRPr="00B6039A">
        <w:t xml:space="preserve">Retrieved from </w:t>
      </w:r>
      <w:hyperlink r:id="rId60" w:history="1">
        <w:r w:rsidRPr="00B6039A">
          <w:rPr>
            <w:rStyle w:val="Hyperlink"/>
          </w:rPr>
          <w:t>https://www.beehive.govt.nz/release/government-removes-another-punitive-child-policy-welfare-system-put-children-first</w:t>
        </w:r>
      </w:hyperlink>
    </w:p>
    <w:p w14:paraId="44679CA7" w14:textId="77777777" w:rsidR="00302D18" w:rsidRPr="00B6039A" w:rsidRDefault="00302D18" w:rsidP="00302D18">
      <w:pPr>
        <w:rPr>
          <w:rStyle w:val="Hyperlink"/>
        </w:rPr>
      </w:pPr>
      <w:r w:rsidRPr="00B6039A">
        <w:t xml:space="preserve">Stats NZ (2020). Labour market statistics: June 2020 quarter. Retrieved from </w:t>
      </w:r>
      <w:hyperlink r:id="rId61" w:history="1">
        <w:r w:rsidRPr="00B6039A">
          <w:rPr>
            <w:rStyle w:val="Hyperlink"/>
          </w:rPr>
          <w:t>https://www.stats.govt.nz/information-releases/labour-market-statistics-june-2020-quarter</w:t>
        </w:r>
      </w:hyperlink>
    </w:p>
    <w:p w14:paraId="4D3F5A94" w14:textId="45F4808F" w:rsidR="00654618" w:rsidRPr="00B6039A" w:rsidRDefault="00654618" w:rsidP="00302D18">
      <w:r w:rsidRPr="00B6039A">
        <w:t xml:space="preserve">St John, S. &amp; So, Y. (2018). Will children get the help they need? An analysis of effectiveness of policies for children in the worst poverty in 2018. </w:t>
      </w:r>
      <w:r w:rsidRPr="00B6039A">
        <w:rPr>
          <w:i/>
        </w:rPr>
        <w:t xml:space="preserve">Child Poverty Action Group. </w:t>
      </w:r>
      <w:r w:rsidRPr="00B6039A">
        <w:t xml:space="preserve">Retrieved from </w:t>
      </w:r>
      <w:hyperlink r:id="rId62" w:history="1">
        <w:r w:rsidRPr="00B6039A">
          <w:rPr>
            <w:rStyle w:val="Hyperlink"/>
          </w:rPr>
          <w:t>https://www.cpag.org.nz/assets/Backgrounders/180509%20CPAG%20Analysis%20Child%20poverty%20policies%20FINAL2.pdf</w:t>
        </w:r>
      </w:hyperlink>
      <w:r w:rsidRPr="00B6039A">
        <w:t xml:space="preserve"> </w:t>
      </w:r>
    </w:p>
    <w:p w14:paraId="55F19379" w14:textId="77777777" w:rsidR="00302D18" w:rsidRPr="00B6039A" w:rsidRDefault="00302D18" w:rsidP="00302D18">
      <w:r w:rsidRPr="00B6039A">
        <w:t xml:space="preserve">Tenancy Services (2020). Residential Tenancies Amendment Act 2020 now in force. Retrieved from </w:t>
      </w:r>
      <w:hyperlink r:id="rId63" w:history="1">
        <w:r w:rsidRPr="00B6039A">
          <w:rPr>
            <w:rStyle w:val="Hyperlink"/>
          </w:rPr>
          <w:t>https://www.tenancy.govt.nz/about-tenancy-services/news/residential-tenancies-amendment-act-2020-now-in-force/</w:t>
        </w:r>
      </w:hyperlink>
      <w:r w:rsidRPr="00B6039A">
        <w:t xml:space="preserve"> </w:t>
      </w:r>
    </w:p>
    <w:p w14:paraId="7110EC85" w14:textId="68A63240" w:rsidR="002E1F49" w:rsidRPr="00B6039A" w:rsidRDefault="002E1F49" w:rsidP="00302D18">
      <w:r w:rsidRPr="00B6039A">
        <w:t>Tertiary Education Commission (2020a). Reform of Vocational Education (</w:t>
      </w:r>
      <w:proofErr w:type="spellStart"/>
      <w:r w:rsidRPr="00B6039A">
        <w:t>RoVE</w:t>
      </w:r>
      <w:proofErr w:type="spellEnd"/>
      <w:r w:rsidRPr="00B6039A">
        <w:t xml:space="preserve">). Retrieved from </w:t>
      </w:r>
      <w:hyperlink r:id="rId64" w:history="1">
        <w:r w:rsidRPr="00B6039A">
          <w:rPr>
            <w:rStyle w:val="Hyperlink"/>
          </w:rPr>
          <w:t>https://www.tec.govt.nz/rove/reform-of-vocational-education/</w:t>
        </w:r>
      </w:hyperlink>
      <w:r w:rsidRPr="00B6039A">
        <w:t xml:space="preserve"> </w:t>
      </w:r>
    </w:p>
    <w:p w14:paraId="2FB37CDF" w14:textId="4AE2A6A1" w:rsidR="00302D18" w:rsidRPr="00B6039A" w:rsidRDefault="00302D18" w:rsidP="00302D18">
      <w:pPr>
        <w:rPr>
          <w:rStyle w:val="Hyperlink"/>
        </w:rPr>
      </w:pPr>
      <w:r w:rsidRPr="00B6039A">
        <w:t>Tertiary Education Commission (2020</w:t>
      </w:r>
      <w:r w:rsidR="002E1F49" w:rsidRPr="00B6039A">
        <w:t>b</w:t>
      </w:r>
      <w:r w:rsidRPr="00B6039A">
        <w:t xml:space="preserve">). Targeted Training and Apprenticeship Fund (free trades training). Retrieved from </w:t>
      </w:r>
      <w:hyperlink r:id="rId65" w:history="1">
        <w:r w:rsidRPr="00B6039A">
          <w:rPr>
            <w:rStyle w:val="Hyperlink"/>
          </w:rPr>
          <w:t>https://www.tec.govt.nz/funding/funding-and-performance/funding/fund-finder/targeted-training-and-apprenticeship-fund/</w:t>
        </w:r>
      </w:hyperlink>
    </w:p>
    <w:p w14:paraId="13CA50C7" w14:textId="77777777" w:rsidR="00302D18" w:rsidRPr="00B6039A" w:rsidRDefault="00302D18" w:rsidP="00302D18">
      <w:pPr>
        <w:rPr>
          <w:rStyle w:val="Hyperlink"/>
        </w:rPr>
      </w:pPr>
      <w:r w:rsidRPr="00B6039A">
        <w:t xml:space="preserve">The Treasury (2019). The Wellbeing Budget. Retrieved from </w:t>
      </w:r>
      <w:hyperlink r:id="rId66" w:history="1">
        <w:r w:rsidRPr="00B6039A">
          <w:rPr>
            <w:rStyle w:val="Hyperlink"/>
          </w:rPr>
          <w:t>https://www.treasury.govt.nz/sites/default/files/2019-06/b19-wellbeing-budget.pdf</w:t>
        </w:r>
      </w:hyperlink>
    </w:p>
    <w:p w14:paraId="2558C526" w14:textId="62B967D7" w:rsidR="00501E40" w:rsidRPr="00B6039A" w:rsidRDefault="00501E40" w:rsidP="00302D18">
      <w:pPr>
        <w:rPr>
          <w:rStyle w:val="Hyperlink"/>
          <w:color w:val="auto"/>
          <w:u w:val="none"/>
        </w:rPr>
      </w:pPr>
      <w:r w:rsidRPr="00B6039A">
        <w:t xml:space="preserve">The Treasury (2020). Future of Work Tripartite Forum. Retrieved from </w:t>
      </w:r>
      <w:hyperlink r:id="rId67" w:history="1">
        <w:r w:rsidRPr="00B6039A">
          <w:rPr>
            <w:rStyle w:val="Hyperlink"/>
          </w:rPr>
          <w:t>https://www.treasury.govt.nz/information-and-services/nz-economy/future-work-tripartite-forum</w:t>
        </w:r>
      </w:hyperlink>
      <w:r w:rsidRPr="00B6039A">
        <w:t xml:space="preserve"> </w:t>
      </w:r>
    </w:p>
    <w:p w14:paraId="22C21655" w14:textId="06DA5D8C" w:rsidR="008A5218" w:rsidRPr="00B6039A" w:rsidRDefault="008A5218" w:rsidP="00302D18">
      <w:r w:rsidRPr="00B6039A">
        <w:t xml:space="preserve">Wade, A. (2020). Election 2020: Labour unveils $1b plan for the welfare system. </w:t>
      </w:r>
      <w:r w:rsidRPr="00B6039A">
        <w:rPr>
          <w:i/>
        </w:rPr>
        <w:t>NZ Herald</w:t>
      </w:r>
      <w:r w:rsidR="00495370" w:rsidRPr="00B6039A">
        <w:rPr>
          <w:iCs/>
        </w:rPr>
        <w:t xml:space="preserve"> 12 Sept 2020</w:t>
      </w:r>
      <w:r w:rsidRPr="00B6039A">
        <w:rPr>
          <w:i/>
        </w:rPr>
        <w:t xml:space="preserve">. </w:t>
      </w:r>
      <w:r w:rsidRPr="00B6039A">
        <w:t xml:space="preserve">Retrieved from </w:t>
      </w:r>
      <w:hyperlink r:id="rId68" w:history="1">
        <w:r w:rsidRPr="00B6039A">
          <w:rPr>
            <w:rStyle w:val="Hyperlink"/>
          </w:rPr>
          <w:t>https://www.nzherald.co.nz/nz/politics/election-2020-labour-unveils-1b-plan-for-the-welfare-system/UCJUK2Y7HOK3IA27UDO2PPRV24/</w:t>
        </w:r>
      </w:hyperlink>
      <w:r w:rsidRPr="00B6039A">
        <w:t xml:space="preserve"> </w:t>
      </w:r>
    </w:p>
    <w:p w14:paraId="5389ACFF" w14:textId="77777777" w:rsidR="00302D18" w:rsidRPr="00B6039A" w:rsidRDefault="00302D18" w:rsidP="00302D18">
      <w:r w:rsidRPr="00B6039A">
        <w:t xml:space="preserve">Welfare Expert Advisory Group (2018). About the WEAG. Retrieved from </w:t>
      </w:r>
      <w:hyperlink r:id="rId69" w:history="1">
        <w:r w:rsidRPr="00B6039A">
          <w:rPr>
            <w:rStyle w:val="Hyperlink"/>
          </w:rPr>
          <w:t>http://www.weag.govt.nz/about-the-weag/</w:t>
        </w:r>
      </w:hyperlink>
    </w:p>
    <w:p w14:paraId="63BE9025" w14:textId="77777777" w:rsidR="00302D18" w:rsidRPr="00B6039A" w:rsidRDefault="00302D18" w:rsidP="00302D18">
      <w:pPr>
        <w:rPr>
          <w:rStyle w:val="Hyperlink"/>
        </w:rPr>
      </w:pPr>
      <w:r w:rsidRPr="00B6039A">
        <w:t xml:space="preserve">Welfare Expert Advisory Group (2019a). </w:t>
      </w:r>
      <w:r w:rsidRPr="00B6039A">
        <w:rPr>
          <w:i/>
        </w:rPr>
        <w:t>The income support system: Background paper</w:t>
      </w:r>
      <w:r w:rsidRPr="00B6039A">
        <w:t xml:space="preserve">. Retrieved from </w:t>
      </w:r>
      <w:hyperlink r:id="rId70" w:history="1">
        <w:r w:rsidRPr="00B6039A">
          <w:rPr>
            <w:rStyle w:val="Hyperlink"/>
          </w:rPr>
          <w:t>http://www.weag.govt.nz/assets/documents/WEAG-report/background-documents/757c27caff/Income-support-system-040319.pdf</w:t>
        </w:r>
      </w:hyperlink>
    </w:p>
    <w:p w14:paraId="20ACCFA8" w14:textId="77777777" w:rsidR="00302D18" w:rsidRPr="00B6039A" w:rsidRDefault="00302D18" w:rsidP="00302D18">
      <w:pPr>
        <w:rPr>
          <w:rStyle w:val="Hyperlink"/>
        </w:rPr>
      </w:pPr>
      <w:r w:rsidRPr="00B6039A">
        <w:t xml:space="preserve">Welfare Expert Advisory Group (2019b). </w:t>
      </w:r>
      <w:proofErr w:type="spellStart"/>
      <w:r w:rsidRPr="00B6039A">
        <w:rPr>
          <w:i/>
        </w:rPr>
        <w:t>Whakamana</w:t>
      </w:r>
      <w:proofErr w:type="spellEnd"/>
      <w:r w:rsidRPr="00B6039A">
        <w:rPr>
          <w:i/>
        </w:rPr>
        <w:t xml:space="preserve"> </w:t>
      </w:r>
      <w:proofErr w:type="spellStart"/>
      <w:r w:rsidRPr="00B6039A">
        <w:rPr>
          <w:i/>
        </w:rPr>
        <w:t>Tāngata</w:t>
      </w:r>
      <w:proofErr w:type="spellEnd"/>
      <w:r w:rsidRPr="00B6039A">
        <w:rPr>
          <w:i/>
        </w:rPr>
        <w:t xml:space="preserve">: Restoring Dignity to Social Security in New Zealand. </w:t>
      </w:r>
      <w:r w:rsidRPr="00B6039A">
        <w:t xml:space="preserve">Retrieved from </w:t>
      </w:r>
      <w:hyperlink r:id="rId71" w:history="1">
        <w:r w:rsidRPr="00B6039A">
          <w:rPr>
            <w:rStyle w:val="Hyperlink"/>
          </w:rPr>
          <w:t>http://www.weag.govt.nz/assets/documents/WEAG-report/aed960c3ce/WEAG-Report.pdf</w:t>
        </w:r>
      </w:hyperlink>
    </w:p>
    <w:p w14:paraId="696A3A95" w14:textId="0DB9FBD0" w:rsidR="00302D18" w:rsidRPr="00B6039A" w:rsidRDefault="00302D18" w:rsidP="003979B4">
      <w:r w:rsidRPr="00B6039A">
        <w:t xml:space="preserve">Work and Income (2020b). Stand-down periods. Retrieved from </w:t>
      </w:r>
      <w:hyperlink r:id="rId72" w:anchor="null" w:history="1">
        <w:r w:rsidRPr="00B6039A">
          <w:rPr>
            <w:rStyle w:val="Hyperlink"/>
          </w:rPr>
          <w:t>https://www.workandincome.govt.nz/online-services/apply/what-is-a-stand-down.html#null</w:t>
        </w:r>
      </w:hyperlink>
    </w:p>
    <w:sectPr w:rsidR="00302D18" w:rsidRPr="00B6039A" w:rsidSect="00762E7A">
      <w:headerReference w:type="default" r:id="rId7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37E2" w14:textId="77777777" w:rsidR="00225E13" w:rsidRDefault="00225E13" w:rsidP="00DC4BF1">
      <w:r>
        <w:separator/>
      </w:r>
    </w:p>
  </w:endnote>
  <w:endnote w:type="continuationSeparator" w:id="0">
    <w:p w14:paraId="0D8A4A6D" w14:textId="77777777" w:rsidR="00225E13" w:rsidRDefault="00225E13" w:rsidP="00DC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useo Sans 7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Raleway">
    <w:altName w:val="Ralew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827814"/>
      <w:docPartObj>
        <w:docPartGallery w:val="Page Numbers (Bottom of Page)"/>
        <w:docPartUnique/>
      </w:docPartObj>
    </w:sdtPr>
    <w:sdtEndPr>
      <w:rPr>
        <w:noProof/>
      </w:rPr>
    </w:sdtEndPr>
    <w:sdtContent>
      <w:p w14:paraId="544B92B3" w14:textId="07F64E67" w:rsidR="00C0603E" w:rsidRDefault="00C0603E">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18AB1501" w14:textId="77777777" w:rsidR="00C0603E" w:rsidRDefault="00C06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DD73E" w14:textId="77777777" w:rsidR="00225E13" w:rsidRDefault="00225E13" w:rsidP="00DC4BF1">
      <w:r>
        <w:separator/>
      </w:r>
    </w:p>
  </w:footnote>
  <w:footnote w:type="continuationSeparator" w:id="0">
    <w:p w14:paraId="53CAD41B" w14:textId="77777777" w:rsidR="00225E13" w:rsidRDefault="00225E13" w:rsidP="00DC4BF1">
      <w:r>
        <w:continuationSeparator/>
      </w:r>
    </w:p>
  </w:footnote>
  <w:footnote w:id="1">
    <w:p w14:paraId="5794B6F0" w14:textId="77777777" w:rsidR="00C0603E" w:rsidRPr="00483503" w:rsidRDefault="00C0603E" w:rsidP="001A54CB">
      <w:pPr>
        <w:pStyle w:val="FootnoteText"/>
        <w:rPr>
          <w:lang w:val="en-US"/>
        </w:rPr>
      </w:pPr>
      <w:r>
        <w:rPr>
          <w:rStyle w:val="FootnoteReference"/>
        </w:rPr>
        <w:footnoteRef/>
      </w:r>
      <w:r>
        <w:t xml:space="preserve"> </w:t>
      </w:r>
      <w:r>
        <w:rPr>
          <w:lang w:val="en-US"/>
        </w:rPr>
        <w:t>New Zealand Government (2018).</w:t>
      </w:r>
    </w:p>
  </w:footnote>
  <w:footnote w:id="2">
    <w:p w14:paraId="143D87A4" w14:textId="735E1023" w:rsidR="00C0603E" w:rsidRPr="00116F36" w:rsidRDefault="00C0603E">
      <w:pPr>
        <w:pStyle w:val="FootnoteText"/>
        <w:rPr>
          <w:lang w:val="mi-NZ"/>
        </w:rPr>
      </w:pPr>
      <w:r>
        <w:rPr>
          <w:rStyle w:val="FootnoteReference"/>
        </w:rPr>
        <w:footnoteRef/>
      </w:r>
      <w:r>
        <w:t xml:space="preserve"> </w:t>
      </w:r>
      <w:proofErr w:type="spellStart"/>
      <w:r>
        <w:rPr>
          <w:lang w:val="mi-NZ"/>
        </w:rPr>
        <w:t>Ministry</w:t>
      </w:r>
      <w:proofErr w:type="spellEnd"/>
      <w:r>
        <w:rPr>
          <w:lang w:val="mi-NZ"/>
        </w:rPr>
        <w:t xml:space="preserve"> </w:t>
      </w:r>
      <w:proofErr w:type="spellStart"/>
      <w:r>
        <w:rPr>
          <w:lang w:val="mi-NZ"/>
        </w:rPr>
        <w:t>of</w:t>
      </w:r>
      <w:proofErr w:type="spellEnd"/>
      <w:r>
        <w:rPr>
          <w:lang w:val="mi-NZ"/>
        </w:rPr>
        <w:t xml:space="preserve"> </w:t>
      </w:r>
      <w:proofErr w:type="spellStart"/>
      <w:r>
        <w:rPr>
          <w:lang w:val="mi-NZ"/>
        </w:rPr>
        <w:t>Social</w:t>
      </w:r>
      <w:proofErr w:type="spellEnd"/>
      <w:r>
        <w:rPr>
          <w:lang w:val="mi-NZ"/>
        </w:rPr>
        <w:t xml:space="preserve"> </w:t>
      </w:r>
      <w:proofErr w:type="spellStart"/>
      <w:r>
        <w:rPr>
          <w:lang w:val="mi-NZ"/>
        </w:rPr>
        <w:t>Development</w:t>
      </w:r>
      <w:proofErr w:type="spellEnd"/>
      <w:r>
        <w:rPr>
          <w:lang w:val="mi-NZ"/>
        </w:rPr>
        <w:t xml:space="preserve"> (2019a).</w:t>
      </w:r>
    </w:p>
  </w:footnote>
  <w:footnote w:id="3">
    <w:p w14:paraId="3920571F" w14:textId="77777777" w:rsidR="00C0603E" w:rsidRPr="004D2883" w:rsidRDefault="00C0603E" w:rsidP="00AE527C">
      <w:pPr>
        <w:pStyle w:val="FootnoteText"/>
        <w:rPr>
          <w:lang w:val="mi-NZ"/>
        </w:rPr>
      </w:pPr>
      <w:r>
        <w:rPr>
          <w:rStyle w:val="FootnoteReference"/>
        </w:rPr>
        <w:footnoteRef/>
      </w:r>
      <w:r>
        <w:t xml:space="preserve"> </w:t>
      </w:r>
      <w:proofErr w:type="spellStart"/>
      <w:r>
        <w:rPr>
          <w:lang w:val="mi-NZ"/>
        </w:rPr>
        <w:t>Welfare</w:t>
      </w:r>
      <w:proofErr w:type="spellEnd"/>
      <w:r>
        <w:rPr>
          <w:lang w:val="mi-NZ"/>
        </w:rPr>
        <w:t xml:space="preserve"> </w:t>
      </w:r>
      <w:proofErr w:type="spellStart"/>
      <w:r>
        <w:rPr>
          <w:lang w:val="mi-NZ"/>
        </w:rPr>
        <w:t>Expert</w:t>
      </w:r>
      <w:proofErr w:type="spellEnd"/>
      <w:r>
        <w:rPr>
          <w:lang w:val="mi-NZ"/>
        </w:rPr>
        <w:t xml:space="preserve"> </w:t>
      </w:r>
      <w:proofErr w:type="spellStart"/>
      <w:r>
        <w:rPr>
          <w:lang w:val="mi-NZ"/>
        </w:rPr>
        <w:t>Advisory</w:t>
      </w:r>
      <w:proofErr w:type="spellEnd"/>
      <w:r>
        <w:rPr>
          <w:lang w:val="mi-NZ"/>
        </w:rPr>
        <w:t xml:space="preserve"> </w:t>
      </w:r>
      <w:proofErr w:type="spellStart"/>
      <w:r>
        <w:rPr>
          <w:lang w:val="mi-NZ"/>
        </w:rPr>
        <w:t>Group</w:t>
      </w:r>
      <w:proofErr w:type="spellEnd"/>
      <w:r>
        <w:rPr>
          <w:lang w:val="mi-NZ"/>
        </w:rPr>
        <w:t xml:space="preserve"> (2019b). </w:t>
      </w:r>
    </w:p>
  </w:footnote>
  <w:footnote w:id="4">
    <w:p w14:paraId="28BB1336" w14:textId="77777777" w:rsidR="00C0603E" w:rsidRPr="002B6CFB" w:rsidRDefault="00C0603E" w:rsidP="00AE527C">
      <w:pPr>
        <w:pStyle w:val="FootnoteText"/>
        <w:rPr>
          <w:lang w:val="en-US"/>
        </w:rPr>
      </w:pPr>
      <w:r>
        <w:rPr>
          <w:rStyle w:val="FootnoteReference"/>
        </w:rPr>
        <w:footnoteRef/>
      </w:r>
      <w:r>
        <w:t xml:space="preserve"> New Zealand Government (2017). </w:t>
      </w:r>
    </w:p>
  </w:footnote>
  <w:footnote w:id="5">
    <w:p w14:paraId="6355E8EE" w14:textId="77777777" w:rsidR="00C0603E" w:rsidRPr="003B45CA" w:rsidRDefault="00C0603E" w:rsidP="00AC2312">
      <w:pPr>
        <w:pStyle w:val="FootnoteText"/>
        <w:rPr>
          <w:lang w:val="en-US"/>
        </w:rPr>
      </w:pPr>
      <w:r>
        <w:rPr>
          <w:rStyle w:val="FootnoteReference"/>
        </w:rPr>
        <w:footnoteRef/>
      </w:r>
      <w:r>
        <w:t xml:space="preserve"> Ardern (2017). </w:t>
      </w:r>
    </w:p>
  </w:footnote>
  <w:footnote w:id="6">
    <w:p w14:paraId="71D5DD15" w14:textId="77777777" w:rsidR="00C0603E" w:rsidRPr="0085101C" w:rsidRDefault="00C0603E" w:rsidP="00AC2312">
      <w:pPr>
        <w:pStyle w:val="FootnoteText"/>
        <w:rPr>
          <w:lang w:val="en-US"/>
        </w:rPr>
      </w:pPr>
      <w:r>
        <w:rPr>
          <w:rStyle w:val="FootnoteReference"/>
        </w:rPr>
        <w:footnoteRef/>
      </w:r>
      <w:r>
        <w:t xml:space="preserve"> </w:t>
      </w:r>
      <w:proofErr w:type="spellStart"/>
      <w:r>
        <w:rPr>
          <w:lang w:val="mi-NZ"/>
        </w:rPr>
        <w:t>Welfare</w:t>
      </w:r>
      <w:proofErr w:type="spellEnd"/>
      <w:r>
        <w:rPr>
          <w:lang w:val="mi-NZ"/>
        </w:rPr>
        <w:t xml:space="preserve"> </w:t>
      </w:r>
      <w:proofErr w:type="spellStart"/>
      <w:r>
        <w:rPr>
          <w:lang w:val="mi-NZ"/>
        </w:rPr>
        <w:t>Expert</w:t>
      </w:r>
      <w:proofErr w:type="spellEnd"/>
      <w:r>
        <w:rPr>
          <w:lang w:val="mi-NZ"/>
        </w:rPr>
        <w:t xml:space="preserve"> </w:t>
      </w:r>
      <w:proofErr w:type="spellStart"/>
      <w:r>
        <w:rPr>
          <w:lang w:val="mi-NZ"/>
        </w:rPr>
        <w:t>Advisory</w:t>
      </w:r>
      <w:proofErr w:type="spellEnd"/>
      <w:r>
        <w:rPr>
          <w:lang w:val="mi-NZ"/>
        </w:rPr>
        <w:t xml:space="preserve"> </w:t>
      </w:r>
      <w:proofErr w:type="spellStart"/>
      <w:r>
        <w:rPr>
          <w:lang w:val="mi-NZ"/>
        </w:rPr>
        <w:t>Group</w:t>
      </w:r>
      <w:proofErr w:type="spellEnd"/>
      <w:r>
        <w:rPr>
          <w:lang w:val="mi-NZ"/>
        </w:rPr>
        <w:t xml:space="preserve"> (2019b).</w:t>
      </w:r>
    </w:p>
  </w:footnote>
  <w:footnote w:id="7">
    <w:p w14:paraId="55F0668F" w14:textId="4897D551" w:rsidR="00C0603E" w:rsidRPr="00321D8A" w:rsidRDefault="00C0603E" w:rsidP="006A6A95">
      <w:pPr>
        <w:pStyle w:val="FootnoteText"/>
        <w:rPr>
          <w:lang w:val="mi-NZ"/>
        </w:rPr>
      </w:pPr>
      <w:r>
        <w:rPr>
          <w:rStyle w:val="FootnoteReference"/>
        </w:rPr>
        <w:footnoteRef/>
      </w:r>
      <w:r>
        <w:t xml:space="preserve"> DPMC (2019). </w:t>
      </w:r>
    </w:p>
  </w:footnote>
  <w:footnote w:id="8">
    <w:p w14:paraId="32B8B6CC" w14:textId="54676CBD" w:rsidR="00C0603E" w:rsidRPr="00276718" w:rsidRDefault="00C0603E" w:rsidP="00947B4D">
      <w:pPr>
        <w:pStyle w:val="FootnoteText"/>
        <w:rPr>
          <w:lang w:val="en-US"/>
        </w:rPr>
      </w:pPr>
      <w:r>
        <w:rPr>
          <w:rStyle w:val="FootnoteReference"/>
        </w:rPr>
        <w:footnoteRef/>
      </w:r>
      <w:r>
        <w:t xml:space="preserve"> New Zealand Government (2018). </w:t>
      </w:r>
    </w:p>
  </w:footnote>
  <w:footnote w:id="9">
    <w:p w14:paraId="4F033930" w14:textId="6BC13AAD" w:rsidR="00C0603E" w:rsidRPr="00D71DCF" w:rsidRDefault="00C0603E">
      <w:pPr>
        <w:pStyle w:val="FootnoteText"/>
        <w:rPr>
          <w:lang w:val="en-US"/>
        </w:rPr>
      </w:pPr>
      <w:r>
        <w:rPr>
          <w:rStyle w:val="FootnoteReference"/>
        </w:rPr>
        <w:footnoteRef/>
      </w:r>
      <w:r>
        <w:t xml:space="preserve"> </w:t>
      </w:r>
      <w:r>
        <w:rPr>
          <w:lang w:val="en-US"/>
        </w:rPr>
        <w:t xml:space="preserve">New Zealand Government (2017). </w:t>
      </w:r>
    </w:p>
  </w:footnote>
  <w:footnote w:id="10">
    <w:p w14:paraId="2DCD7532" w14:textId="024D8E5B" w:rsidR="00C0603E" w:rsidRPr="00FE7B88" w:rsidRDefault="00C0603E">
      <w:pPr>
        <w:pStyle w:val="FootnoteText"/>
        <w:rPr>
          <w:lang w:val="mi-NZ"/>
        </w:rPr>
      </w:pPr>
      <w:r>
        <w:rPr>
          <w:rStyle w:val="FootnoteReference"/>
        </w:rPr>
        <w:footnoteRef/>
      </w:r>
      <w:r>
        <w:t xml:space="preserve"> New Zealand Government (2017). </w:t>
      </w:r>
    </w:p>
  </w:footnote>
  <w:footnote w:id="11">
    <w:p w14:paraId="327A835E" w14:textId="77777777" w:rsidR="00C0603E" w:rsidRPr="00974BBA" w:rsidRDefault="00C0603E" w:rsidP="00B00A36">
      <w:pPr>
        <w:pStyle w:val="FootnoteText"/>
        <w:rPr>
          <w:lang w:val="en-US"/>
        </w:rPr>
      </w:pPr>
      <w:r>
        <w:rPr>
          <w:rStyle w:val="FootnoteReference"/>
        </w:rPr>
        <w:footnoteRef/>
      </w:r>
      <w:r>
        <w:t xml:space="preserve"> Welfare Expert Advisory Group (2018). </w:t>
      </w:r>
    </w:p>
  </w:footnote>
  <w:footnote w:id="12">
    <w:p w14:paraId="210E7D66" w14:textId="77777777" w:rsidR="00C0603E" w:rsidRPr="00483503" w:rsidRDefault="00C0603E" w:rsidP="00B00A36">
      <w:pPr>
        <w:pStyle w:val="FootnoteText"/>
        <w:rPr>
          <w:lang w:val="en-US"/>
        </w:rPr>
      </w:pPr>
      <w:r>
        <w:rPr>
          <w:rStyle w:val="FootnoteReference"/>
        </w:rPr>
        <w:footnoteRef/>
      </w:r>
      <w:r>
        <w:t xml:space="preserve"> </w:t>
      </w:r>
      <w:r>
        <w:rPr>
          <w:lang w:val="en-US"/>
        </w:rPr>
        <w:t>New Zealand Government (2018).</w:t>
      </w:r>
    </w:p>
  </w:footnote>
  <w:footnote w:id="13">
    <w:p w14:paraId="5F5EF04B" w14:textId="77777777" w:rsidR="00C0603E" w:rsidRPr="00727008" w:rsidRDefault="00C0603E" w:rsidP="006154DD">
      <w:pPr>
        <w:pStyle w:val="FootnoteText"/>
        <w:rPr>
          <w:lang w:val="en-US"/>
        </w:rPr>
      </w:pPr>
      <w:r>
        <w:rPr>
          <w:rStyle w:val="FootnoteReference"/>
        </w:rPr>
        <w:footnoteRef/>
      </w:r>
      <w:r>
        <w:t xml:space="preserve"> </w:t>
      </w:r>
      <w:proofErr w:type="spellStart"/>
      <w:r w:rsidRPr="00C422C7">
        <w:rPr>
          <w:lang w:val="mi-NZ"/>
        </w:rPr>
        <w:t>Welfare</w:t>
      </w:r>
      <w:proofErr w:type="spellEnd"/>
      <w:r w:rsidRPr="00C422C7">
        <w:rPr>
          <w:lang w:val="mi-NZ"/>
        </w:rPr>
        <w:t xml:space="preserve"> </w:t>
      </w:r>
      <w:proofErr w:type="spellStart"/>
      <w:r w:rsidRPr="00C422C7">
        <w:rPr>
          <w:lang w:val="mi-NZ"/>
        </w:rPr>
        <w:t>Expert</w:t>
      </w:r>
      <w:proofErr w:type="spellEnd"/>
      <w:r w:rsidRPr="00C422C7">
        <w:rPr>
          <w:lang w:val="mi-NZ"/>
        </w:rPr>
        <w:t xml:space="preserve"> </w:t>
      </w:r>
      <w:proofErr w:type="spellStart"/>
      <w:r w:rsidRPr="00C422C7">
        <w:rPr>
          <w:lang w:val="mi-NZ"/>
        </w:rPr>
        <w:t>Advisory</w:t>
      </w:r>
      <w:proofErr w:type="spellEnd"/>
      <w:r w:rsidRPr="00C422C7">
        <w:rPr>
          <w:lang w:val="mi-NZ"/>
        </w:rPr>
        <w:t xml:space="preserve"> </w:t>
      </w:r>
      <w:proofErr w:type="spellStart"/>
      <w:r w:rsidRPr="00C422C7">
        <w:rPr>
          <w:lang w:val="mi-NZ"/>
        </w:rPr>
        <w:t>Group</w:t>
      </w:r>
      <w:proofErr w:type="spellEnd"/>
      <w:r w:rsidRPr="00C422C7">
        <w:rPr>
          <w:lang w:val="mi-NZ"/>
        </w:rPr>
        <w:t xml:space="preserve"> (2019</w:t>
      </w:r>
      <w:r>
        <w:rPr>
          <w:lang w:val="mi-NZ"/>
        </w:rPr>
        <w:t>b</w:t>
      </w:r>
      <w:r w:rsidRPr="00C422C7">
        <w:rPr>
          <w:lang w:val="mi-NZ"/>
        </w:rPr>
        <w:t xml:space="preserve">). </w:t>
      </w:r>
    </w:p>
  </w:footnote>
  <w:footnote w:id="14">
    <w:p w14:paraId="560A472B" w14:textId="77777777" w:rsidR="00C0603E" w:rsidRPr="004B4122" w:rsidRDefault="00C0603E" w:rsidP="00020009">
      <w:pPr>
        <w:pStyle w:val="FootnoteText"/>
        <w:rPr>
          <w:lang w:val="mi-NZ"/>
        </w:rPr>
      </w:pPr>
      <w:r>
        <w:rPr>
          <w:rStyle w:val="FootnoteReference"/>
        </w:rPr>
        <w:footnoteRef/>
      </w:r>
      <w:r>
        <w:t xml:space="preserve"> </w:t>
      </w:r>
      <w:proofErr w:type="spellStart"/>
      <w:r>
        <w:rPr>
          <w:lang w:val="mi-NZ"/>
        </w:rPr>
        <w:t>St</w:t>
      </w:r>
      <w:proofErr w:type="spellEnd"/>
      <w:r>
        <w:rPr>
          <w:lang w:val="mi-NZ"/>
        </w:rPr>
        <w:t xml:space="preserve"> </w:t>
      </w:r>
      <w:proofErr w:type="spellStart"/>
      <w:r>
        <w:rPr>
          <w:lang w:val="mi-NZ"/>
        </w:rPr>
        <w:t>John</w:t>
      </w:r>
      <w:proofErr w:type="spellEnd"/>
      <w:r>
        <w:rPr>
          <w:lang w:val="mi-NZ"/>
        </w:rPr>
        <w:t xml:space="preserve"> &amp; </w:t>
      </w:r>
      <w:proofErr w:type="spellStart"/>
      <w:r>
        <w:rPr>
          <w:lang w:val="mi-NZ"/>
        </w:rPr>
        <w:t>So</w:t>
      </w:r>
      <w:proofErr w:type="spellEnd"/>
      <w:r>
        <w:rPr>
          <w:lang w:val="mi-NZ"/>
        </w:rPr>
        <w:t xml:space="preserve"> (2018).</w:t>
      </w:r>
    </w:p>
  </w:footnote>
  <w:footnote w:id="15">
    <w:p w14:paraId="74E8A1E2" w14:textId="77777777" w:rsidR="00C0603E" w:rsidRPr="004F2A08" w:rsidRDefault="00C0603E" w:rsidP="00B00A36">
      <w:pPr>
        <w:pStyle w:val="FootnoteText"/>
        <w:rPr>
          <w:lang w:val="mi-NZ"/>
        </w:rPr>
      </w:pPr>
      <w:r>
        <w:rPr>
          <w:rStyle w:val="FootnoteReference"/>
        </w:rPr>
        <w:footnoteRef/>
      </w:r>
      <w:r>
        <w:t xml:space="preserve"> </w:t>
      </w:r>
      <w:proofErr w:type="spellStart"/>
      <w:r>
        <w:rPr>
          <w:lang w:val="mi-NZ"/>
        </w:rPr>
        <w:t>Welfare</w:t>
      </w:r>
      <w:proofErr w:type="spellEnd"/>
      <w:r>
        <w:rPr>
          <w:lang w:val="mi-NZ"/>
        </w:rPr>
        <w:t xml:space="preserve"> </w:t>
      </w:r>
      <w:proofErr w:type="spellStart"/>
      <w:r>
        <w:rPr>
          <w:lang w:val="mi-NZ"/>
        </w:rPr>
        <w:t>Expert</w:t>
      </w:r>
      <w:proofErr w:type="spellEnd"/>
      <w:r>
        <w:rPr>
          <w:lang w:val="mi-NZ"/>
        </w:rPr>
        <w:t xml:space="preserve"> </w:t>
      </w:r>
      <w:proofErr w:type="spellStart"/>
      <w:r>
        <w:rPr>
          <w:lang w:val="mi-NZ"/>
        </w:rPr>
        <w:t>Advisory</w:t>
      </w:r>
      <w:proofErr w:type="spellEnd"/>
      <w:r>
        <w:rPr>
          <w:lang w:val="mi-NZ"/>
        </w:rPr>
        <w:t xml:space="preserve"> </w:t>
      </w:r>
      <w:proofErr w:type="spellStart"/>
      <w:r>
        <w:rPr>
          <w:lang w:val="mi-NZ"/>
        </w:rPr>
        <w:t>Group</w:t>
      </w:r>
      <w:proofErr w:type="spellEnd"/>
      <w:r>
        <w:rPr>
          <w:lang w:val="mi-NZ"/>
        </w:rPr>
        <w:t xml:space="preserve"> (2019b).</w:t>
      </w:r>
    </w:p>
  </w:footnote>
  <w:footnote w:id="16">
    <w:p w14:paraId="1B976054" w14:textId="77777777" w:rsidR="00C0603E" w:rsidRPr="002213F0" w:rsidRDefault="00C0603E" w:rsidP="00B00A36">
      <w:pPr>
        <w:pStyle w:val="FootnoteText"/>
        <w:rPr>
          <w:lang w:val="en-US"/>
        </w:rPr>
      </w:pPr>
      <w:r>
        <w:rPr>
          <w:rStyle w:val="FootnoteReference"/>
        </w:rPr>
        <w:footnoteRef/>
      </w:r>
      <w:r>
        <w:t xml:space="preserve"> </w:t>
      </w:r>
      <w:r>
        <w:rPr>
          <w:lang w:val="en-US"/>
        </w:rPr>
        <w:t>Welfare Expert Advisory Group (2019b), pp. 7.</w:t>
      </w:r>
    </w:p>
  </w:footnote>
  <w:footnote w:id="17">
    <w:p w14:paraId="1957287F" w14:textId="77777777" w:rsidR="00C0603E" w:rsidRPr="005432BE" w:rsidRDefault="00C0603E" w:rsidP="00B00A36">
      <w:pPr>
        <w:pStyle w:val="FootnoteText"/>
        <w:rPr>
          <w:lang w:val="en-US"/>
        </w:rPr>
      </w:pPr>
      <w:r>
        <w:rPr>
          <w:rStyle w:val="FootnoteReference"/>
        </w:rPr>
        <w:footnoteRef/>
      </w:r>
      <w:r>
        <w:t xml:space="preserve"> </w:t>
      </w:r>
      <w:proofErr w:type="spellStart"/>
      <w:r>
        <w:rPr>
          <w:lang w:val="mi-NZ"/>
        </w:rPr>
        <w:t>Welfare</w:t>
      </w:r>
      <w:proofErr w:type="spellEnd"/>
      <w:r>
        <w:rPr>
          <w:lang w:val="mi-NZ"/>
        </w:rPr>
        <w:t xml:space="preserve"> </w:t>
      </w:r>
      <w:proofErr w:type="spellStart"/>
      <w:r>
        <w:rPr>
          <w:lang w:val="mi-NZ"/>
        </w:rPr>
        <w:t>Expert</w:t>
      </w:r>
      <w:proofErr w:type="spellEnd"/>
      <w:r>
        <w:rPr>
          <w:lang w:val="mi-NZ"/>
        </w:rPr>
        <w:t xml:space="preserve"> </w:t>
      </w:r>
      <w:proofErr w:type="spellStart"/>
      <w:r>
        <w:rPr>
          <w:lang w:val="mi-NZ"/>
        </w:rPr>
        <w:t>Advisory</w:t>
      </w:r>
      <w:proofErr w:type="spellEnd"/>
      <w:r>
        <w:rPr>
          <w:lang w:val="mi-NZ"/>
        </w:rPr>
        <w:t xml:space="preserve"> </w:t>
      </w:r>
      <w:proofErr w:type="spellStart"/>
      <w:r>
        <w:rPr>
          <w:lang w:val="mi-NZ"/>
        </w:rPr>
        <w:t>Group</w:t>
      </w:r>
      <w:proofErr w:type="spellEnd"/>
      <w:r>
        <w:rPr>
          <w:lang w:val="mi-NZ"/>
        </w:rPr>
        <w:t xml:space="preserve"> (2019b).</w:t>
      </w:r>
    </w:p>
  </w:footnote>
  <w:footnote w:id="18">
    <w:p w14:paraId="6E29A158" w14:textId="77777777" w:rsidR="00C0603E" w:rsidRPr="00A1182B" w:rsidRDefault="00C0603E" w:rsidP="00B00A36">
      <w:pPr>
        <w:pStyle w:val="FootnoteText"/>
        <w:rPr>
          <w:lang w:val="mi-NZ"/>
        </w:rPr>
      </w:pPr>
      <w:r>
        <w:rPr>
          <w:rStyle w:val="FootnoteReference"/>
        </w:rPr>
        <w:footnoteRef/>
      </w:r>
      <w:r>
        <w:t xml:space="preserve"> Welfare Expert Advisory Group (2019a). </w:t>
      </w:r>
    </w:p>
  </w:footnote>
  <w:footnote w:id="19">
    <w:p w14:paraId="63B59EF2" w14:textId="77777777" w:rsidR="00C0603E" w:rsidRPr="006A2A8D" w:rsidRDefault="00C0603E" w:rsidP="00B00A36">
      <w:pPr>
        <w:pStyle w:val="FootnoteText"/>
        <w:rPr>
          <w:lang w:val="mi-NZ"/>
        </w:rPr>
      </w:pPr>
      <w:r>
        <w:rPr>
          <w:rStyle w:val="FootnoteReference"/>
        </w:rPr>
        <w:footnoteRef/>
      </w:r>
      <w:r>
        <w:t xml:space="preserve"> </w:t>
      </w:r>
      <w:proofErr w:type="spellStart"/>
      <w:r w:rsidRPr="00C422C7">
        <w:rPr>
          <w:lang w:val="mi-NZ"/>
        </w:rPr>
        <w:t>Welfare</w:t>
      </w:r>
      <w:proofErr w:type="spellEnd"/>
      <w:r w:rsidRPr="00C422C7">
        <w:rPr>
          <w:lang w:val="mi-NZ"/>
        </w:rPr>
        <w:t xml:space="preserve"> </w:t>
      </w:r>
      <w:proofErr w:type="spellStart"/>
      <w:r w:rsidRPr="00C422C7">
        <w:rPr>
          <w:lang w:val="mi-NZ"/>
        </w:rPr>
        <w:t>Expert</w:t>
      </w:r>
      <w:proofErr w:type="spellEnd"/>
      <w:r w:rsidRPr="00C422C7">
        <w:rPr>
          <w:lang w:val="mi-NZ"/>
        </w:rPr>
        <w:t xml:space="preserve"> </w:t>
      </w:r>
      <w:proofErr w:type="spellStart"/>
      <w:r w:rsidRPr="00C422C7">
        <w:rPr>
          <w:lang w:val="mi-NZ"/>
        </w:rPr>
        <w:t>Advisory</w:t>
      </w:r>
      <w:proofErr w:type="spellEnd"/>
      <w:r w:rsidRPr="00C422C7">
        <w:rPr>
          <w:lang w:val="mi-NZ"/>
        </w:rPr>
        <w:t xml:space="preserve"> </w:t>
      </w:r>
      <w:proofErr w:type="spellStart"/>
      <w:r w:rsidRPr="00C422C7">
        <w:rPr>
          <w:lang w:val="mi-NZ"/>
        </w:rPr>
        <w:t>Group</w:t>
      </w:r>
      <w:proofErr w:type="spellEnd"/>
      <w:r w:rsidRPr="00C422C7">
        <w:rPr>
          <w:lang w:val="mi-NZ"/>
        </w:rPr>
        <w:t xml:space="preserve"> (2019</w:t>
      </w:r>
      <w:r>
        <w:rPr>
          <w:lang w:val="mi-NZ"/>
        </w:rPr>
        <w:t>b</w:t>
      </w:r>
      <w:r w:rsidRPr="00C422C7">
        <w:rPr>
          <w:lang w:val="mi-NZ"/>
        </w:rPr>
        <w:t>)</w:t>
      </w:r>
      <w:r>
        <w:rPr>
          <w:lang w:val="mi-NZ"/>
        </w:rPr>
        <w:t xml:space="preserve">, </w:t>
      </w:r>
      <w:proofErr w:type="spellStart"/>
      <w:r>
        <w:rPr>
          <w:lang w:val="mi-NZ"/>
        </w:rPr>
        <w:t>pp</w:t>
      </w:r>
      <w:proofErr w:type="spellEnd"/>
      <w:r>
        <w:rPr>
          <w:lang w:val="mi-NZ"/>
        </w:rPr>
        <w:t>. 192.</w:t>
      </w:r>
    </w:p>
  </w:footnote>
  <w:footnote w:id="20">
    <w:p w14:paraId="5DB9D8F4" w14:textId="610F9A3B" w:rsidR="00C0603E" w:rsidRPr="00140CE9" w:rsidRDefault="00C0603E">
      <w:pPr>
        <w:pStyle w:val="FootnoteText"/>
        <w:rPr>
          <w:lang w:val="en-US"/>
        </w:rPr>
      </w:pPr>
      <w:r>
        <w:rPr>
          <w:rStyle w:val="FootnoteReference"/>
        </w:rPr>
        <w:footnoteRef/>
      </w:r>
      <w:r>
        <w:t xml:space="preserve"> </w:t>
      </w:r>
      <w:proofErr w:type="spellStart"/>
      <w:r>
        <w:rPr>
          <w:lang w:val="en-US"/>
        </w:rPr>
        <w:t>Sepuloni</w:t>
      </w:r>
      <w:proofErr w:type="spellEnd"/>
      <w:r>
        <w:rPr>
          <w:lang w:val="en-US"/>
        </w:rPr>
        <w:t xml:space="preserve"> (2019).</w:t>
      </w:r>
    </w:p>
  </w:footnote>
  <w:footnote w:id="21">
    <w:p w14:paraId="45844F14" w14:textId="1E56EFE8" w:rsidR="00C0603E" w:rsidRPr="004F4196" w:rsidRDefault="00C0603E">
      <w:pPr>
        <w:pStyle w:val="FootnoteText"/>
        <w:rPr>
          <w:lang w:val="en-US"/>
        </w:rPr>
      </w:pPr>
      <w:r>
        <w:rPr>
          <w:rStyle w:val="FootnoteReference"/>
        </w:rPr>
        <w:footnoteRef/>
      </w:r>
      <w:r>
        <w:t xml:space="preserve"> </w:t>
      </w:r>
      <w:r>
        <w:rPr>
          <w:lang w:val="en-US"/>
        </w:rPr>
        <w:t>Coughlan (2019).</w:t>
      </w:r>
    </w:p>
  </w:footnote>
  <w:footnote w:id="22">
    <w:p w14:paraId="0E246606" w14:textId="33BF632E" w:rsidR="00C0603E" w:rsidRPr="00586C01" w:rsidRDefault="00C0603E" w:rsidP="00423D76">
      <w:pPr>
        <w:pStyle w:val="FootnoteText"/>
        <w:rPr>
          <w:lang w:val="mi-NZ"/>
        </w:rPr>
      </w:pPr>
      <w:r>
        <w:rPr>
          <w:rStyle w:val="FootnoteReference"/>
        </w:rPr>
        <w:footnoteRef/>
      </w:r>
      <w:r>
        <w:t xml:space="preserve"> </w:t>
      </w:r>
      <w:r>
        <w:rPr>
          <w:lang w:val="en-US"/>
        </w:rPr>
        <w:t xml:space="preserve">Ministerial advisor email, October 9, 2020. </w:t>
      </w:r>
    </w:p>
  </w:footnote>
  <w:footnote w:id="23">
    <w:p w14:paraId="6117080D" w14:textId="5537D2E2" w:rsidR="00C0603E" w:rsidRPr="00F93AB7" w:rsidRDefault="00C0603E" w:rsidP="00B61FE1">
      <w:pPr>
        <w:pStyle w:val="FootnoteText"/>
        <w:rPr>
          <w:lang w:val="en-US"/>
        </w:rPr>
      </w:pPr>
      <w:r>
        <w:rPr>
          <w:rStyle w:val="FootnoteReference"/>
        </w:rPr>
        <w:footnoteRef/>
      </w:r>
      <w:r>
        <w:t xml:space="preserve"> Ministry of Social Development (2019a). </w:t>
      </w:r>
    </w:p>
  </w:footnote>
  <w:footnote w:id="24">
    <w:p w14:paraId="4B9CCEF0" w14:textId="48D0E4E4" w:rsidR="00C0603E" w:rsidRPr="00B61FE1" w:rsidRDefault="00C0603E" w:rsidP="00B61FE1">
      <w:pPr>
        <w:pStyle w:val="FootnoteText"/>
        <w:rPr>
          <w:lang w:val="mi-NZ"/>
        </w:rPr>
      </w:pPr>
      <w:r>
        <w:rPr>
          <w:rStyle w:val="FootnoteReference"/>
        </w:rPr>
        <w:footnoteRef/>
      </w:r>
      <w:r>
        <w:t xml:space="preserve"> Palmer (2019). </w:t>
      </w:r>
    </w:p>
  </w:footnote>
  <w:footnote w:id="25">
    <w:p w14:paraId="59BB9C76" w14:textId="79D6577B" w:rsidR="00C0603E" w:rsidRPr="00FF3C0F" w:rsidRDefault="00C0603E">
      <w:pPr>
        <w:pStyle w:val="FootnoteText"/>
        <w:rPr>
          <w:lang w:val="mi-NZ"/>
        </w:rPr>
      </w:pPr>
      <w:r>
        <w:rPr>
          <w:rStyle w:val="FootnoteReference"/>
        </w:rPr>
        <w:footnoteRef/>
      </w:r>
      <w:r>
        <w:t xml:space="preserve"> Ministry of Social Development (n.d.). </w:t>
      </w:r>
    </w:p>
  </w:footnote>
  <w:footnote w:id="26">
    <w:p w14:paraId="445AEF7F" w14:textId="712DBEDA" w:rsidR="00C0603E" w:rsidRPr="00FA0852" w:rsidRDefault="00C0603E">
      <w:pPr>
        <w:pStyle w:val="FootnoteText"/>
        <w:rPr>
          <w:lang w:val="en-US"/>
        </w:rPr>
      </w:pPr>
      <w:r>
        <w:rPr>
          <w:rStyle w:val="FootnoteReference"/>
        </w:rPr>
        <w:footnoteRef/>
      </w:r>
      <w:r>
        <w:t xml:space="preserve"> </w:t>
      </w:r>
      <w:r>
        <w:rPr>
          <w:lang w:val="en-US"/>
        </w:rPr>
        <w:t>TVNZ (2020). 1:20:59</w:t>
      </w:r>
    </w:p>
  </w:footnote>
  <w:footnote w:id="27">
    <w:p w14:paraId="0D6E3B74" w14:textId="3DF2C575" w:rsidR="00C0603E" w:rsidRPr="00586C01" w:rsidRDefault="00C0603E" w:rsidP="000D3423">
      <w:pPr>
        <w:pStyle w:val="FootnoteText"/>
        <w:rPr>
          <w:lang w:val="mi-NZ"/>
        </w:rPr>
      </w:pPr>
      <w:r>
        <w:rPr>
          <w:rStyle w:val="FootnoteReference"/>
        </w:rPr>
        <w:footnoteRef/>
      </w:r>
      <w:r>
        <w:t xml:space="preserve"> </w:t>
      </w:r>
      <w:r>
        <w:rPr>
          <w:lang w:val="en-US"/>
        </w:rPr>
        <w:t xml:space="preserve">Ministerial advisor email, October 9, 2020. </w:t>
      </w:r>
    </w:p>
  </w:footnote>
  <w:footnote w:id="28">
    <w:p w14:paraId="3C20B643" w14:textId="77777777" w:rsidR="00C0603E" w:rsidRPr="006B3569" w:rsidRDefault="00C0603E" w:rsidP="00DF3535">
      <w:pPr>
        <w:pStyle w:val="FootnoteText"/>
        <w:rPr>
          <w:lang w:val="en-US"/>
        </w:rPr>
      </w:pPr>
      <w:r>
        <w:rPr>
          <w:rStyle w:val="FootnoteReference"/>
        </w:rPr>
        <w:footnoteRef/>
      </w:r>
      <w:r>
        <w:t xml:space="preserve"> McCulloch (2020). </w:t>
      </w:r>
    </w:p>
  </w:footnote>
  <w:footnote w:id="29">
    <w:p w14:paraId="4DFD0434" w14:textId="77777777" w:rsidR="00C0603E" w:rsidRPr="003B45CA" w:rsidRDefault="00C0603E" w:rsidP="00DF3535">
      <w:pPr>
        <w:pStyle w:val="FootnoteText"/>
        <w:rPr>
          <w:lang w:val="en-US"/>
        </w:rPr>
      </w:pPr>
      <w:r>
        <w:rPr>
          <w:rStyle w:val="FootnoteReference"/>
        </w:rPr>
        <w:footnoteRef/>
      </w:r>
      <w:r>
        <w:t xml:space="preserve"> Ardern (2017). </w:t>
      </w:r>
    </w:p>
  </w:footnote>
  <w:footnote w:id="30">
    <w:p w14:paraId="7E970CE3" w14:textId="77777777" w:rsidR="00C0603E" w:rsidRPr="0085101C" w:rsidRDefault="00C0603E" w:rsidP="00DF3535">
      <w:pPr>
        <w:pStyle w:val="FootnoteText"/>
        <w:rPr>
          <w:lang w:val="en-US"/>
        </w:rPr>
      </w:pPr>
      <w:r>
        <w:rPr>
          <w:rStyle w:val="FootnoteReference"/>
        </w:rPr>
        <w:footnoteRef/>
      </w:r>
      <w:r>
        <w:t xml:space="preserve"> </w:t>
      </w:r>
      <w:proofErr w:type="spellStart"/>
      <w:r>
        <w:rPr>
          <w:lang w:val="mi-NZ"/>
        </w:rPr>
        <w:t>Welfare</w:t>
      </w:r>
      <w:proofErr w:type="spellEnd"/>
      <w:r>
        <w:rPr>
          <w:lang w:val="mi-NZ"/>
        </w:rPr>
        <w:t xml:space="preserve"> </w:t>
      </w:r>
      <w:proofErr w:type="spellStart"/>
      <w:r>
        <w:rPr>
          <w:lang w:val="mi-NZ"/>
        </w:rPr>
        <w:t>Expert</w:t>
      </w:r>
      <w:proofErr w:type="spellEnd"/>
      <w:r>
        <w:rPr>
          <w:lang w:val="mi-NZ"/>
        </w:rPr>
        <w:t xml:space="preserve"> </w:t>
      </w:r>
      <w:proofErr w:type="spellStart"/>
      <w:r>
        <w:rPr>
          <w:lang w:val="mi-NZ"/>
        </w:rPr>
        <w:t>Advisory</w:t>
      </w:r>
      <w:proofErr w:type="spellEnd"/>
      <w:r>
        <w:rPr>
          <w:lang w:val="mi-NZ"/>
        </w:rPr>
        <w:t xml:space="preserve"> </w:t>
      </w:r>
      <w:proofErr w:type="spellStart"/>
      <w:r>
        <w:rPr>
          <w:lang w:val="mi-NZ"/>
        </w:rPr>
        <w:t>Group</w:t>
      </w:r>
      <w:proofErr w:type="spellEnd"/>
      <w:r>
        <w:rPr>
          <w:lang w:val="mi-NZ"/>
        </w:rPr>
        <w:t xml:space="preserve"> (2019b).</w:t>
      </w:r>
    </w:p>
  </w:footnote>
  <w:footnote w:id="31">
    <w:p w14:paraId="3CAD7F48" w14:textId="77777777" w:rsidR="00C0603E" w:rsidRPr="002F79D7" w:rsidRDefault="00C0603E" w:rsidP="002203FB">
      <w:pPr>
        <w:pStyle w:val="FootnoteText"/>
        <w:rPr>
          <w:lang w:val="en-US"/>
        </w:rPr>
      </w:pPr>
      <w:r>
        <w:rPr>
          <w:rStyle w:val="FootnoteReference"/>
        </w:rPr>
        <w:footnoteRef/>
      </w:r>
      <w:r>
        <w:t xml:space="preserve"> Ministry of Social Development (2019a). </w:t>
      </w:r>
    </w:p>
  </w:footnote>
  <w:footnote w:id="32">
    <w:p w14:paraId="66F8BE3A" w14:textId="77777777" w:rsidR="00C0603E" w:rsidRPr="00925CD7" w:rsidRDefault="00C0603E" w:rsidP="002203FB">
      <w:pPr>
        <w:pStyle w:val="FootnoteText"/>
        <w:rPr>
          <w:lang w:val="en-US"/>
        </w:rPr>
      </w:pPr>
      <w:r>
        <w:rPr>
          <w:rStyle w:val="FootnoteReference"/>
        </w:rPr>
        <w:footnoteRef/>
      </w:r>
      <w:r>
        <w:t xml:space="preserve"> Ministry of Social Development (2019a). </w:t>
      </w:r>
    </w:p>
  </w:footnote>
  <w:footnote w:id="33">
    <w:p w14:paraId="6725A8E1" w14:textId="77777777" w:rsidR="00C0603E" w:rsidRPr="005F277F" w:rsidRDefault="00C0603E" w:rsidP="002203FB">
      <w:pPr>
        <w:pStyle w:val="FootnoteText"/>
        <w:rPr>
          <w:lang w:val="en-US"/>
        </w:rPr>
      </w:pPr>
      <w:r>
        <w:rPr>
          <w:rStyle w:val="FootnoteReference"/>
        </w:rPr>
        <w:footnoteRef/>
      </w:r>
      <w:r>
        <w:t xml:space="preserve"> Ministry of Social Development (2019a).</w:t>
      </w:r>
      <w:r w:rsidRPr="005F277F">
        <w:rPr>
          <w:lang w:val="en-US"/>
        </w:rPr>
        <w:t xml:space="preserve"> </w:t>
      </w:r>
    </w:p>
  </w:footnote>
  <w:footnote w:id="34">
    <w:p w14:paraId="2ACCAEDC" w14:textId="6108D7DB" w:rsidR="00C0603E" w:rsidRPr="004A0CA5" w:rsidRDefault="00C0603E" w:rsidP="002203FB">
      <w:pPr>
        <w:pStyle w:val="FootnoteText"/>
        <w:rPr>
          <w:lang w:val="en-US"/>
        </w:rPr>
      </w:pPr>
      <w:r>
        <w:rPr>
          <w:rStyle w:val="FootnoteReference"/>
        </w:rPr>
        <w:footnoteRef/>
      </w:r>
      <w:r>
        <w:t xml:space="preserve"> </w:t>
      </w:r>
      <w:r>
        <w:rPr>
          <w:lang w:val="en-US"/>
        </w:rPr>
        <w:t>Ministerial advisor email, October 9, 2020.</w:t>
      </w:r>
    </w:p>
  </w:footnote>
  <w:footnote w:id="35">
    <w:p w14:paraId="095CEFB6" w14:textId="77777777" w:rsidR="00C0603E" w:rsidRPr="00E26262" w:rsidRDefault="00C0603E" w:rsidP="002203FB">
      <w:pPr>
        <w:pStyle w:val="FootnoteText"/>
        <w:rPr>
          <w:lang w:val="en-US"/>
        </w:rPr>
      </w:pPr>
      <w:r>
        <w:rPr>
          <w:rStyle w:val="FootnoteReference"/>
        </w:rPr>
        <w:footnoteRef/>
      </w:r>
      <w:r>
        <w:t xml:space="preserve"> Ministry of Social Development (2019c). </w:t>
      </w:r>
    </w:p>
  </w:footnote>
  <w:footnote w:id="36">
    <w:p w14:paraId="4D64DF06" w14:textId="77777777" w:rsidR="00C0603E" w:rsidRPr="00CF4F97" w:rsidRDefault="00C0603E" w:rsidP="002203FB">
      <w:pPr>
        <w:pStyle w:val="FootnoteText"/>
        <w:rPr>
          <w:lang w:val="en-US"/>
        </w:rPr>
      </w:pPr>
      <w:r>
        <w:rPr>
          <w:rStyle w:val="FootnoteReference"/>
        </w:rPr>
        <w:footnoteRef/>
      </w:r>
      <w:r>
        <w:t xml:space="preserve"> New Zealand Parliament (2020). </w:t>
      </w:r>
    </w:p>
  </w:footnote>
  <w:footnote w:id="37">
    <w:p w14:paraId="31CCD514" w14:textId="13ED0FBA" w:rsidR="00C0603E" w:rsidRPr="004A0CA5" w:rsidRDefault="00C0603E" w:rsidP="002203FB">
      <w:pPr>
        <w:pStyle w:val="FootnoteText"/>
        <w:rPr>
          <w:lang w:val="en-US"/>
        </w:rPr>
      </w:pPr>
      <w:r>
        <w:rPr>
          <w:rStyle w:val="FootnoteReference"/>
        </w:rPr>
        <w:footnoteRef/>
      </w:r>
      <w:r>
        <w:t xml:space="preserve"> </w:t>
      </w:r>
      <w:r>
        <w:rPr>
          <w:lang w:val="en-US"/>
        </w:rPr>
        <w:t>Ministerial advisor email, October 9, 2020.</w:t>
      </w:r>
    </w:p>
  </w:footnote>
  <w:footnote w:id="38">
    <w:p w14:paraId="1A172953" w14:textId="77777777" w:rsidR="00C0603E" w:rsidRPr="001D461F" w:rsidRDefault="00C0603E" w:rsidP="002203FB">
      <w:pPr>
        <w:pStyle w:val="FootnoteText"/>
        <w:rPr>
          <w:lang w:val="mi-NZ"/>
        </w:rPr>
      </w:pPr>
      <w:r>
        <w:rPr>
          <w:rStyle w:val="FootnoteReference"/>
        </w:rPr>
        <w:footnoteRef/>
      </w:r>
      <w:r>
        <w:t xml:space="preserve"> Ministry of Social Development (2019a). </w:t>
      </w:r>
      <w:r w:rsidRPr="001D461F">
        <w:rPr>
          <w:lang w:val="mi-NZ"/>
        </w:rPr>
        <w:t xml:space="preserve"> </w:t>
      </w:r>
    </w:p>
  </w:footnote>
  <w:footnote w:id="39">
    <w:p w14:paraId="05990C74" w14:textId="338EE05F" w:rsidR="00C0603E" w:rsidRPr="00393F86" w:rsidRDefault="00C0603E" w:rsidP="002203FB">
      <w:pPr>
        <w:pStyle w:val="FootnoteText"/>
        <w:rPr>
          <w:lang w:val="mi-NZ"/>
        </w:rPr>
      </w:pPr>
      <w:r>
        <w:rPr>
          <w:rStyle w:val="FootnoteReference"/>
        </w:rPr>
        <w:footnoteRef/>
      </w:r>
      <w:r>
        <w:t xml:space="preserve"> </w:t>
      </w:r>
      <w:r>
        <w:rPr>
          <w:lang w:val="en-US"/>
        </w:rPr>
        <w:t>Ministerial advisor email, October 9, 2020.</w:t>
      </w:r>
    </w:p>
  </w:footnote>
  <w:footnote w:id="40">
    <w:p w14:paraId="438148B5" w14:textId="77777777" w:rsidR="00C0603E" w:rsidRPr="006016C4" w:rsidRDefault="00C0603E" w:rsidP="002203FB">
      <w:pPr>
        <w:pStyle w:val="FootnoteText"/>
        <w:rPr>
          <w:lang w:val="mi-NZ"/>
        </w:rPr>
      </w:pPr>
      <w:r>
        <w:rPr>
          <w:rStyle w:val="FootnoteReference"/>
        </w:rPr>
        <w:footnoteRef/>
      </w:r>
      <w:r>
        <w:t xml:space="preserve"> Ministry of Social Development (2019d). </w:t>
      </w:r>
    </w:p>
  </w:footnote>
  <w:footnote w:id="41">
    <w:p w14:paraId="64C59674" w14:textId="66776057" w:rsidR="00C0603E" w:rsidRPr="001A591F" w:rsidRDefault="00C0603E">
      <w:pPr>
        <w:pStyle w:val="FootnoteText"/>
        <w:rPr>
          <w:lang w:val="en-US"/>
        </w:rPr>
      </w:pPr>
      <w:r>
        <w:rPr>
          <w:rStyle w:val="FootnoteReference"/>
        </w:rPr>
        <w:footnoteRef/>
      </w:r>
      <w:r>
        <w:t xml:space="preserve"> </w:t>
      </w:r>
      <w:r>
        <w:rPr>
          <w:lang w:val="en-US"/>
        </w:rPr>
        <w:t xml:space="preserve">Dr Collin </w:t>
      </w:r>
      <w:proofErr w:type="spellStart"/>
      <w:r>
        <w:rPr>
          <w:lang w:val="en-US"/>
        </w:rPr>
        <w:t>Tukuitonga</w:t>
      </w:r>
      <w:proofErr w:type="spellEnd"/>
      <w:r>
        <w:rPr>
          <w:lang w:val="en-US"/>
        </w:rPr>
        <w:t xml:space="preserve">, email, November 18, 2020. </w:t>
      </w:r>
    </w:p>
  </w:footnote>
  <w:footnote w:id="42">
    <w:p w14:paraId="51CF2916" w14:textId="5DE15A54" w:rsidR="00C0603E" w:rsidRPr="00563A2A" w:rsidRDefault="00C0603E" w:rsidP="002203FB">
      <w:pPr>
        <w:pStyle w:val="FootnoteText"/>
        <w:rPr>
          <w:lang w:val="mi-NZ"/>
        </w:rPr>
      </w:pPr>
      <w:r>
        <w:rPr>
          <w:rStyle w:val="FootnoteReference"/>
        </w:rPr>
        <w:footnoteRef/>
      </w:r>
      <w:r>
        <w:t xml:space="preserve"> </w:t>
      </w:r>
      <w:r>
        <w:rPr>
          <w:lang w:val="en-US"/>
        </w:rPr>
        <w:t>Ministerial advisor email, October 9, 2020.</w:t>
      </w:r>
    </w:p>
  </w:footnote>
  <w:footnote w:id="43">
    <w:p w14:paraId="136808F6" w14:textId="77777777" w:rsidR="00C0603E" w:rsidRPr="008D1136" w:rsidRDefault="00C0603E" w:rsidP="002203FB">
      <w:pPr>
        <w:pStyle w:val="FootnoteText"/>
        <w:rPr>
          <w:lang w:val="mi-NZ"/>
        </w:rPr>
      </w:pPr>
      <w:r>
        <w:rPr>
          <w:rStyle w:val="FootnoteReference"/>
        </w:rPr>
        <w:footnoteRef/>
      </w:r>
      <w:r>
        <w:t xml:space="preserve"> Ministry of Social Development (2019a). </w:t>
      </w:r>
    </w:p>
  </w:footnote>
  <w:footnote w:id="44">
    <w:p w14:paraId="49E2F7B8" w14:textId="77777777" w:rsidR="00C0603E" w:rsidRPr="00F47B97" w:rsidRDefault="00C0603E" w:rsidP="00F47B97">
      <w:pPr>
        <w:pStyle w:val="FootnoteText"/>
        <w:rPr>
          <w:lang w:val="mi-NZ"/>
        </w:rPr>
      </w:pPr>
      <w:r>
        <w:rPr>
          <w:rStyle w:val="FootnoteReference"/>
        </w:rPr>
        <w:footnoteRef/>
      </w:r>
      <w:r>
        <w:t xml:space="preserve"> </w:t>
      </w:r>
      <w:proofErr w:type="spellStart"/>
      <w:r>
        <w:rPr>
          <w:lang w:val="mi-NZ"/>
        </w:rPr>
        <w:t>Ministry</w:t>
      </w:r>
      <w:proofErr w:type="spellEnd"/>
      <w:r>
        <w:rPr>
          <w:lang w:val="mi-NZ"/>
        </w:rPr>
        <w:t xml:space="preserve"> </w:t>
      </w:r>
      <w:proofErr w:type="spellStart"/>
      <w:r>
        <w:rPr>
          <w:lang w:val="mi-NZ"/>
        </w:rPr>
        <w:t>of</w:t>
      </w:r>
      <w:proofErr w:type="spellEnd"/>
      <w:r>
        <w:rPr>
          <w:lang w:val="mi-NZ"/>
        </w:rPr>
        <w:t xml:space="preserve"> </w:t>
      </w:r>
      <w:proofErr w:type="spellStart"/>
      <w:r>
        <w:rPr>
          <w:lang w:val="mi-NZ"/>
        </w:rPr>
        <w:t>Social</w:t>
      </w:r>
      <w:proofErr w:type="spellEnd"/>
      <w:r>
        <w:rPr>
          <w:lang w:val="mi-NZ"/>
        </w:rPr>
        <w:t xml:space="preserve"> </w:t>
      </w:r>
      <w:proofErr w:type="spellStart"/>
      <w:r>
        <w:rPr>
          <w:lang w:val="mi-NZ"/>
        </w:rPr>
        <w:t>Development</w:t>
      </w:r>
      <w:proofErr w:type="spellEnd"/>
      <w:r>
        <w:rPr>
          <w:lang w:val="mi-NZ"/>
        </w:rPr>
        <w:t xml:space="preserve"> (2020c).</w:t>
      </w:r>
    </w:p>
  </w:footnote>
  <w:footnote w:id="45">
    <w:p w14:paraId="0FCEE822" w14:textId="0B74693F" w:rsidR="00C0603E" w:rsidRPr="00F47B97" w:rsidRDefault="00C0603E">
      <w:pPr>
        <w:pStyle w:val="FootnoteText"/>
        <w:rPr>
          <w:lang w:val="mi-NZ"/>
        </w:rPr>
      </w:pPr>
      <w:r>
        <w:rPr>
          <w:rStyle w:val="FootnoteReference"/>
        </w:rPr>
        <w:footnoteRef/>
      </w:r>
      <w:r>
        <w:t xml:space="preserve"> </w:t>
      </w:r>
      <w:proofErr w:type="spellStart"/>
      <w:r w:rsidRPr="00F47B97">
        <w:t>Humpage</w:t>
      </w:r>
      <w:proofErr w:type="spellEnd"/>
      <w:r w:rsidRPr="00F47B97">
        <w:t xml:space="preserve"> &amp; </w:t>
      </w:r>
      <w:proofErr w:type="spellStart"/>
      <w:r w:rsidRPr="00F47B97">
        <w:t>Neuwelt</w:t>
      </w:r>
      <w:proofErr w:type="spellEnd"/>
      <w:r w:rsidRPr="00F47B97">
        <w:t xml:space="preserve">-Kearns </w:t>
      </w:r>
      <w:r>
        <w:t>(</w:t>
      </w:r>
      <w:r w:rsidRPr="00F47B97">
        <w:t>2020</w:t>
      </w:r>
      <w:r>
        <w:t>).</w:t>
      </w:r>
    </w:p>
  </w:footnote>
  <w:footnote w:id="46">
    <w:p w14:paraId="5B8EF7D8" w14:textId="77777777" w:rsidR="00C0603E" w:rsidRPr="00D613F1" w:rsidRDefault="00C0603E" w:rsidP="002203FB">
      <w:pPr>
        <w:pStyle w:val="FootnoteText"/>
        <w:rPr>
          <w:lang w:val="mi-NZ"/>
        </w:rPr>
      </w:pPr>
      <w:r>
        <w:rPr>
          <w:rStyle w:val="FootnoteReference"/>
        </w:rPr>
        <w:footnoteRef/>
      </w:r>
      <w:r>
        <w:t xml:space="preserve"> Ministry of Social Development (2019a). </w:t>
      </w:r>
    </w:p>
  </w:footnote>
  <w:footnote w:id="47">
    <w:p w14:paraId="16C704B2" w14:textId="77777777" w:rsidR="00C0603E" w:rsidRPr="00D613F1" w:rsidRDefault="00C0603E" w:rsidP="002203FB">
      <w:pPr>
        <w:pStyle w:val="FootnoteText"/>
        <w:rPr>
          <w:lang w:val="mi-NZ"/>
        </w:rPr>
      </w:pPr>
      <w:r>
        <w:rPr>
          <w:rStyle w:val="FootnoteReference"/>
        </w:rPr>
        <w:footnoteRef/>
      </w:r>
      <w:r>
        <w:t xml:space="preserve"> </w:t>
      </w:r>
      <w:proofErr w:type="spellStart"/>
      <w:r>
        <w:t>Sepuloni</w:t>
      </w:r>
      <w:proofErr w:type="spellEnd"/>
      <w:r>
        <w:t xml:space="preserve"> (2020). </w:t>
      </w:r>
    </w:p>
  </w:footnote>
  <w:footnote w:id="48">
    <w:p w14:paraId="6C0BD15D" w14:textId="77777777" w:rsidR="00C0603E" w:rsidRPr="00D613F1" w:rsidRDefault="00C0603E" w:rsidP="002203FB">
      <w:pPr>
        <w:pStyle w:val="FootnoteText"/>
        <w:rPr>
          <w:lang w:val="mi-NZ"/>
        </w:rPr>
      </w:pPr>
      <w:r>
        <w:rPr>
          <w:rStyle w:val="FootnoteReference"/>
        </w:rPr>
        <w:footnoteRef/>
      </w:r>
      <w:r>
        <w:t xml:space="preserve"> Ministry of Social Development (2019a). </w:t>
      </w:r>
    </w:p>
  </w:footnote>
  <w:footnote w:id="49">
    <w:p w14:paraId="1C6BDF8A" w14:textId="77777777" w:rsidR="00C0603E" w:rsidRPr="00936235" w:rsidRDefault="00C0603E" w:rsidP="002203FB">
      <w:pPr>
        <w:pStyle w:val="FootnoteText"/>
        <w:rPr>
          <w:lang w:val="mi-NZ"/>
        </w:rPr>
      </w:pPr>
      <w:r>
        <w:rPr>
          <w:rStyle w:val="FootnoteReference"/>
        </w:rPr>
        <w:footnoteRef/>
      </w:r>
      <w:r>
        <w:t xml:space="preserve"> Ministry of Social Development (2019a). </w:t>
      </w:r>
    </w:p>
  </w:footnote>
  <w:footnote w:id="50">
    <w:p w14:paraId="716B6342" w14:textId="77777777" w:rsidR="00C0603E" w:rsidRPr="00482CD3" w:rsidRDefault="00C0603E" w:rsidP="002203FB">
      <w:pPr>
        <w:pStyle w:val="FootnoteText"/>
        <w:rPr>
          <w:lang w:val="mi-NZ"/>
        </w:rPr>
      </w:pPr>
      <w:r>
        <w:rPr>
          <w:rStyle w:val="FootnoteReference"/>
        </w:rPr>
        <w:footnoteRef/>
      </w:r>
      <w:r>
        <w:t xml:space="preserve"> </w:t>
      </w:r>
      <w:proofErr w:type="spellStart"/>
      <w:r w:rsidRPr="00C422C7">
        <w:rPr>
          <w:lang w:val="mi-NZ"/>
        </w:rPr>
        <w:t>Welfare</w:t>
      </w:r>
      <w:proofErr w:type="spellEnd"/>
      <w:r w:rsidRPr="00C422C7">
        <w:rPr>
          <w:lang w:val="mi-NZ"/>
        </w:rPr>
        <w:t xml:space="preserve"> </w:t>
      </w:r>
      <w:proofErr w:type="spellStart"/>
      <w:r w:rsidRPr="00C422C7">
        <w:rPr>
          <w:lang w:val="mi-NZ"/>
        </w:rPr>
        <w:t>Expert</w:t>
      </w:r>
      <w:proofErr w:type="spellEnd"/>
      <w:r w:rsidRPr="00C422C7">
        <w:rPr>
          <w:lang w:val="mi-NZ"/>
        </w:rPr>
        <w:t xml:space="preserve"> </w:t>
      </w:r>
      <w:proofErr w:type="spellStart"/>
      <w:r w:rsidRPr="00C422C7">
        <w:rPr>
          <w:lang w:val="mi-NZ"/>
        </w:rPr>
        <w:t>Advisory</w:t>
      </w:r>
      <w:proofErr w:type="spellEnd"/>
      <w:r w:rsidRPr="00C422C7">
        <w:rPr>
          <w:lang w:val="mi-NZ"/>
        </w:rPr>
        <w:t xml:space="preserve"> </w:t>
      </w:r>
      <w:proofErr w:type="spellStart"/>
      <w:r w:rsidRPr="00C422C7">
        <w:rPr>
          <w:lang w:val="mi-NZ"/>
        </w:rPr>
        <w:t>Group</w:t>
      </w:r>
      <w:proofErr w:type="spellEnd"/>
      <w:r w:rsidRPr="00C422C7">
        <w:rPr>
          <w:lang w:val="mi-NZ"/>
        </w:rPr>
        <w:t xml:space="preserve"> (2019</w:t>
      </w:r>
      <w:r>
        <w:rPr>
          <w:lang w:val="mi-NZ"/>
        </w:rPr>
        <w:t>b</w:t>
      </w:r>
      <w:r w:rsidRPr="00C422C7">
        <w:rPr>
          <w:lang w:val="mi-NZ"/>
        </w:rPr>
        <w:t xml:space="preserve">). </w:t>
      </w:r>
    </w:p>
  </w:footnote>
  <w:footnote w:id="51">
    <w:p w14:paraId="3FCBC8AC" w14:textId="77777777" w:rsidR="00C0603E" w:rsidRPr="00CC1A1A" w:rsidRDefault="00C0603E" w:rsidP="002203FB">
      <w:pPr>
        <w:pStyle w:val="FootnoteText"/>
        <w:rPr>
          <w:lang w:val="mi-NZ"/>
        </w:rPr>
      </w:pPr>
      <w:r>
        <w:rPr>
          <w:rStyle w:val="FootnoteReference"/>
        </w:rPr>
        <w:footnoteRef/>
      </w:r>
      <w:r>
        <w:t xml:space="preserve"> Ministry of Social Development (2019a). </w:t>
      </w:r>
    </w:p>
  </w:footnote>
  <w:footnote w:id="52">
    <w:p w14:paraId="78AD116A" w14:textId="77777777" w:rsidR="00C0603E" w:rsidRPr="00724D69" w:rsidRDefault="00C0603E" w:rsidP="002203FB">
      <w:pPr>
        <w:pStyle w:val="FootnoteText"/>
        <w:rPr>
          <w:lang w:val="mi-NZ"/>
        </w:rPr>
      </w:pPr>
      <w:r>
        <w:rPr>
          <w:rStyle w:val="FootnoteReference"/>
        </w:rPr>
        <w:footnoteRef/>
      </w:r>
      <w:r>
        <w:t xml:space="preserve"> Ministry of Social Development (2019a). </w:t>
      </w:r>
    </w:p>
  </w:footnote>
  <w:footnote w:id="53">
    <w:p w14:paraId="2281F530" w14:textId="77777777" w:rsidR="00C0603E" w:rsidRPr="008531D0" w:rsidRDefault="00C0603E" w:rsidP="002203FB">
      <w:pPr>
        <w:pStyle w:val="FootnoteText"/>
        <w:rPr>
          <w:lang w:val="mi-NZ"/>
        </w:rPr>
      </w:pPr>
      <w:r>
        <w:rPr>
          <w:rStyle w:val="FootnoteReference"/>
        </w:rPr>
        <w:footnoteRef/>
      </w:r>
      <w:r>
        <w:t xml:space="preserve"> Ministry of Social Development (2019a). </w:t>
      </w:r>
    </w:p>
  </w:footnote>
  <w:footnote w:id="54">
    <w:p w14:paraId="6EA7F8A5" w14:textId="77777777" w:rsidR="00C0603E" w:rsidRPr="00A84E1B" w:rsidRDefault="00C0603E" w:rsidP="002203FB">
      <w:pPr>
        <w:pStyle w:val="FootnoteText"/>
        <w:rPr>
          <w:lang w:val="mi-NZ"/>
        </w:rPr>
      </w:pPr>
      <w:r>
        <w:rPr>
          <w:rStyle w:val="FootnoteReference"/>
        </w:rPr>
        <w:footnoteRef/>
      </w:r>
      <w:r>
        <w:t xml:space="preserve"> Ministry of Social Development (2019c). </w:t>
      </w:r>
    </w:p>
  </w:footnote>
  <w:footnote w:id="55">
    <w:p w14:paraId="3CFAB359" w14:textId="77777777" w:rsidR="00C0603E" w:rsidRPr="0013299D" w:rsidRDefault="00C0603E" w:rsidP="002203FB">
      <w:pPr>
        <w:pStyle w:val="FootnoteText"/>
        <w:rPr>
          <w:lang w:val="en-US"/>
        </w:rPr>
      </w:pPr>
      <w:r>
        <w:rPr>
          <w:rStyle w:val="FootnoteReference"/>
        </w:rPr>
        <w:footnoteRef/>
      </w:r>
      <w:r>
        <w:t xml:space="preserve"> Ministry of Social Development (2019a). </w:t>
      </w:r>
      <w:r w:rsidRPr="0013299D">
        <w:rPr>
          <w:lang w:val="en-US"/>
        </w:rPr>
        <w:t xml:space="preserve"> </w:t>
      </w:r>
    </w:p>
  </w:footnote>
  <w:footnote w:id="56">
    <w:p w14:paraId="78BF3C43" w14:textId="77777777" w:rsidR="00C0603E" w:rsidRPr="001F3BAD" w:rsidRDefault="00C0603E" w:rsidP="002203FB">
      <w:pPr>
        <w:pStyle w:val="FootnoteText"/>
        <w:rPr>
          <w:lang w:val="en-US"/>
        </w:rPr>
      </w:pPr>
      <w:r>
        <w:rPr>
          <w:rStyle w:val="FootnoteReference"/>
        </w:rPr>
        <w:footnoteRef/>
      </w:r>
      <w:r>
        <w:t xml:space="preserve"> Ministry of Social Development (2019a). </w:t>
      </w:r>
    </w:p>
  </w:footnote>
  <w:footnote w:id="57">
    <w:p w14:paraId="5B77DBDC" w14:textId="77777777" w:rsidR="00C0603E" w:rsidRPr="00C07A8D" w:rsidRDefault="00C0603E" w:rsidP="002203FB">
      <w:pPr>
        <w:pStyle w:val="FootnoteText"/>
        <w:rPr>
          <w:lang w:val="en-US"/>
        </w:rPr>
      </w:pPr>
      <w:r>
        <w:rPr>
          <w:rStyle w:val="FootnoteReference"/>
        </w:rPr>
        <w:footnoteRef/>
      </w:r>
      <w:r>
        <w:t xml:space="preserve"> </w:t>
      </w:r>
      <w:r>
        <w:rPr>
          <w:lang w:val="en-US"/>
        </w:rPr>
        <w:t xml:space="preserve">Ministry of Social Development (2019b). </w:t>
      </w:r>
    </w:p>
  </w:footnote>
  <w:footnote w:id="58">
    <w:p w14:paraId="203A7B23" w14:textId="77777777" w:rsidR="00C0603E" w:rsidRPr="00D25DBD" w:rsidRDefault="00C0603E" w:rsidP="002203FB">
      <w:pPr>
        <w:pStyle w:val="FootnoteText"/>
        <w:rPr>
          <w:lang w:val="en-US"/>
        </w:rPr>
      </w:pPr>
      <w:r>
        <w:rPr>
          <w:rStyle w:val="FootnoteReference"/>
        </w:rPr>
        <w:footnoteRef/>
      </w:r>
      <w:r>
        <w:t xml:space="preserve"> Ministry of Social Development (2019a). </w:t>
      </w:r>
    </w:p>
  </w:footnote>
  <w:footnote w:id="59">
    <w:p w14:paraId="7E92BCFC" w14:textId="77777777" w:rsidR="00C0603E" w:rsidRPr="00D66B51" w:rsidRDefault="00C0603E" w:rsidP="002203FB">
      <w:pPr>
        <w:pStyle w:val="FootnoteText"/>
        <w:tabs>
          <w:tab w:val="left" w:pos="5862"/>
        </w:tabs>
        <w:rPr>
          <w:lang w:val="en-US"/>
        </w:rPr>
      </w:pPr>
      <w:r>
        <w:rPr>
          <w:rStyle w:val="FootnoteReference"/>
        </w:rPr>
        <w:footnoteRef/>
      </w:r>
      <w:r>
        <w:t xml:space="preserve"> Ministry of Social Development (2019a). </w:t>
      </w:r>
      <w:r>
        <w:tab/>
      </w:r>
    </w:p>
  </w:footnote>
  <w:footnote w:id="60">
    <w:p w14:paraId="5E69167E" w14:textId="77777777" w:rsidR="00C0603E" w:rsidRPr="00C5463B" w:rsidRDefault="00C0603E" w:rsidP="002203FB">
      <w:pPr>
        <w:pStyle w:val="FootnoteText"/>
        <w:rPr>
          <w:lang w:val="en-US"/>
        </w:rPr>
      </w:pPr>
      <w:r>
        <w:rPr>
          <w:rStyle w:val="FootnoteReference"/>
        </w:rPr>
        <w:footnoteRef/>
      </w:r>
      <w:r>
        <w:t xml:space="preserve"> Beehive.govt.nz. (2020a). </w:t>
      </w:r>
    </w:p>
  </w:footnote>
  <w:footnote w:id="61">
    <w:p w14:paraId="0090BEDD" w14:textId="77777777" w:rsidR="00C0603E" w:rsidRPr="00C5463B" w:rsidRDefault="00C0603E" w:rsidP="002203FB">
      <w:pPr>
        <w:pStyle w:val="FootnoteText"/>
        <w:rPr>
          <w:lang w:val="en-US"/>
        </w:rPr>
      </w:pPr>
      <w:r>
        <w:rPr>
          <w:rStyle w:val="FootnoteReference"/>
        </w:rPr>
        <w:footnoteRef/>
      </w:r>
      <w:r>
        <w:t xml:space="preserve"> Fletcher (2020). </w:t>
      </w:r>
    </w:p>
  </w:footnote>
  <w:footnote w:id="62">
    <w:p w14:paraId="4BF6C4A7" w14:textId="77777777" w:rsidR="00C0603E" w:rsidRPr="00A14295" w:rsidRDefault="00C0603E" w:rsidP="002203FB">
      <w:pPr>
        <w:pStyle w:val="FootnoteText"/>
        <w:rPr>
          <w:lang w:val="en-US"/>
        </w:rPr>
      </w:pPr>
      <w:r>
        <w:rPr>
          <w:rStyle w:val="FootnoteReference"/>
        </w:rPr>
        <w:footnoteRef/>
      </w:r>
      <w:r>
        <w:t xml:space="preserve"> New Zealand Government. (2019b). </w:t>
      </w:r>
    </w:p>
  </w:footnote>
  <w:footnote w:id="63">
    <w:p w14:paraId="644479FA" w14:textId="18834796" w:rsidR="00C0603E" w:rsidRPr="001F3346" w:rsidRDefault="00C0603E">
      <w:pPr>
        <w:pStyle w:val="FootnoteText"/>
        <w:rPr>
          <w:lang w:val="en-US"/>
        </w:rPr>
      </w:pPr>
      <w:r>
        <w:rPr>
          <w:rStyle w:val="FootnoteReference"/>
        </w:rPr>
        <w:footnoteRef/>
      </w:r>
      <w:r>
        <w:t xml:space="preserve"> </w:t>
      </w:r>
      <w:r>
        <w:rPr>
          <w:lang w:val="en-US"/>
        </w:rPr>
        <w:t>Wade (2020).</w:t>
      </w:r>
    </w:p>
  </w:footnote>
  <w:footnote w:id="64">
    <w:p w14:paraId="54E3267D" w14:textId="77777777" w:rsidR="00C0603E" w:rsidRPr="0024164A" w:rsidRDefault="00C0603E" w:rsidP="002203FB">
      <w:pPr>
        <w:pStyle w:val="FootnoteText"/>
        <w:rPr>
          <w:lang w:val="en-US"/>
        </w:rPr>
      </w:pPr>
      <w:r>
        <w:rPr>
          <w:rStyle w:val="FootnoteReference"/>
        </w:rPr>
        <w:footnoteRef/>
      </w:r>
      <w:r>
        <w:t xml:space="preserve"> Ministry of Social Development (2019a). </w:t>
      </w:r>
    </w:p>
  </w:footnote>
  <w:footnote w:id="65">
    <w:p w14:paraId="29487D53" w14:textId="77777777" w:rsidR="00C0603E" w:rsidRPr="00432F9D" w:rsidRDefault="00C0603E" w:rsidP="002203FB">
      <w:pPr>
        <w:pStyle w:val="FootnoteText"/>
        <w:rPr>
          <w:lang w:val="en-US"/>
        </w:rPr>
      </w:pPr>
      <w:r>
        <w:rPr>
          <w:rStyle w:val="FootnoteReference"/>
        </w:rPr>
        <w:footnoteRef/>
      </w:r>
      <w:r>
        <w:t xml:space="preserve"> Ministry of Social Development (2019a). </w:t>
      </w:r>
    </w:p>
  </w:footnote>
  <w:footnote w:id="66">
    <w:p w14:paraId="5CFCB2EA" w14:textId="77777777" w:rsidR="00C0603E" w:rsidRPr="006B61CD" w:rsidRDefault="00C0603E" w:rsidP="002203FB">
      <w:pPr>
        <w:pStyle w:val="FootnoteText"/>
        <w:rPr>
          <w:lang w:val="en-US"/>
        </w:rPr>
      </w:pPr>
      <w:r>
        <w:rPr>
          <w:rStyle w:val="FootnoteReference"/>
        </w:rPr>
        <w:footnoteRef/>
      </w:r>
      <w:r>
        <w:t xml:space="preserve"> Ministry of Social Development (2019a). </w:t>
      </w:r>
    </w:p>
  </w:footnote>
  <w:footnote w:id="67">
    <w:p w14:paraId="6568AC13" w14:textId="77777777" w:rsidR="00C0603E" w:rsidRPr="00D25DBD" w:rsidRDefault="00C0603E" w:rsidP="002203FB">
      <w:pPr>
        <w:pStyle w:val="FootnoteText"/>
        <w:rPr>
          <w:lang w:val="en-US"/>
        </w:rPr>
      </w:pPr>
      <w:r>
        <w:rPr>
          <w:rStyle w:val="FootnoteReference"/>
        </w:rPr>
        <w:footnoteRef/>
      </w:r>
      <w:r>
        <w:t xml:space="preserve"> Ministry of Social Development (2019a). </w:t>
      </w:r>
    </w:p>
  </w:footnote>
  <w:footnote w:id="68">
    <w:p w14:paraId="7B9E3269" w14:textId="77777777" w:rsidR="00C0603E" w:rsidRPr="00A64BAA" w:rsidRDefault="00C0603E" w:rsidP="002203FB">
      <w:pPr>
        <w:pStyle w:val="FootnoteText"/>
        <w:rPr>
          <w:lang w:val="en-US"/>
        </w:rPr>
      </w:pPr>
      <w:r>
        <w:rPr>
          <w:rStyle w:val="FootnoteReference"/>
        </w:rPr>
        <w:footnoteRef/>
      </w:r>
      <w:r>
        <w:t xml:space="preserve"> Ministry of Social Development (2019a). </w:t>
      </w:r>
    </w:p>
  </w:footnote>
  <w:footnote w:id="69">
    <w:p w14:paraId="7F00DA5B" w14:textId="77777777" w:rsidR="00C0603E" w:rsidRPr="00A30537" w:rsidRDefault="00C0603E" w:rsidP="002203FB">
      <w:pPr>
        <w:pStyle w:val="FootnoteText"/>
        <w:rPr>
          <w:lang w:val="en-US"/>
        </w:rPr>
      </w:pPr>
      <w:r>
        <w:rPr>
          <w:rStyle w:val="FootnoteReference"/>
        </w:rPr>
        <w:footnoteRef/>
      </w:r>
      <w:r>
        <w:t xml:space="preserve"> Ministry of Social Development (2019a).</w:t>
      </w:r>
    </w:p>
  </w:footnote>
  <w:footnote w:id="70">
    <w:p w14:paraId="5EC5CAC5" w14:textId="77777777" w:rsidR="00C0603E" w:rsidRPr="00B14987" w:rsidRDefault="00C0603E" w:rsidP="002203FB">
      <w:pPr>
        <w:pStyle w:val="FootnoteText"/>
        <w:rPr>
          <w:lang w:val="en-US"/>
        </w:rPr>
      </w:pPr>
      <w:r>
        <w:rPr>
          <w:rStyle w:val="FootnoteReference"/>
        </w:rPr>
        <w:footnoteRef/>
      </w:r>
      <w:r>
        <w:t xml:space="preserve"> Ministry of Social Development (2019a). </w:t>
      </w:r>
    </w:p>
  </w:footnote>
  <w:footnote w:id="71">
    <w:p w14:paraId="6500CF31" w14:textId="77777777" w:rsidR="00C0603E" w:rsidRPr="00D43125" w:rsidRDefault="00C0603E" w:rsidP="002203FB">
      <w:pPr>
        <w:pStyle w:val="FootnoteText"/>
        <w:rPr>
          <w:lang w:val="en-US"/>
        </w:rPr>
      </w:pPr>
      <w:r>
        <w:rPr>
          <w:rStyle w:val="FootnoteReference"/>
        </w:rPr>
        <w:footnoteRef/>
      </w:r>
      <w:r>
        <w:t xml:space="preserve"> Ministry of Social Development (2019a). </w:t>
      </w:r>
    </w:p>
  </w:footnote>
  <w:footnote w:id="72">
    <w:p w14:paraId="6B196CA8" w14:textId="31563908" w:rsidR="00C0603E" w:rsidRPr="00445A59" w:rsidRDefault="00C0603E" w:rsidP="002203FB">
      <w:pPr>
        <w:pStyle w:val="FootnoteText"/>
        <w:rPr>
          <w:lang w:val="en-US"/>
        </w:rPr>
      </w:pPr>
      <w:r>
        <w:rPr>
          <w:rStyle w:val="FootnoteReference"/>
        </w:rPr>
        <w:footnoteRef/>
      </w:r>
      <w:r>
        <w:t xml:space="preserve"> </w:t>
      </w:r>
      <w:r>
        <w:rPr>
          <w:lang w:val="en-US"/>
        </w:rPr>
        <w:t>Ministerial advisor email, October 9, 2020.</w:t>
      </w:r>
    </w:p>
  </w:footnote>
  <w:footnote w:id="73">
    <w:p w14:paraId="496A4B69" w14:textId="77777777" w:rsidR="00C0603E" w:rsidRPr="00D07D97" w:rsidRDefault="00C0603E" w:rsidP="002203FB">
      <w:pPr>
        <w:pStyle w:val="FootnoteText"/>
        <w:rPr>
          <w:lang w:val="en-US"/>
        </w:rPr>
      </w:pPr>
      <w:r>
        <w:rPr>
          <w:rStyle w:val="FootnoteReference"/>
        </w:rPr>
        <w:footnoteRef/>
      </w:r>
      <w:r>
        <w:t xml:space="preserve"> Ministry of Social Development (2019a). </w:t>
      </w:r>
    </w:p>
  </w:footnote>
  <w:footnote w:id="74">
    <w:p w14:paraId="0DDBE805" w14:textId="77777777" w:rsidR="00C0603E" w:rsidRPr="00A51253" w:rsidRDefault="00C0603E" w:rsidP="002203FB">
      <w:pPr>
        <w:pStyle w:val="FootnoteText"/>
        <w:rPr>
          <w:lang w:val="en-US"/>
        </w:rPr>
      </w:pPr>
      <w:r>
        <w:rPr>
          <w:rStyle w:val="FootnoteReference"/>
        </w:rPr>
        <w:footnoteRef/>
      </w:r>
      <w:r>
        <w:t xml:space="preserve"> Ministry of Housing and Urban Development (n.d.). </w:t>
      </w:r>
    </w:p>
  </w:footnote>
  <w:footnote w:id="75">
    <w:p w14:paraId="4860B85F" w14:textId="77777777" w:rsidR="00C0603E" w:rsidRPr="00217C86" w:rsidRDefault="00C0603E" w:rsidP="002203FB">
      <w:pPr>
        <w:pStyle w:val="FootnoteText"/>
        <w:rPr>
          <w:lang w:val="en-US"/>
        </w:rPr>
      </w:pPr>
      <w:r>
        <w:rPr>
          <w:rStyle w:val="FootnoteReference"/>
        </w:rPr>
        <w:footnoteRef/>
      </w:r>
      <w:r>
        <w:t xml:space="preserve"> RNZ (2018). </w:t>
      </w:r>
    </w:p>
  </w:footnote>
  <w:footnote w:id="76">
    <w:p w14:paraId="418DE2F6" w14:textId="77777777" w:rsidR="00C0603E" w:rsidRPr="00BD799D" w:rsidRDefault="00C0603E" w:rsidP="002203FB">
      <w:pPr>
        <w:pStyle w:val="FootnoteText"/>
        <w:rPr>
          <w:lang w:val="mi-NZ"/>
        </w:rPr>
      </w:pPr>
      <w:r>
        <w:rPr>
          <w:rStyle w:val="FootnoteReference"/>
        </w:rPr>
        <w:footnoteRef/>
      </w:r>
      <w:r>
        <w:t xml:space="preserve"> Cooke (2020).  </w:t>
      </w:r>
    </w:p>
  </w:footnote>
  <w:footnote w:id="77">
    <w:p w14:paraId="7B48D805" w14:textId="77777777" w:rsidR="00C0603E" w:rsidRPr="00050BD4" w:rsidRDefault="00C0603E" w:rsidP="002203FB">
      <w:pPr>
        <w:pStyle w:val="FootnoteText"/>
        <w:rPr>
          <w:lang w:val="en-US"/>
        </w:rPr>
      </w:pPr>
      <w:r>
        <w:rPr>
          <w:rStyle w:val="FootnoteReference"/>
        </w:rPr>
        <w:footnoteRef/>
      </w:r>
      <w:r>
        <w:t xml:space="preserve"> </w:t>
      </w:r>
      <w:r w:rsidRPr="00D078C7">
        <w:rPr>
          <w:rStyle w:val="Hyperlink"/>
          <w:color w:val="auto"/>
          <w:u w:val="none"/>
        </w:rPr>
        <w:t>Ministry of Housing and Urban Development (2020</w:t>
      </w:r>
      <w:r>
        <w:rPr>
          <w:rStyle w:val="Hyperlink"/>
          <w:color w:val="auto"/>
          <w:u w:val="none"/>
        </w:rPr>
        <w:t>a</w:t>
      </w:r>
      <w:r w:rsidRPr="00D078C7">
        <w:rPr>
          <w:rStyle w:val="Hyperlink"/>
          <w:color w:val="auto"/>
          <w:u w:val="none"/>
        </w:rPr>
        <w:t>).</w:t>
      </w:r>
    </w:p>
  </w:footnote>
  <w:footnote w:id="78">
    <w:p w14:paraId="34944428" w14:textId="77777777" w:rsidR="00C0603E" w:rsidRPr="002759D3" w:rsidRDefault="00C0603E" w:rsidP="002203FB">
      <w:pPr>
        <w:pStyle w:val="FootnoteText"/>
        <w:rPr>
          <w:lang w:val="en-US"/>
        </w:rPr>
      </w:pPr>
      <w:r>
        <w:rPr>
          <w:rStyle w:val="FootnoteReference"/>
        </w:rPr>
        <w:footnoteRef/>
      </w:r>
      <w:r>
        <w:t xml:space="preserve"> </w:t>
      </w:r>
      <w:r w:rsidRPr="00D078C7">
        <w:rPr>
          <w:rStyle w:val="Hyperlink"/>
          <w:color w:val="auto"/>
          <w:u w:val="none"/>
        </w:rPr>
        <w:t>Ministry of Housing and Urban Development (2020</w:t>
      </w:r>
      <w:r>
        <w:rPr>
          <w:rStyle w:val="Hyperlink"/>
          <w:color w:val="auto"/>
          <w:u w:val="none"/>
        </w:rPr>
        <w:t>a</w:t>
      </w:r>
      <w:r w:rsidRPr="00D078C7">
        <w:rPr>
          <w:rStyle w:val="Hyperlink"/>
          <w:color w:val="auto"/>
          <w:u w:val="none"/>
        </w:rPr>
        <w:t>).</w:t>
      </w:r>
    </w:p>
  </w:footnote>
  <w:footnote w:id="79">
    <w:p w14:paraId="3707949D" w14:textId="77777777" w:rsidR="00C0603E" w:rsidRPr="004A53A2" w:rsidRDefault="00C0603E" w:rsidP="002203FB">
      <w:pPr>
        <w:pStyle w:val="FootnoteText"/>
        <w:rPr>
          <w:lang w:val="mi-NZ"/>
        </w:rPr>
      </w:pPr>
      <w:r>
        <w:rPr>
          <w:rStyle w:val="FootnoteReference"/>
        </w:rPr>
        <w:footnoteRef/>
      </w:r>
      <w:r>
        <w:t xml:space="preserve"> Ministry of Social Development (2019a). </w:t>
      </w:r>
    </w:p>
  </w:footnote>
  <w:footnote w:id="80">
    <w:p w14:paraId="38DD1BF5" w14:textId="77777777" w:rsidR="00C0603E" w:rsidRPr="00FE20AE" w:rsidRDefault="00C0603E" w:rsidP="002203FB">
      <w:pPr>
        <w:pStyle w:val="FootnoteText"/>
        <w:rPr>
          <w:lang w:val="en-US"/>
        </w:rPr>
      </w:pPr>
      <w:r>
        <w:rPr>
          <w:rStyle w:val="FootnoteReference"/>
        </w:rPr>
        <w:footnoteRef/>
      </w:r>
      <w:r>
        <w:t xml:space="preserve"> Ministry of Social Development (2019a). </w:t>
      </w:r>
    </w:p>
  </w:footnote>
  <w:footnote w:id="81">
    <w:p w14:paraId="15866671" w14:textId="77777777" w:rsidR="00C0603E" w:rsidRPr="005036BE" w:rsidRDefault="00C0603E" w:rsidP="002203FB">
      <w:pPr>
        <w:pStyle w:val="FootnoteText"/>
        <w:rPr>
          <w:lang w:val="en-US"/>
        </w:rPr>
      </w:pPr>
      <w:r>
        <w:rPr>
          <w:rStyle w:val="FootnoteReference"/>
        </w:rPr>
        <w:footnoteRef/>
      </w:r>
      <w:r>
        <w:t xml:space="preserve"> Ministry of Housing and Urban Development (2020b). </w:t>
      </w:r>
    </w:p>
  </w:footnote>
  <w:footnote w:id="82">
    <w:p w14:paraId="6014A7C2" w14:textId="77777777" w:rsidR="00C0603E" w:rsidRPr="00F40B32" w:rsidRDefault="00C0603E" w:rsidP="002203FB">
      <w:pPr>
        <w:pStyle w:val="FootnoteText"/>
        <w:rPr>
          <w:lang w:val="en-US"/>
        </w:rPr>
      </w:pPr>
      <w:r>
        <w:rPr>
          <w:rStyle w:val="FootnoteReference"/>
        </w:rPr>
        <w:footnoteRef/>
      </w:r>
      <w:r>
        <w:t xml:space="preserve"> Ministry of Social Development (2019a). </w:t>
      </w:r>
      <w:r w:rsidRPr="00F40B32">
        <w:rPr>
          <w:lang w:val="en-US"/>
        </w:rPr>
        <w:t xml:space="preserve"> </w:t>
      </w:r>
    </w:p>
  </w:footnote>
  <w:footnote w:id="83">
    <w:p w14:paraId="1374ABD9" w14:textId="0ADC570B" w:rsidR="00C0603E" w:rsidRPr="00A64B3C" w:rsidRDefault="00C0603E" w:rsidP="002203FB">
      <w:pPr>
        <w:pStyle w:val="FootnoteText"/>
        <w:rPr>
          <w:lang w:val="en-US"/>
        </w:rPr>
      </w:pPr>
      <w:r>
        <w:rPr>
          <w:rStyle w:val="FootnoteReference"/>
        </w:rPr>
        <w:footnoteRef/>
      </w:r>
      <w:r>
        <w:t xml:space="preserve"> </w:t>
      </w:r>
      <w:r>
        <w:rPr>
          <w:lang w:val="en-US"/>
        </w:rPr>
        <w:t>Ministerial advisor email, October 9, 2020.</w:t>
      </w:r>
    </w:p>
  </w:footnote>
  <w:footnote w:id="84">
    <w:p w14:paraId="7DF16CA9" w14:textId="77777777" w:rsidR="00C0603E" w:rsidRPr="00A64B3C" w:rsidRDefault="00C0603E" w:rsidP="002203FB">
      <w:pPr>
        <w:pStyle w:val="FootnoteText"/>
        <w:rPr>
          <w:lang w:val="en-US"/>
        </w:rPr>
      </w:pPr>
      <w:r>
        <w:rPr>
          <w:rStyle w:val="FootnoteReference"/>
        </w:rPr>
        <w:footnoteRef/>
      </w:r>
      <w:r>
        <w:t xml:space="preserve"> Ministry of Social Development (2019a). </w:t>
      </w:r>
    </w:p>
  </w:footnote>
  <w:footnote w:id="85">
    <w:p w14:paraId="31E27E84" w14:textId="77777777" w:rsidR="00C0603E" w:rsidRPr="00863B02" w:rsidRDefault="00C0603E" w:rsidP="002203FB">
      <w:pPr>
        <w:pStyle w:val="FootnoteText"/>
        <w:rPr>
          <w:lang w:val="en-US"/>
        </w:rPr>
      </w:pPr>
      <w:r w:rsidRPr="00863B02">
        <w:rPr>
          <w:rStyle w:val="FootnoteReference"/>
        </w:rPr>
        <w:footnoteRef/>
      </w:r>
      <w:r w:rsidRPr="00863B02">
        <w:t xml:space="preserve"> </w:t>
      </w:r>
      <w:hyperlink r:id="rId1" w:history="1">
        <w:r w:rsidRPr="00863B02">
          <w:rPr>
            <w:rStyle w:val="Hyperlink"/>
            <w:color w:val="auto"/>
            <w:u w:val="none"/>
          </w:rPr>
          <w:t>Tenancy</w:t>
        </w:r>
      </w:hyperlink>
      <w:r w:rsidRPr="00863B02">
        <w:rPr>
          <w:rStyle w:val="Hyperlink"/>
          <w:color w:val="auto"/>
          <w:u w:val="none"/>
        </w:rPr>
        <w:t xml:space="preserve"> Services (2020).</w:t>
      </w:r>
      <w:r w:rsidRPr="00863B02">
        <w:t xml:space="preserve"> </w:t>
      </w:r>
    </w:p>
  </w:footnote>
  <w:footnote w:id="86">
    <w:p w14:paraId="591C4FD0" w14:textId="77777777" w:rsidR="00C0603E" w:rsidRPr="00053852" w:rsidRDefault="00C0603E" w:rsidP="002203FB">
      <w:pPr>
        <w:pStyle w:val="FootnoteText"/>
        <w:rPr>
          <w:lang w:val="en-US"/>
        </w:rPr>
      </w:pPr>
      <w:r>
        <w:rPr>
          <w:rStyle w:val="FootnoteReference"/>
        </w:rPr>
        <w:footnoteRef/>
      </w:r>
      <w:r>
        <w:t xml:space="preserve"> </w:t>
      </w:r>
      <w:hyperlink r:id="rId2" w:history="1">
        <w:r>
          <w:rPr>
            <w:rStyle w:val="Hyperlink"/>
            <w:color w:val="auto"/>
            <w:u w:val="none"/>
          </w:rPr>
          <w:t>Tenancy</w:t>
        </w:r>
      </w:hyperlink>
      <w:r>
        <w:rPr>
          <w:rStyle w:val="Hyperlink"/>
          <w:color w:val="auto"/>
          <w:u w:val="none"/>
        </w:rPr>
        <w:t xml:space="preserve"> Services (2020). </w:t>
      </w:r>
      <w:r w:rsidRPr="0077736D">
        <w:t xml:space="preserve"> </w:t>
      </w:r>
    </w:p>
  </w:footnote>
  <w:footnote w:id="87">
    <w:p w14:paraId="2E2ED1CE" w14:textId="77777777" w:rsidR="00C0603E" w:rsidRPr="00697D09" w:rsidRDefault="00C0603E" w:rsidP="002203FB">
      <w:pPr>
        <w:pStyle w:val="FootnoteText"/>
        <w:rPr>
          <w:lang w:val="en-US"/>
        </w:rPr>
      </w:pPr>
      <w:r>
        <w:rPr>
          <w:rStyle w:val="FootnoteReference"/>
        </w:rPr>
        <w:footnoteRef/>
      </w:r>
      <w:r>
        <w:t xml:space="preserve"> Ministry of Social Development (2019a). </w:t>
      </w:r>
    </w:p>
  </w:footnote>
  <w:footnote w:id="88">
    <w:p w14:paraId="55338D3F" w14:textId="77777777" w:rsidR="00C0603E" w:rsidRPr="00E42010" w:rsidRDefault="00C0603E" w:rsidP="002203FB">
      <w:pPr>
        <w:pStyle w:val="FootnoteText"/>
        <w:rPr>
          <w:lang w:val="en-US"/>
        </w:rPr>
      </w:pPr>
      <w:r>
        <w:rPr>
          <w:rStyle w:val="FootnoteReference"/>
        </w:rPr>
        <w:footnoteRef/>
      </w:r>
      <w:r>
        <w:t xml:space="preserve"> Ministry of Social Development (2019a). </w:t>
      </w:r>
    </w:p>
  </w:footnote>
  <w:footnote w:id="89">
    <w:p w14:paraId="35BE99AE" w14:textId="77777777" w:rsidR="00C0603E" w:rsidRPr="00F40B32" w:rsidRDefault="00C0603E" w:rsidP="002203FB">
      <w:pPr>
        <w:pStyle w:val="FootnoteText"/>
        <w:rPr>
          <w:lang w:val="en-US"/>
        </w:rPr>
      </w:pPr>
      <w:r>
        <w:rPr>
          <w:rStyle w:val="FootnoteReference"/>
        </w:rPr>
        <w:footnoteRef/>
      </w:r>
      <w:r>
        <w:t xml:space="preserve"> Ministry of Social Development (2019a). </w:t>
      </w:r>
    </w:p>
  </w:footnote>
  <w:footnote w:id="90">
    <w:p w14:paraId="598E5869" w14:textId="77777777" w:rsidR="00C0603E" w:rsidRPr="005036BE" w:rsidRDefault="00C0603E" w:rsidP="00C35B4C">
      <w:pPr>
        <w:pStyle w:val="FootnoteText"/>
        <w:rPr>
          <w:lang w:val="en-US"/>
        </w:rPr>
      </w:pPr>
      <w:r>
        <w:rPr>
          <w:rStyle w:val="FootnoteReference"/>
        </w:rPr>
        <w:footnoteRef/>
      </w:r>
      <w:r>
        <w:t xml:space="preserve"> Ministry of Housing and Urban Development (2020b). </w:t>
      </w:r>
    </w:p>
  </w:footnote>
  <w:footnote w:id="91">
    <w:p w14:paraId="50077DE0" w14:textId="77777777" w:rsidR="00C0603E" w:rsidRPr="00F36587" w:rsidRDefault="00C0603E" w:rsidP="002203FB">
      <w:pPr>
        <w:pStyle w:val="FootnoteText"/>
        <w:rPr>
          <w:lang w:val="en-US"/>
        </w:rPr>
      </w:pPr>
      <w:r>
        <w:rPr>
          <w:rStyle w:val="FootnoteReference"/>
        </w:rPr>
        <w:footnoteRef/>
      </w:r>
      <w:r>
        <w:t xml:space="preserve"> Ministry of Social Development (2019a). </w:t>
      </w:r>
    </w:p>
  </w:footnote>
  <w:footnote w:id="92">
    <w:p w14:paraId="4A74E9CB" w14:textId="77777777" w:rsidR="00C0603E" w:rsidRPr="002D4BB1" w:rsidRDefault="00C0603E" w:rsidP="002203FB">
      <w:pPr>
        <w:pStyle w:val="FootnoteText"/>
        <w:rPr>
          <w:lang w:val="en-US"/>
        </w:rPr>
      </w:pPr>
      <w:r>
        <w:rPr>
          <w:rStyle w:val="FootnoteReference"/>
        </w:rPr>
        <w:footnoteRef/>
      </w:r>
      <w:r>
        <w:t xml:space="preserve"> Ministry of Social Development (2019a). </w:t>
      </w:r>
    </w:p>
  </w:footnote>
  <w:footnote w:id="93">
    <w:p w14:paraId="0239EE69" w14:textId="77777777" w:rsidR="00C0603E" w:rsidRPr="006B4455" w:rsidRDefault="00C0603E" w:rsidP="002203FB">
      <w:pPr>
        <w:pStyle w:val="FootnoteText"/>
        <w:rPr>
          <w:lang w:val="mi-NZ"/>
        </w:rPr>
      </w:pPr>
      <w:r>
        <w:rPr>
          <w:rStyle w:val="FootnoteReference"/>
        </w:rPr>
        <w:footnoteRef/>
      </w:r>
      <w:r>
        <w:t xml:space="preserve"> </w:t>
      </w:r>
      <w:proofErr w:type="spellStart"/>
      <w:r>
        <w:rPr>
          <w:lang w:val="mi-NZ"/>
        </w:rPr>
        <w:t>Welfare</w:t>
      </w:r>
      <w:proofErr w:type="spellEnd"/>
      <w:r>
        <w:rPr>
          <w:lang w:val="mi-NZ"/>
        </w:rPr>
        <w:t xml:space="preserve"> </w:t>
      </w:r>
      <w:proofErr w:type="spellStart"/>
      <w:r>
        <w:rPr>
          <w:lang w:val="mi-NZ"/>
        </w:rPr>
        <w:t>Expert</w:t>
      </w:r>
      <w:proofErr w:type="spellEnd"/>
      <w:r>
        <w:rPr>
          <w:lang w:val="mi-NZ"/>
        </w:rPr>
        <w:t xml:space="preserve"> </w:t>
      </w:r>
      <w:proofErr w:type="spellStart"/>
      <w:r>
        <w:rPr>
          <w:lang w:val="mi-NZ"/>
        </w:rPr>
        <w:t>Advisory</w:t>
      </w:r>
      <w:proofErr w:type="spellEnd"/>
      <w:r>
        <w:rPr>
          <w:lang w:val="mi-NZ"/>
        </w:rPr>
        <w:t xml:space="preserve"> </w:t>
      </w:r>
      <w:proofErr w:type="spellStart"/>
      <w:r>
        <w:rPr>
          <w:lang w:val="mi-NZ"/>
        </w:rPr>
        <w:t>Group</w:t>
      </w:r>
      <w:proofErr w:type="spellEnd"/>
      <w:r>
        <w:rPr>
          <w:lang w:val="mi-NZ"/>
        </w:rPr>
        <w:t xml:space="preserve"> (2019b).</w:t>
      </w:r>
    </w:p>
  </w:footnote>
  <w:footnote w:id="94">
    <w:p w14:paraId="037BE793" w14:textId="77777777" w:rsidR="00C0603E" w:rsidRPr="00AC5788" w:rsidRDefault="00C0603E" w:rsidP="002203FB">
      <w:pPr>
        <w:pStyle w:val="FootnoteText"/>
        <w:rPr>
          <w:lang w:val="en-US"/>
        </w:rPr>
      </w:pPr>
      <w:r>
        <w:rPr>
          <w:rStyle w:val="FootnoteReference"/>
        </w:rPr>
        <w:footnoteRef/>
      </w:r>
      <w:r>
        <w:t xml:space="preserve"> 1News (2019). </w:t>
      </w:r>
    </w:p>
  </w:footnote>
  <w:footnote w:id="95">
    <w:p w14:paraId="436F9313" w14:textId="2D6A1626" w:rsidR="00C0603E" w:rsidRPr="0047590B" w:rsidRDefault="00C0603E" w:rsidP="002203FB">
      <w:pPr>
        <w:pStyle w:val="FootnoteText"/>
        <w:rPr>
          <w:lang w:val="en-US"/>
        </w:rPr>
      </w:pPr>
      <w:r>
        <w:rPr>
          <w:rStyle w:val="FootnoteReference"/>
        </w:rPr>
        <w:footnoteRef/>
      </w:r>
      <w:r>
        <w:t xml:space="preserve"> </w:t>
      </w:r>
      <w:r>
        <w:rPr>
          <w:lang w:val="en-US"/>
        </w:rPr>
        <w:t>Ministerial advisor email, October 9, 2020.</w:t>
      </w:r>
    </w:p>
  </w:footnote>
  <w:footnote w:id="96">
    <w:p w14:paraId="2A6A11DE" w14:textId="77777777" w:rsidR="00C0603E" w:rsidRPr="005457CB" w:rsidRDefault="00C0603E" w:rsidP="002203FB">
      <w:pPr>
        <w:pStyle w:val="FootnoteText"/>
        <w:rPr>
          <w:lang w:val="en-US"/>
        </w:rPr>
      </w:pPr>
      <w:r>
        <w:rPr>
          <w:rStyle w:val="FootnoteReference"/>
        </w:rPr>
        <w:footnoteRef/>
      </w:r>
      <w:r>
        <w:t xml:space="preserve"> Ministry of Social Development (2019a). </w:t>
      </w:r>
    </w:p>
  </w:footnote>
  <w:footnote w:id="97">
    <w:p w14:paraId="423C3143" w14:textId="77777777" w:rsidR="00C0603E" w:rsidRPr="00EF17E7" w:rsidRDefault="00C0603E" w:rsidP="002203FB">
      <w:pPr>
        <w:pStyle w:val="FootnoteText"/>
        <w:rPr>
          <w:lang w:val="mi-NZ"/>
        </w:rPr>
      </w:pPr>
      <w:r>
        <w:rPr>
          <w:rStyle w:val="FootnoteReference"/>
        </w:rPr>
        <w:footnoteRef/>
      </w:r>
      <w:r>
        <w:t xml:space="preserve"> Jackson (2020). </w:t>
      </w:r>
    </w:p>
  </w:footnote>
  <w:footnote w:id="98">
    <w:p w14:paraId="1A3AB959" w14:textId="77777777" w:rsidR="00C0603E" w:rsidRPr="00C501F5" w:rsidRDefault="00C0603E" w:rsidP="002203FB">
      <w:pPr>
        <w:pStyle w:val="FootnoteText"/>
        <w:rPr>
          <w:lang w:val="en-US"/>
        </w:rPr>
      </w:pPr>
      <w:r>
        <w:rPr>
          <w:rStyle w:val="FootnoteReference"/>
        </w:rPr>
        <w:footnoteRef/>
      </w:r>
      <w:r>
        <w:t xml:space="preserve"> Ministry of Social Development (2019a). </w:t>
      </w:r>
    </w:p>
  </w:footnote>
  <w:footnote w:id="99">
    <w:p w14:paraId="59E55549" w14:textId="77777777" w:rsidR="00C0603E" w:rsidRPr="00C77C27" w:rsidRDefault="00C0603E" w:rsidP="002203FB">
      <w:pPr>
        <w:pStyle w:val="FootnoteText"/>
        <w:rPr>
          <w:lang w:val="en-US"/>
        </w:rPr>
      </w:pPr>
      <w:r>
        <w:rPr>
          <w:rStyle w:val="FootnoteReference"/>
        </w:rPr>
        <w:footnoteRef/>
      </w:r>
      <w:r>
        <w:t xml:space="preserve"> </w:t>
      </w:r>
      <w:hyperlink r:id="rId3" w:anchor="null" w:history="1">
        <w:r w:rsidRPr="00F6640C">
          <w:rPr>
            <w:rStyle w:val="Hyperlink"/>
            <w:color w:val="auto"/>
            <w:u w:val="none"/>
          </w:rPr>
          <w:t>Work</w:t>
        </w:r>
      </w:hyperlink>
      <w:r w:rsidRPr="00F6640C">
        <w:rPr>
          <w:rStyle w:val="Hyperlink"/>
          <w:color w:val="auto"/>
          <w:u w:val="none"/>
        </w:rPr>
        <w:t xml:space="preserve"> and Income (2020b).</w:t>
      </w:r>
      <w:r w:rsidRPr="00F6640C">
        <w:rPr>
          <w:rStyle w:val="Hyperlink"/>
          <w:color w:val="auto"/>
        </w:rPr>
        <w:t xml:space="preserve"> </w:t>
      </w:r>
      <w:r w:rsidRPr="00F6640C">
        <w:t xml:space="preserve"> </w:t>
      </w:r>
    </w:p>
  </w:footnote>
  <w:footnote w:id="100">
    <w:p w14:paraId="4E05B613" w14:textId="77777777" w:rsidR="00C0603E" w:rsidRPr="004B2B05" w:rsidRDefault="00C0603E" w:rsidP="002203FB">
      <w:pPr>
        <w:pStyle w:val="FootnoteText"/>
        <w:rPr>
          <w:lang w:val="en-US"/>
        </w:rPr>
      </w:pPr>
      <w:r>
        <w:rPr>
          <w:rStyle w:val="FootnoteReference"/>
        </w:rPr>
        <w:footnoteRef/>
      </w:r>
      <w:r>
        <w:t xml:space="preserve"> Tertiary Education Commission (2020). </w:t>
      </w:r>
    </w:p>
  </w:footnote>
  <w:footnote w:id="101">
    <w:p w14:paraId="4C26C79A" w14:textId="5896D614" w:rsidR="00C0603E" w:rsidRPr="0050507B" w:rsidRDefault="00C0603E" w:rsidP="002203FB">
      <w:pPr>
        <w:pStyle w:val="FootnoteText"/>
        <w:rPr>
          <w:lang w:val="en-US"/>
        </w:rPr>
      </w:pPr>
      <w:r>
        <w:rPr>
          <w:rStyle w:val="FootnoteReference"/>
        </w:rPr>
        <w:footnoteRef/>
      </w:r>
      <w:r>
        <w:t xml:space="preserve"> Beehive.govt.nz (2020b). </w:t>
      </w:r>
    </w:p>
  </w:footnote>
  <w:footnote w:id="102">
    <w:p w14:paraId="06C42A7A" w14:textId="77777777" w:rsidR="00C0603E" w:rsidRPr="00A85575" w:rsidRDefault="00C0603E" w:rsidP="002203FB">
      <w:pPr>
        <w:pStyle w:val="FootnoteText"/>
        <w:rPr>
          <w:lang w:val="en-US"/>
        </w:rPr>
      </w:pPr>
      <w:r>
        <w:rPr>
          <w:rStyle w:val="FootnoteReference"/>
        </w:rPr>
        <w:footnoteRef/>
      </w:r>
      <w:r>
        <w:t xml:space="preserve"> Ministry of Social Development (2019a). </w:t>
      </w:r>
      <w:r w:rsidRPr="00A85575">
        <w:rPr>
          <w:lang w:val="en-US"/>
        </w:rPr>
        <w:t xml:space="preserve"> </w:t>
      </w:r>
    </w:p>
  </w:footnote>
  <w:footnote w:id="103">
    <w:p w14:paraId="2E9E4165" w14:textId="5BB776A4" w:rsidR="00C0603E" w:rsidRPr="00C935BC" w:rsidRDefault="00C0603E" w:rsidP="002203FB">
      <w:pPr>
        <w:pStyle w:val="FootnoteText"/>
        <w:rPr>
          <w:lang w:val="en-US"/>
        </w:rPr>
      </w:pPr>
      <w:r>
        <w:rPr>
          <w:rStyle w:val="FootnoteReference"/>
        </w:rPr>
        <w:footnoteRef/>
      </w:r>
      <w:r>
        <w:t xml:space="preserve"> </w:t>
      </w:r>
      <w:r>
        <w:rPr>
          <w:lang w:val="en-US"/>
        </w:rPr>
        <w:t>Ministerial advisor email, October 9, 2020.</w:t>
      </w:r>
    </w:p>
  </w:footnote>
  <w:footnote w:id="104">
    <w:p w14:paraId="083F8694" w14:textId="77777777" w:rsidR="00C0603E" w:rsidRPr="00E94514" w:rsidRDefault="00C0603E" w:rsidP="002203FB">
      <w:pPr>
        <w:pStyle w:val="FootnoteText"/>
        <w:rPr>
          <w:lang w:val="en-US"/>
        </w:rPr>
      </w:pPr>
      <w:r>
        <w:rPr>
          <w:rStyle w:val="FootnoteReference"/>
        </w:rPr>
        <w:footnoteRef/>
      </w:r>
      <w:r>
        <w:t xml:space="preserve"> Ministry of Social Development (2019a). </w:t>
      </w:r>
    </w:p>
  </w:footnote>
  <w:footnote w:id="105">
    <w:p w14:paraId="081A88CD" w14:textId="77777777" w:rsidR="00C0603E" w:rsidRPr="00927F47" w:rsidRDefault="00C0603E" w:rsidP="002203FB">
      <w:pPr>
        <w:pStyle w:val="FootnoteText"/>
        <w:rPr>
          <w:lang w:val="en-US"/>
        </w:rPr>
      </w:pPr>
      <w:r>
        <w:rPr>
          <w:rStyle w:val="FootnoteReference"/>
        </w:rPr>
        <w:footnoteRef/>
      </w:r>
      <w:r>
        <w:t xml:space="preserve"> Moir (2018). </w:t>
      </w:r>
    </w:p>
  </w:footnote>
  <w:footnote w:id="106">
    <w:p w14:paraId="7CFEDA50" w14:textId="77777777" w:rsidR="00C0603E" w:rsidRPr="006E14EB" w:rsidRDefault="00C0603E" w:rsidP="002203FB">
      <w:pPr>
        <w:pStyle w:val="FootnoteText"/>
        <w:rPr>
          <w:lang w:val="en-US"/>
        </w:rPr>
      </w:pPr>
      <w:r w:rsidRPr="006E14EB">
        <w:rPr>
          <w:rStyle w:val="FootnoteReference"/>
        </w:rPr>
        <w:footnoteRef/>
      </w:r>
      <w:r w:rsidRPr="006E14EB">
        <w:t xml:space="preserve"> </w:t>
      </w:r>
      <w:hyperlink r:id="rId4" w:history="1">
        <w:r w:rsidRPr="006E14EB">
          <w:rPr>
            <w:rStyle w:val="Hyperlink"/>
            <w:color w:val="auto"/>
            <w:u w:val="none"/>
          </w:rPr>
          <w:t>1</w:t>
        </w:r>
      </w:hyperlink>
      <w:r w:rsidRPr="006E14EB">
        <w:rPr>
          <w:rStyle w:val="Hyperlink"/>
          <w:color w:val="auto"/>
          <w:u w:val="none"/>
        </w:rPr>
        <w:t xml:space="preserve"> News (2019).</w:t>
      </w:r>
      <w:r w:rsidRPr="006E14EB">
        <w:t xml:space="preserve"> </w:t>
      </w:r>
    </w:p>
  </w:footnote>
  <w:footnote w:id="107">
    <w:p w14:paraId="580A37F5" w14:textId="77777777" w:rsidR="00C0603E" w:rsidRPr="00D278E6" w:rsidRDefault="00C0603E" w:rsidP="002203FB">
      <w:pPr>
        <w:pStyle w:val="FootnoteText"/>
        <w:rPr>
          <w:lang w:val="en-US"/>
        </w:rPr>
      </w:pPr>
      <w:r>
        <w:rPr>
          <w:rStyle w:val="FootnoteReference"/>
        </w:rPr>
        <w:footnoteRef/>
      </w:r>
      <w:r>
        <w:t xml:space="preserve"> Stats NZ (2020). </w:t>
      </w:r>
    </w:p>
  </w:footnote>
  <w:footnote w:id="108">
    <w:p w14:paraId="1B118673" w14:textId="77777777" w:rsidR="00C0603E" w:rsidRPr="00A31656" w:rsidRDefault="00C0603E" w:rsidP="002203FB">
      <w:pPr>
        <w:pStyle w:val="FootnoteText"/>
        <w:rPr>
          <w:lang w:val="en-US"/>
        </w:rPr>
      </w:pPr>
      <w:r>
        <w:rPr>
          <w:rStyle w:val="FootnoteReference"/>
        </w:rPr>
        <w:footnoteRef/>
      </w:r>
      <w:r>
        <w:t xml:space="preserve"> Tertiary Education Commission (2020).</w:t>
      </w:r>
    </w:p>
  </w:footnote>
  <w:footnote w:id="109">
    <w:p w14:paraId="0A5FB875" w14:textId="345A7AF1" w:rsidR="00C0603E" w:rsidRPr="00212720" w:rsidRDefault="00C0603E" w:rsidP="002203FB">
      <w:pPr>
        <w:pStyle w:val="FootnoteText"/>
        <w:rPr>
          <w:lang w:val="en-US"/>
        </w:rPr>
      </w:pPr>
      <w:r>
        <w:rPr>
          <w:rStyle w:val="FootnoteReference"/>
        </w:rPr>
        <w:footnoteRef/>
      </w:r>
      <w:r>
        <w:t xml:space="preserve"> </w:t>
      </w:r>
      <w:r>
        <w:rPr>
          <w:lang w:val="en-US"/>
        </w:rPr>
        <w:t>Ministerial advisor email, October 9, 2020.</w:t>
      </w:r>
    </w:p>
  </w:footnote>
  <w:footnote w:id="110">
    <w:p w14:paraId="15340958" w14:textId="77777777" w:rsidR="00C0603E" w:rsidRPr="002C0EAD" w:rsidRDefault="00C0603E" w:rsidP="002203FB">
      <w:pPr>
        <w:pStyle w:val="FootnoteText"/>
        <w:rPr>
          <w:lang w:val="en-US"/>
        </w:rPr>
      </w:pPr>
      <w:r>
        <w:rPr>
          <w:rStyle w:val="FootnoteReference"/>
        </w:rPr>
        <w:footnoteRef/>
      </w:r>
      <w:r>
        <w:t xml:space="preserve"> Ministry of Social Development (2019a). </w:t>
      </w:r>
    </w:p>
  </w:footnote>
  <w:footnote w:id="111">
    <w:p w14:paraId="08572839" w14:textId="77777777" w:rsidR="00C0603E" w:rsidRPr="00317D7B" w:rsidRDefault="00C0603E" w:rsidP="002203FB">
      <w:pPr>
        <w:pStyle w:val="FootnoteText"/>
        <w:rPr>
          <w:lang w:val="en-US"/>
        </w:rPr>
      </w:pPr>
      <w:r>
        <w:rPr>
          <w:rStyle w:val="FootnoteReference"/>
        </w:rPr>
        <w:footnoteRef/>
      </w:r>
      <w:r>
        <w:t xml:space="preserve"> Ministry of Social Development (2019a). </w:t>
      </w:r>
    </w:p>
  </w:footnote>
  <w:footnote w:id="112">
    <w:p w14:paraId="12AECF7A" w14:textId="77777777" w:rsidR="00C0603E" w:rsidRPr="00F04AB0" w:rsidRDefault="00C0603E" w:rsidP="002203FB">
      <w:pPr>
        <w:pStyle w:val="FootnoteText"/>
        <w:rPr>
          <w:lang w:val="en-US"/>
        </w:rPr>
      </w:pPr>
      <w:r>
        <w:rPr>
          <w:rStyle w:val="FootnoteReference"/>
        </w:rPr>
        <w:footnoteRef/>
      </w:r>
      <w:r>
        <w:t xml:space="preserve"> Ministry of Social Development (2020b). </w:t>
      </w:r>
    </w:p>
  </w:footnote>
  <w:footnote w:id="113">
    <w:p w14:paraId="575A3AB5" w14:textId="77777777" w:rsidR="00C0603E" w:rsidRPr="00BB2597" w:rsidRDefault="00C0603E" w:rsidP="002203FB">
      <w:pPr>
        <w:pStyle w:val="FootnoteText"/>
        <w:rPr>
          <w:lang w:val="en-US"/>
        </w:rPr>
      </w:pPr>
      <w:r>
        <w:rPr>
          <w:rStyle w:val="FootnoteReference"/>
        </w:rPr>
        <w:footnoteRef/>
      </w:r>
      <w:r>
        <w:t xml:space="preserve"> Ministry of Social Development (2019a). </w:t>
      </w:r>
    </w:p>
  </w:footnote>
  <w:footnote w:id="114">
    <w:p w14:paraId="3B8B2538" w14:textId="7D03C193" w:rsidR="00C0603E" w:rsidRPr="007478E1" w:rsidRDefault="00C0603E" w:rsidP="002203FB">
      <w:pPr>
        <w:pStyle w:val="FootnoteText"/>
        <w:rPr>
          <w:lang w:val="en-US"/>
        </w:rPr>
      </w:pPr>
      <w:r>
        <w:rPr>
          <w:rStyle w:val="FootnoteReference"/>
        </w:rPr>
        <w:footnoteRef/>
      </w:r>
      <w:r>
        <w:t xml:space="preserve"> </w:t>
      </w:r>
      <w:r>
        <w:rPr>
          <w:lang w:val="en-US"/>
        </w:rPr>
        <w:t>Ministerial advisor email, October 9, 2020.</w:t>
      </w:r>
    </w:p>
  </w:footnote>
  <w:footnote w:id="115">
    <w:p w14:paraId="641FABA9" w14:textId="77777777" w:rsidR="00C0603E" w:rsidRPr="005F06E7" w:rsidRDefault="00C0603E" w:rsidP="002203FB">
      <w:pPr>
        <w:pStyle w:val="FootnoteText"/>
        <w:rPr>
          <w:lang w:val="en-US"/>
        </w:rPr>
      </w:pPr>
      <w:r>
        <w:rPr>
          <w:rStyle w:val="FootnoteReference"/>
        </w:rPr>
        <w:footnoteRef/>
      </w:r>
      <w:r>
        <w:t xml:space="preserve"> Ministry of Social Development (2019a). </w:t>
      </w:r>
    </w:p>
  </w:footnote>
  <w:footnote w:id="116">
    <w:p w14:paraId="2E0955D3" w14:textId="77777777" w:rsidR="00C0603E" w:rsidRPr="00841F7C" w:rsidRDefault="00C0603E" w:rsidP="002203FB">
      <w:pPr>
        <w:pStyle w:val="FootnoteText"/>
        <w:rPr>
          <w:lang w:val="en-US"/>
        </w:rPr>
      </w:pPr>
      <w:r>
        <w:rPr>
          <w:rStyle w:val="FootnoteReference"/>
        </w:rPr>
        <w:footnoteRef/>
      </w:r>
      <w:r>
        <w:t xml:space="preserve"> </w:t>
      </w:r>
      <w:r w:rsidRPr="00432AB2">
        <w:rPr>
          <w:rStyle w:val="Hyperlink"/>
          <w:color w:val="auto"/>
          <w:u w:val="none"/>
        </w:rPr>
        <w:t>Robson (2020).</w:t>
      </w:r>
    </w:p>
  </w:footnote>
  <w:footnote w:id="117">
    <w:p w14:paraId="6B276343" w14:textId="77777777" w:rsidR="00C0603E" w:rsidRPr="00DC4BF1" w:rsidRDefault="00C0603E" w:rsidP="004373FE">
      <w:pPr>
        <w:pStyle w:val="FootnoteText"/>
        <w:rPr>
          <w:lang w:val="en-US"/>
        </w:rPr>
      </w:pPr>
      <w:r>
        <w:rPr>
          <w:rStyle w:val="FootnoteReference"/>
        </w:rPr>
        <w:footnoteRef/>
      </w:r>
      <w:r>
        <w:t xml:space="preserve"> Ministry of Social Development (2019a). </w:t>
      </w:r>
    </w:p>
  </w:footnote>
  <w:footnote w:id="118">
    <w:p w14:paraId="6117E8F7" w14:textId="77777777" w:rsidR="00C0603E" w:rsidRPr="00E17235" w:rsidRDefault="00C0603E" w:rsidP="004373FE">
      <w:pPr>
        <w:pStyle w:val="FootnoteText"/>
        <w:rPr>
          <w:lang w:val="mi-NZ"/>
        </w:rPr>
      </w:pPr>
      <w:r>
        <w:rPr>
          <w:rStyle w:val="FootnoteReference"/>
        </w:rPr>
        <w:footnoteRef/>
      </w:r>
      <w:r>
        <w:t xml:space="preserve"> Ministry of Social Development (2019a). </w:t>
      </w:r>
    </w:p>
  </w:footnote>
  <w:footnote w:id="119">
    <w:p w14:paraId="6D512DA9" w14:textId="77777777" w:rsidR="00C0603E" w:rsidRPr="00E17235" w:rsidRDefault="00C0603E" w:rsidP="004373FE">
      <w:pPr>
        <w:pStyle w:val="FootnoteText"/>
        <w:rPr>
          <w:lang w:val="mi-NZ"/>
        </w:rPr>
      </w:pPr>
      <w:r>
        <w:rPr>
          <w:rStyle w:val="FootnoteReference"/>
        </w:rPr>
        <w:footnoteRef/>
      </w:r>
      <w:r>
        <w:t xml:space="preserve"> Ministry of Social Development (2019a). </w:t>
      </w:r>
    </w:p>
  </w:footnote>
  <w:footnote w:id="120">
    <w:p w14:paraId="5E5195BE" w14:textId="77777777" w:rsidR="00C0603E" w:rsidRPr="00E17235" w:rsidRDefault="00C0603E" w:rsidP="004373FE">
      <w:pPr>
        <w:pStyle w:val="FootnoteText"/>
        <w:rPr>
          <w:lang w:val="mi-NZ"/>
        </w:rPr>
      </w:pPr>
      <w:r>
        <w:rPr>
          <w:rStyle w:val="FootnoteReference"/>
        </w:rPr>
        <w:footnoteRef/>
      </w:r>
      <w:r>
        <w:t xml:space="preserve"> Ministry of Social Development (2019a). </w:t>
      </w:r>
    </w:p>
  </w:footnote>
  <w:footnote w:id="121">
    <w:p w14:paraId="7AEA82D8" w14:textId="77777777" w:rsidR="00C0603E" w:rsidRPr="00E17235" w:rsidRDefault="00C0603E" w:rsidP="004373FE">
      <w:pPr>
        <w:pStyle w:val="FootnoteText"/>
        <w:rPr>
          <w:lang w:val="mi-NZ"/>
        </w:rPr>
      </w:pPr>
      <w:r>
        <w:rPr>
          <w:rStyle w:val="FootnoteReference"/>
        </w:rPr>
        <w:footnoteRef/>
      </w:r>
      <w:r>
        <w:t xml:space="preserve"> Ministry of Social Development (2019a). </w:t>
      </w:r>
    </w:p>
  </w:footnote>
  <w:footnote w:id="122">
    <w:p w14:paraId="11AA9D18" w14:textId="77777777" w:rsidR="00C0603E" w:rsidRPr="00E17235" w:rsidRDefault="00C0603E" w:rsidP="004373FE">
      <w:pPr>
        <w:pStyle w:val="FootnoteText"/>
        <w:rPr>
          <w:lang w:val="mi-NZ"/>
        </w:rPr>
      </w:pPr>
      <w:r>
        <w:rPr>
          <w:rStyle w:val="FootnoteReference"/>
        </w:rPr>
        <w:footnoteRef/>
      </w:r>
      <w:r>
        <w:t xml:space="preserve"> Ministry of Social Development (2019a). </w:t>
      </w:r>
    </w:p>
  </w:footnote>
  <w:footnote w:id="123">
    <w:p w14:paraId="595968AD" w14:textId="77777777" w:rsidR="00C0603E" w:rsidRPr="00E17235" w:rsidRDefault="00C0603E" w:rsidP="004373FE">
      <w:pPr>
        <w:pStyle w:val="FootnoteText"/>
        <w:rPr>
          <w:lang w:val="mi-NZ"/>
        </w:rPr>
      </w:pPr>
      <w:r>
        <w:rPr>
          <w:rStyle w:val="FootnoteReference"/>
        </w:rPr>
        <w:footnoteRef/>
      </w:r>
      <w:r>
        <w:t xml:space="preserve"> Ministry of Social Development (2019a). </w:t>
      </w:r>
    </w:p>
  </w:footnote>
  <w:footnote w:id="124">
    <w:p w14:paraId="56118F36" w14:textId="77777777" w:rsidR="00C0603E" w:rsidRPr="0018077B" w:rsidRDefault="00C0603E" w:rsidP="004373FE">
      <w:pPr>
        <w:pStyle w:val="FootnoteText"/>
        <w:rPr>
          <w:lang w:val="en-US"/>
        </w:rPr>
      </w:pPr>
      <w:r>
        <w:rPr>
          <w:rStyle w:val="FootnoteReference"/>
        </w:rPr>
        <w:footnoteRef/>
      </w:r>
      <w:r>
        <w:t xml:space="preserve"> New Zealand Government (2020). </w:t>
      </w:r>
    </w:p>
  </w:footnote>
  <w:footnote w:id="125">
    <w:p w14:paraId="7AAFE6B3" w14:textId="77777777" w:rsidR="00C0603E" w:rsidRPr="00BA03D5" w:rsidRDefault="00C0603E" w:rsidP="004373FE">
      <w:pPr>
        <w:pStyle w:val="FootnoteText"/>
        <w:rPr>
          <w:lang w:val="en-US"/>
        </w:rPr>
      </w:pPr>
      <w:r>
        <w:rPr>
          <w:rStyle w:val="FootnoteReference"/>
        </w:rPr>
        <w:footnoteRef/>
      </w:r>
      <w:r>
        <w:t xml:space="preserve"> New Zealand Government (2019c). </w:t>
      </w:r>
    </w:p>
  </w:footnote>
  <w:footnote w:id="126">
    <w:p w14:paraId="49326A4C" w14:textId="77777777" w:rsidR="00C0603E" w:rsidRPr="008D7ACF" w:rsidRDefault="00C0603E" w:rsidP="004373FE">
      <w:pPr>
        <w:pStyle w:val="FootnoteText"/>
        <w:rPr>
          <w:lang w:val="mi-NZ"/>
        </w:rPr>
      </w:pPr>
      <w:r>
        <w:rPr>
          <w:rStyle w:val="FootnoteReference"/>
        </w:rPr>
        <w:footnoteRef/>
      </w:r>
      <w:r>
        <w:t xml:space="preserve"> Ministry of Social Development (2019a). </w:t>
      </w:r>
    </w:p>
  </w:footnote>
  <w:footnote w:id="127">
    <w:p w14:paraId="2E24B675" w14:textId="77777777" w:rsidR="00C0603E" w:rsidRPr="00C113D7" w:rsidRDefault="00C0603E" w:rsidP="004373FE">
      <w:pPr>
        <w:pStyle w:val="FootnoteText"/>
      </w:pPr>
      <w:r>
        <w:rPr>
          <w:rStyle w:val="FootnoteReference"/>
        </w:rPr>
        <w:footnoteRef/>
      </w:r>
      <w:r>
        <w:t xml:space="preserve"> New Zealand Government (2019c). </w:t>
      </w:r>
    </w:p>
  </w:footnote>
  <w:footnote w:id="128">
    <w:p w14:paraId="51787FF8" w14:textId="77777777" w:rsidR="00C0603E" w:rsidRPr="0093314E" w:rsidRDefault="00C0603E" w:rsidP="004373FE">
      <w:pPr>
        <w:pStyle w:val="FootnoteText"/>
        <w:rPr>
          <w:lang w:val="mi-NZ"/>
        </w:rPr>
      </w:pPr>
      <w:r>
        <w:rPr>
          <w:rStyle w:val="FootnoteReference"/>
        </w:rPr>
        <w:footnoteRef/>
      </w:r>
      <w:r>
        <w:t xml:space="preserve"> Ministry of Social Development (2019a). </w:t>
      </w:r>
    </w:p>
  </w:footnote>
  <w:footnote w:id="129">
    <w:p w14:paraId="16D2224A" w14:textId="77777777" w:rsidR="00C0603E" w:rsidRPr="00482CD3" w:rsidRDefault="00C0603E" w:rsidP="004373FE">
      <w:pPr>
        <w:pStyle w:val="FootnoteText"/>
        <w:rPr>
          <w:lang w:val="mi-NZ"/>
        </w:rPr>
      </w:pPr>
      <w:r>
        <w:rPr>
          <w:rStyle w:val="FootnoteReference"/>
        </w:rPr>
        <w:footnoteRef/>
      </w:r>
      <w:r>
        <w:t xml:space="preserve"> </w:t>
      </w:r>
      <w:proofErr w:type="spellStart"/>
      <w:r w:rsidRPr="00C422C7">
        <w:rPr>
          <w:lang w:val="mi-NZ"/>
        </w:rPr>
        <w:t>Welfare</w:t>
      </w:r>
      <w:proofErr w:type="spellEnd"/>
      <w:r w:rsidRPr="00C422C7">
        <w:rPr>
          <w:lang w:val="mi-NZ"/>
        </w:rPr>
        <w:t xml:space="preserve"> </w:t>
      </w:r>
      <w:proofErr w:type="spellStart"/>
      <w:r w:rsidRPr="00C422C7">
        <w:rPr>
          <w:lang w:val="mi-NZ"/>
        </w:rPr>
        <w:t>Expert</w:t>
      </w:r>
      <w:proofErr w:type="spellEnd"/>
      <w:r w:rsidRPr="00C422C7">
        <w:rPr>
          <w:lang w:val="mi-NZ"/>
        </w:rPr>
        <w:t xml:space="preserve"> </w:t>
      </w:r>
      <w:proofErr w:type="spellStart"/>
      <w:r w:rsidRPr="00C422C7">
        <w:rPr>
          <w:lang w:val="mi-NZ"/>
        </w:rPr>
        <w:t>Advisory</w:t>
      </w:r>
      <w:proofErr w:type="spellEnd"/>
      <w:r w:rsidRPr="00C422C7">
        <w:rPr>
          <w:lang w:val="mi-NZ"/>
        </w:rPr>
        <w:t xml:space="preserve"> </w:t>
      </w:r>
      <w:proofErr w:type="spellStart"/>
      <w:r w:rsidRPr="00C422C7">
        <w:rPr>
          <w:lang w:val="mi-NZ"/>
        </w:rPr>
        <w:t>Group</w:t>
      </w:r>
      <w:proofErr w:type="spellEnd"/>
      <w:r w:rsidRPr="00C422C7">
        <w:rPr>
          <w:lang w:val="mi-NZ"/>
        </w:rPr>
        <w:t xml:space="preserve"> (2019</w:t>
      </w:r>
      <w:r>
        <w:rPr>
          <w:lang w:val="mi-NZ"/>
        </w:rPr>
        <w:t>b</w:t>
      </w:r>
      <w:r w:rsidRPr="00C422C7">
        <w:rPr>
          <w:lang w:val="mi-NZ"/>
        </w:rPr>
        <w:t xml:space="preserve">). </w:t>
      </w:r>
    </w:p>
  </w:footnote>
  <w:footnote w:id="130">
    <w:p w14:paraId="167A3884" w14:textId="77777777" w:rsidR="00C0603E" w:rsidRPr="00CB10CD" w:rsidRDefault="00C0603E" w:rsidP="004373FE">
      <w:pPr>
        <w:pStyle w:val="FootnoteText"/>
        <w:rPr>
          <w:lang w:val="mi-NZ"/>
        </w:rPr>
      </w:pPr>
      <w:r>
        <w:rPr>
          <w:rStyle w:val="FootnoteReference"/>
        </w:rPr>
        <w:footnoteRef/>
      </w:r>
      <w:r>
        <w:t xml:space="preserve"> Ministry of Social Development (2019a). </w:t>
      </w:r>
    </w:p>
  </w:footnote>
  <w:footnote w:id="131">
    <w:p w14:paraId="69D6EC4E" w14:textId="77777777" w:rsidR="00C0603E" w:rsidRPr="00A84E1B" w:rsidRDefault="00C0603E" w:rsidP="004373FE">
      <w:pPr>
        <w:pStyle w:val="FootnoteText"/>
        <w:rPr>
          <w:lang w:val="mi-NZ"/>
        </w:rPr>
      </w:pPr>
      <w:r>
        <w:rPr>
          <w:rStyle w:val="FootnoteReference"/>
        </w:rPr>
        <w:footnoteRef/>
      </w:r>
      <w:r>
        <w:t xml:space="preserve"> Ministry of Social Development (2019a). </w:t>
      </w:r>
    </w:p>
  </w:footnote>
  <w:footnote w:id="132">
    <w:p w14:paraId="753449B2" w14:textId="77777777" w:rsidR="00C0603E" w:rsidRPr="00A84E1B" w:rsidRDefault="00C0603E" w:rsidP="004373FE">
      <w:pPr>
        <w:pStyle w:val="FootnoteText"/>
        <w:rPr>
          <w:lang w:val="mi-NZ"/>
        </w:rPr>
      </w:pPr>
      <w:r>
        <w:rPr>
          <w:rStyle w:val="FootnoteReference"/>
        </w:rPr>
        <w:footnoteRef/>
      </w:r>
      <w:r>
        <w:t xml:space="preserve"> Ministry of Social Development (2019c). </w:t>
      </w:r>
    </w:p>
  </w:footnote>
  <w:footnote w:id="133">
    <w:p w14:paraId="71FC17F0" w14:textId="77777777" w:rsidR="00C0603E" w:rsidRPr="0013299D" w:rsidRDefault="00C0603E" w:rsidP="004373FE">
      <w:pPr>
        <w:pStyle w:val="FootnoteText"/>
        <w:rPr>
          <w:lang w:val="en-US"/>
        </w:rPr>
      </w:pPr>
      <w:r>
        <w:rPr>
          <w:rStyle w:val="FootnoteReference"/>
        </w:rPr>
        <w:footnoteRef/>
      </w:r>
      <w:r>
        <w:t xml:space="preserve"> Ministry of Social Development (2019a). </w:t>
      </w:r>
    </w:p>
  </w:footnote>
  <w:footnote w:id="134">
    <w:p w14:paraId="6F2F5024" w14:textId="77777777" w:rsidR="00C0603E" w:rsidRPr="0013299D" w:rsidRDefault="00C0603E" w:rsidP="004373FE">
      <w:pPr>
        <w:pStyle w:val="FootnoteText"/>
        <w:rPr>
          <w:lang w:val="en-US"/>
        </w:rPr>
      </w:pPr>
      <w:r>
        <w:rPr>
          <w:rStyle w:val="FootnoteReference"/>
        </w:rPr>
        <w:footnoteRef/>
      </w:r>
      <w:r>
        <w:t xml:space="preserve"> Ministry of Social Development (2019a). </w:t>
      </w:r>
    </w:p>
  </w:footnote>
  <w:footnote w:id="135">
    <w:p w14:paraId="05225BF5" w14:textId="77777777" w:rsidR="00C0603E" w:rsidRPr="00C07A8D" w:rsidRDefault="00C0603E" w:rsidP="004373FE">
      <w:pPr>
        <w:pStyle w:val="FootnoteText"/>
        <w:rPr>
          <w:lang w:val="en-US"/>
        </w:rPr>
      </w:pPr>
      <w:r>
        <w:rPr>
          <w:rStyle w:val="FootnoteReference"/>
        </w:rPr>
        <w:footnoteRef/>
      </w:r>
      <w:r>
        <w:t xml:space="preserve"> </w:t>
      </w:r>
      <w:r>
        <w:rPr>
          <w:lang w:val="en-US"/>
        </w:rPr>
        <w:t xml:space="preserve">Ministry of Social Development (2019b). </w:t>
      </w:r>
    </w:p>
  </w:footnote>
  <w:footnote w:id="136">
    <w:p w14:paraId="122E889E" w14:textId="77777777" w:rsidR="00C0603E" w:rsidRPr="00D25DBD" w:rsidRDefault="00C0603E" w:rsidP="004373FE">
      <w:pPr>
        <w:pStyle w:val="FootnoteText"/>
        <w:rPr>
          <w:lang w:val="en-US"/>
        </w:rPr>
      </w:pPr>
      <w:r>
        <w:rPr>
          <w:rStyle w:val="FootnoteReference"/>
        </w:rPr>
        <w:footnoteRef/>
      </w:r>
      <w:r>
        <w:t xml:space="preserve"> Ministry of Social Development (2019a). </w:t>
      </w:r>
    </w:p>
  </w:footnote>
  <w:footnote w:id="137">
    <w:p w14:paraId="1E3BDB3C" w14:textId="77777777" w:rsidR="00C0603E" w:rsidRPr="00C77C27" w:rsidRDefault="00C0603E" w:rsidP="004373FE">
      <w:pPr>
        <w:pStyle w:val="FootnoteText"/>
        <w:rPr>
          <w:lang w:val="en-US"/>
        </w:rPr>
      </w:pPr>
      <w:r>
        <w:rPr>
          <w:rStyle w:val="FootnoteReference"/>
        </w:rPr>
        <w:footnoteRef/>
      </w:r>
      <w:r>
        <w:t xml:space="preserve"> Work and Income (2020b). </w:t>
      </w:r>
    </w:p>
  </w:footnote>
  <w:footnote w:id="138">
    <w:p w14:paraId="79564B5C" w14:textId="77777777" w:rsidR="00C0603E" w:rsidRPr="00D25DBD" w:rsidRDefault="00C0603E" w:rsidP="004373FE">
      <w:pPr>
        <w:pStyle w:val="FootnoteText"/>
        <w:rPr>
          <w:lang w:val="en-US"/>
        </w:rPr>
      </w:pPr>
      <w:r>
        <w:rPr>
          <w:rStyle w:val="FootnoteReference"/>
        </w:rPr>
        <w:footnoteRef/>
      </w:r>
      <w:r>
        <w:t xml:space="preserve"> Ministry of Social Development (2019a). </w:t>
      </w:r>
    </w:p>
  </w:footnote>
  <w:footnote w:id="139">
    <w:p w14:paraId="7E95FBF5" w14:textId="77777777" w:rsidR="00C0603E" w:rsidRPr="000B0F2C" w:rsidRDefault="00C0603E" w:rsidP="004373FE">
      <w:pPr>
        <w:pStyle w:val="FootnoteText"/>
        <w:rPr>
          <w:lang w:val="en-US"/>
        </w:rPr>
      </w:pPr>
      <w:r>
        <w:rPr>
          <w:rStyle w:val="FootnoteReference"/>
        </w:rPr>
        <w:footnoteRef/>
      </w:r>
      <w:r>
        <w:t xml:space="preserve"> Ministry of Social Development (2019a). </w:t>
      </w:r>
    </w:p>
  </w:footnote>
  <w:footnote w:id="140">
    <w:p w14:paraId="5AEFE9CD" w14:textId="77777777" w:rsidR="00C0603E" w:rsidRPr="00E73D20" w:rsidRDefault="00C0603E" w:rsidP="004373FE">
      <w:pPr>
        <w:pStyle w:val="FootnoteText"/>
        <w:rPr>
          <w:lang w:val="en-US"/>
        </w:rPr>
      </w:pPr>
      <w:r>
        <w:rPr>
          <w:rStyle w:val="FootnoteReference"/>
        </w:rPr>
        <w:footnoteRef/>
      </w:r>
      <w:r>
        <w:t xml:space="preserve"> Ministry of Social Development (2019a). </w:t>
      </w:r>
    </w:p>
  </w:footnote>
  <w:footnote w:id="141">
    <w:p w14:paraId="40E94ACB" w14:textId="77777777" w:rsidR="00C0603E" w:rsidRPr="00FF3DC0" w:rsidRDefault="00C0603E" w:rsidP="004373FE">
      <w:pPr>
        <w:pStyle w:val="FootnoteText"/>
        <w:rPr>
          <w:lang w:val="en-US"/>
        </w:rPr>
      </w:pPr>
      <w:r>
        <w:rPr>
          <w:rStyle w:val="FootnoteReference"/>
        </w:rPr>
        <w:footnoteRef/>
      </w:r>
      <w:r>
        <w:t xml:space="preserve"> Ministry of Social Development (2019a). </w:t>
      </w:r>
    </w:p>
  </w:footnote>
  <w:footnote w:id="142">
    <w:p w14:paraId="50E7281C" w14:textId="77777777" w:rsidR="00C0603E" w:rsidRPr="00E73D20" w:rsidRDefault="00C0603E" w:rsidP="004373FE">
      <w:pPr>
        <w:pStyle w:val="FootnoteText"/>
        <w:rPr>
          <w:lang w:val="en-US"/>
        </w:rPr>
      </w:pPr>
      <w:r>
        <w:rPr>
          <w:rStyle w:val="FootnoteReference"/>
        </w:rPr>
        <w:footnoteRef/>
      </w:r>
      <w:r>
        <w:t xml:space="preserve"> Ministry of Social Development (2019a). </w:t>
      </w:r>
    </w:p>
  </w:footnote>
  <w:footnote w:id="143">
    <w:p w14:paraId="4EFA9642" w14:textId="77777777" w:rsidR="00C0603E" w:rsidRPr="00D25DBD" w:rsidRDefault="00C0603E" w:rsidP="004373FE">
      <w:pPr>
        <w:pStyle w:val="FootnoteText"/>
        <w:rPr>
          <w:lang w:val="en-US"/>
        </w:rPr>
      </w:pPr>
      <w:r>
        <w:rPr>
          <w:rStyle w:val="FootnoteReference"/>
        </w:rPr>
        <w:footnoteRef/>
      </w:r>
      <w:r>
        <w:t xml:space="preserve"> Ministry of Social Development (2019a). </w:t>
      </w:r>
    </w:p>
  </w:footnote>
  <w:footnote w:id="144">
    <w:p w14:paraId="7E6344E1" w14:textId="5EB9B560" w:rsidR="00C0603E" w:rsidRPr="0050507B" w:rsidRDefault="00C0603E" w:rsidP="004373FE">
      <w:pPr>
        <w:pStyle w:val="FootnoteText"/>
        <w:rPr>
          <w:lang w:val="en-US"/>
        </w:rPr>
      </w:pPr>
      <w:r>
        <w:rPr>
          <w:rStyle w:val="FootnoteReference"/>
        </w:rPr>
        <w:footnoteRef/>
      </w:r>
      <w:r>
        <w:t xml:space="preserve"> Beehive.govt.nz. (2020b). </w:t>
      </w:r>
    </w:p>
  </w:footnote>
  <w:footnote w:id="145">
    <w:p w14:paraId="415662F3" w14:textId="77777777" w:rsidR="00C0603E" w:rsidRPr="00AD5E7B" w:rsidRDefault="00C0603E" w:rsidP="004373FE">
      <w:pPr>
        <w:pStyle w:val="FootnoteText"/>
        <w:rPr>
          <w:lang w:val="en-US"/>
        </w:rPr>
      </w:pPr>
      <w:r>
        <w:rPr>
          <w:rStyle w:val="FootnoteReference"/>
        </w:rPr>
        <w:footnoteRef/>
      </w:r>
      <w:r>
        <w:t xml:space="preserve"> Ministry of Social Development (2019a). </w:t>
      </w:r>
    </w:p>
  </w:footnote>
  <w:footnote w:id="146">
    <w:p w14:paraId="2A1EDDD1" w14:textId="77777777" w:rsidR="00C0603E" w:rsidRPr="004A53A2" w:rsidRDefault="00C0603E" w:rsidP="004373FE">
      <w:pPr>
        <w:pStyle w:val="FootnoteText"/>
        <w:rPr>
          <w:lang w:val="mi-NZ"/>
        </w:rPr>
      </w:pPr>
      <w:r>
        <w:rPr>
          <w:rStyle w:val="FootnoteReference"/>
        </w:rPr>
        <w:footnoteRef/>
      </w:r>
      <w:r>
        <w:t xml:space="preserve"> Ministry of Social Development (2019a). </w:t>
      </w:r>
    </w:p>
  </w:footnote>
  <w:footnote w:id="147">
    <w:p w14:paraId="7D307716" w14:textId="77777777" w:rsidR="00C0603E" w:rsidRPr="00257F9E" w:rsidRDefault="00C0603E" w:rsidP="004373FE">
      <w:pPr>
        <w:pStyle w:val="FootnoteText"/>
        <w:rPr>
          <w:lang w:val="mi-NZ"/>
        </w:rPr>
      </w:pPr>
      <w:r>
        <w:rPr>
          <w:rStyle w:val="FootnoteReference"/>
        </w:rPr>
        <w:footnoteRef/>
      </w:r>
      <w:r>
        <w:t xml:space="preserve"> </w:t>
      </w:r>
      <w:proofErr w:type="spellStart"/>
      <w:r>
        <w:t>Kāinga</w:t>
      </w:r>
      <w:proofErr w:type="spellEnd"/>
      <w:r>
        <w:t xml:space="preserve"> Ora (2020). </w:t>
      </w:r>
    </w:p>
  </w:footnote>
  <w:footnote w:id="148">
    <w:p w14:paraId="475570DE" w14:textId="77777777" w:rsidR="00C0603E" w:rsidRPr="00E33A42" w:rsidRDefault="00C0603E" w:rsidP="004373FE">
      <w:pPr>
        <w:pStyle w:val="FootnoteText"/>
        <w:rPr>
          <w:lang w:val="en-US"/>
        </w:rPr>
      </w:pPr>
      <w:r>
        <w:rPr>
          <w:rStyle w:val="FootnoteReference"/>
        </w:rPr>
        <w:footnoteRef/>
      </w:r>
      <w:r>
        <w:t xml:space="preserve"> Ministry of Social Development (2019a). </w:t>
      </w:r>
    </w:p>
  </w:footnote>
  <w:footnote w:id="149">
    <w:p w14:paraId="33D7C173" w14:textId="0D7B1300" w:rsidR="00C0603E" w:rsidRPr="0047590B" w:rsidRDefault="00C0603E" w:rsidP="004373FE">
      <w:pPr>
        <w:pStyle w:val="FootnoteText"/>
        <w:rPr>
          <w:lang w:val="en-US"/>
        </w:rPr>
      </w:pPr>
      <w:r>
        <w:rPr>
          <w:rStyle w:val="FootnoteReference"/>
        </w:rPr>
        <w:footnoteRef/>
      </w:r>
      <w:r>
        <w:t xml:space="preserve"> </w:t>
      </w:r>
      <w:r>
        <w:rPr>
          <w:lang w:val="en-US"/>
        </w:rPr>
        <w:t xml:space="preserve">Ministerial advisor email, October 9, 2020. </w:t>
      </w:r>
    </w:p>
  </w:footnote>
  <w:footnote w:id="150">
    <w:p w14:paraId="77253995" w14:textId="77777777" w:rsidR="00C0603E" w:rsidRPr="00AC13BA" w:rsidRDefault="00C0603E" w:rsidP="004373FE">
      <w:pPr>
        <w:pStyle w:val="FootnoteText"/>
        <w:rPr>
          <w:lang w:val="en-US"/>
        </w:rPr>
      </w:pPr>
      <w:r>
        <w:rPr>
          <w:rStyle w:val="FootnoteReference"/>
        </w:rPr>
        <w:footnoteRef/>
      </w:r>
      <w:r>
        <w:t xml:space="preserve"> New Zealand Government (2019c). </w:t>
      </w:r>
    </w:p>
  </w:footnote>
  <w:footnote w:id="151">
    <w:p w14:paraId="6A1EFD0A" w14:textId="77777777" w:rsidR="00C0603E" w:rsidRPr="003569E8" w:rsidRDefault="00C0603E" w:rsidP="004373FE">
      <w:pPr>
        <w:pStyle w:val="FootnoteText"/>
        <w:rPr>
          <w:lang w:val="en-US"/>
        </w:rPr>
      </w:pPr>
      <w:r>
        <w:rPr>
          <w:rStyle w:val="FootnoteReference"/>
        </w:rPr>
        <w:footnoteRef/>
      </w:r>
      <w:r>
        <w:t xml:space="preserve"> Ministry of Social Development (2019a). </w:t>
      </w:r>
    </w:p>
  </w:footnote>
  <w:footnote w:id="152">
    <w:p w14:paraId="41DE68D6" w14:textId="77777777" w:rsidR="00C0603E" w:rsidRPr="006B4455" w:rsidRDefault="00C0603E" w:rsidP="004373FE">
      <w:pPr>
        <w:pStyle w:val="FootnoteText"/>
        <w:rPr>
          <w:lang w:val="mi-NZ"/>
        </w:rPr>
      </w:pPr>
      <w:r>
        <w:rPr>
          <w:rStyle w:val="FootnoteReference"/>
        </w:rPr>
        <w:footnoteRef/>
      </w:r>
      <w:r>
        <w:t xml:space="preserve"> </w:t>
      </w:r>
      <w:proofErr w:type="spellStart"/>
      <w:r>
        <w:rPr>
          <w:lang w:val="mi-NZ"/>
        </w:rPr>
        <w:t>Welfare</w:t>
      </w:r>
      <w:proofErr w:type="spellEnd"/>
      <w:r>
        <w:rPr>
          <w:lang w:val="mi-NZ"/>
        </w:rPr>
        <w:t xml:space="preserve"> </w:t>
      </w:r>
      <w:proofErr w:type="spellStart"/>
      <w:r>
        <w:rPr>
          <w:lang w:val="mi-NZ"/>
        </w:rPr>
        <w:t>Expert</w:t>
      </w:r>
      <w:proofErr w:type="spellEnd"/>
      <w:r>
        <w:rPr>
          <w:lang w:val="mi-NZ"/>
        </w:rPr>
        <w:t xml:space="preserve"> </w:t>
      </w:r>
      <w:proofErr w:type="spellStart"/>
      <w:r>
        <w:rPr>
          <w:lang w:val="mi-NZ"/>
        </w:rPr>
        <w:t>Advisory</w:t>
      </w:r>
      <w:proofErr w:type="spellEnd"/>
      <w:r>
        <w:rPr>
          <w:lang w:val="mi-NZ"/>
        </w:rPr>
        <w:t xml:space="preserve"> </w:t>
      </w:r>
      <w:proofErr w:type="spellStart"/>
      <w:r>
        <w:rPr>
          <w:lang w:val="mi-NZ"/>
        </w:rPr>
        <w:t>Group</w:t>
      </w:r>
      <w:proofErr w:type="spellEnd"/>
      <w:r>
        <w:rPr>
          <w:lang w:val="mi-NZ"/>
        </w:rPr>
        <w:t xml:space="preserve"> (2019b). </w:t>
      </w:r>
    </w:p>
  </w:footnote>
  <w:footnote w:id="153">
    <w:p w14:paraId="0C68AB6B" w14:textId="77777777" w:rsidR="00C0603E" w:rsidRPr="005457CB" w:rsidRDefault="00C0603E" w:rsidP="004373FE">
      <w:pPr>
        <w:pStyle w:val="FootnoteText"/>
        <w:rPr>
          <w:lang w:val="en-US"/>
        </w:rPr>
      </w:pPr>
      <w:r>
        <w:rPr>
          <w:rStyle w:val="FootnoteReference"/>
        </w:rPr>
        <w:footnoteRef/>
      </w:r>
      <w:r>
        <w:t xml:space="preserve"> Ministry of Social Development (2019a). </w:t>
      </w:r>
    </w:p>
  </w:footnote>
  <w:footnote w:id="154">
    <w:p w14:paraId="2684DAE6" w14:textId="77777777" w:rsidR="00C0603E" w:rsidRPr="00EF17E7" w:rsidRDefault="00C0603E" w:rsidP="004373FE">
      <w:pPr>
        <w:pStyle w:val="FootnoteText"/>
        <w:rPr>
          <w:lang w:val="mi-NZ"/>
        </w:rPr>
      </w:pPr>
      <w:r>
        <w:rPr>
          <w:rStyle w:val="FootnoteReference"/>
        </w:rPr>
        <w:footnoteRef/>
      </w:r>
      <w:r>
        <w:t xml:space="preserve"> Jackson (2020). </w:t>
      </w:r>
    </w:p>
  </w:footnote>
  <w:footnote w:id="155">
    <w:p w14:paraId="51CE77C7" w14:textId="77777777" w:rsidR="00C0603E" w:rsidRPr="00B47D26" w:rsidRDefault="00C0603E" w:rsidP="004373FE">
      <w:pPr>
        <w:pStyle w:val="FootnoteText"/>
        <w:rPr>
          <w:lang w:val="en-US"/>
        </w:rPr>
      </w:pPr>
      <w:r>
        <w:rPr>
          <w:rStyle w:val="FootnoteReference"/>
        </w:rPr>
        <w:footnoteRef/>
      </w:r>
      <w:r>
        <w:t xml:space="preserve"> Ministry of Social Development (2019a). </w:t>
      </w:r>
    </w:p>
  </w:footnote>
  <w:footnote w:id="156">
    <w:p w14:paraId="1CFE8D52" w14:textId="39A17A5A" w:rsidR="00C0603E" w:rsidRPr="007C25CC" w:rsidRDefault="00C0603E">
      <w:pPr>
        <w:pStyle w:val="FootnoteText"/>
        <w:rPr>
          <w:lang w:val="en-US"/>
        </w:rPr>
      </w:pPr>
      <w:r>
        <w:rPr>
          <w:rStyle w:val="FootnoteReference"/>
        </w:rPr>
        <w:footnoteRef/>
      </w:r>
      <w:r>
        <w:t xml:space="preserve"> </w:t>
      </w:r>
      <w:r>
        <w:rPr>
          <w:lang w:val="en-US"/>
        </w:rPr>
        <w:t xml:space="preserve">Tertiary Education Commission (2020a). </w:t>
      </w:r>
    </w:p>
  </w:footnote>
  <w:footnote w:id="157">
    <w:p w14:paraId="03962D2A" w14:textId="6DB70545" w:rsidR="00C0603E" w:rsidRPr="00E3332C" w:rsidRDefault="00C0603E">
      <w:pPr>
        <w:pStyle w:val="FootnoteText"/>
        <w:rPr>
          <w:lang w:val="en-US"/>
        </w:rPr>
      </w:pPr>
      <w:r>
        <w:rPr>
          <w:rStyle w:val="FootnoteReference"/>
        </w:rPr>
        <w:footnoteRef/>
      </w:r>
      <w:r>
        <w:t xml:space="preserve"> </w:t>
      </w:r>
      <w:r>
        <w:rPr>
          <w:lang w:val="en-US"/>
        </w:rPr>
        <w:t xml:space="preserve">Ministry of Business, Innovation and Employment (2020). </w:t>
      </w:r>
    </w:p>
  </w:footnote>
  <w:footnote w:id="158">
    <w:p w14:paraId="2135285E" w14:textId="26DA50E5" w:rsidR="00C0603E" w:rsidRPr="00F809BF" w:rsidRDefault="00C0603E">
      <w:pPr>
        <w:pStyle w:val="FootnoteText"/>
        <w:rPr>
          <w:lang w:val="en-US"/>
        </w:rPr>
      </w:pPr>
      <w:r>
        <w:rPr>
          <w:rStyle w:val="FootnoteReference"/>
        </w:rPr>
        <w:footnoteRef/>
      </w:r>
      <w:r>
        <w:t xml:space="preserve"> </w:t>
      </w:r>
      <w:r>
        <w:rPr>
          <w:lang w:val="en-US"/>
        </w:rPr>
        <w:t xml:space="preserve">The Treasury (2020). </w:t>
      </w:r>
    </w:p>
  </w:footnote>
  <w:footnote w:id="159">
    <w:p w14:paraId="78D5FF68" w14:textId="77777777" w:rsidR="00C0603E" w:rsidRPr="00C501F5" w:rsidRDefault="00C0603E" w:rsidP="004373FE">
      <w:pPr>
        <w:pStyle w:val="FootnoteText"/>
        <w:rPr>
          <w:lang w:val="en-US"/>
        </w:rPr>
      </w:pPr>
      <w:r>
        <w:rPr>
          <w:rStyle w:val="FootnoteReference"/>
        </w:rPr>
        <w:footnoteRef/>
      </w:r>
      <w:r>
        <w:t xml:space="preserve"> Ministry of Social Development (2019a). </w:t>
      </w:r>
    </w:p>
  </w:footnote>
  <w:footnote w:id="160">
    <w:p w14:paraId="44B42B1F" w14:textId="77777777" w:rsidR="00C0603E" w:rsidRPr="00C77C27" w:rsidRDefault="00C0603E" w:rsidP="004373FE">
      <w:pPr>
        <w:pStyle w:val="FootnoteText"/>
        <w:rPr>
          <w:lang w:val="en-US"/>
        </w:rPr>
      </w:pPr>
      <w:r>
        <w:rPr>
          <w:rStyle w:val="FootnoteReference"/>
        </w:rPr>
        <w:footnoteRef/>
      </w:r>
      <w:r>
        <w:t xml:space="preserve"> Work and Income (2020b).  </w:t>
      </w:r>
    </w:p>
  </w:footnote>
  <w:footnote w:id="161">
    <w:p w14:paraId="4EE7254B" w14:textId="77777777" w:rsidR="00C0603E" w:rsidRPr="004B2B05" w:rsidRDefault="00C0603E" w:rsidP="004373FE">
      <w:pPr>
        <w:pStyle w:val="FootnoteText"/>
        <w:rPr>
          <w:lang w:val="en-US"/>
        </w:rPr>
      </w:pPr>
      <w:r>
        <w:rPr>
          <w:rStyle w:val="FootnoteReference"/>
        </w:rPr>
        <w:footnoteRef/>
      </w:r>
      <w:r>
        <w:t xml:space="preserve"> Tertiary Education Commission (2020). </w:t>
      </w:r>
    </w:p>
  </w:footnote>
  <w:footnote w:id="162">
    <w:p w14:paraId="148E90B4" w14:textId="77777777" w:rsidR="00C0603E" w:rsidRPr="00030F4D" w:rsidRDefault="00C0603E" w:rsidP="004373FE">
      <w:pPr>
        <w:pStyle w:val="FootnoteText"/>
        <w:rPr>
          <w:lang w:val="en-US"/>
        </w:rPr>
      </w:pPr>
      <w:r>
        <w:rPr>
          <w:rStyle w:val="FootnoteReference"/>
        </w:rPr>
        <w:footnoteRef/>
      </w:r>
      <w:r>
        <w:t xml:space="preserve"> Ministry of Social Development (2019a). </w:t>
      </w:r>
    </w:p>
  </w:footnote>
  <w:footnote w:id="163">
    <w:p w14:paraId="3C5216CB" w14:textId="77777777" w:rsidR="00C0603E" w:rsidRPr="00CD5C29" w:rsidRDefault="00C0603E" w:rsidP="004373FE">
      <w:pPr>
        <w:pStyle w:val="FootnoteText"/>
        <w:rPr>
          <w:lang w:val="en-US"/>
        </w:rPr>
      </w:pPr>
      <w:r>
        <w:rPr>
          <w:rStyle w:val="FootnoteReference"/>
        </w:rPr>
        <w:footnoteRef/>
      </w:r>
      <w:r>
        <w:t xml:space="preserve"> New Zealand Government (2019a). </w:t>
      </w:r>
    </w:p>
  </w:footnote>
  <w:footnote w:id="164">
    <w:p w14:paraId="34413593" w14:textId="77777777" w:rsidR="00C0603E" w:rsidRPr="00587BA5" w:rsidRDefault="00C0603E" w:rsidP="004373FE">
      <w:pPr>
        <w:pStyle w:val="FootnoteText"/>
        <w:rPr>
          <w:lang w:val="en-US"/>
        </w:rPr>
      </w:pPr>
      <w:r>
        <w:rPr>
          <w:rStyle w:val="FootnoteReference"/>
        </w:rPr>
        <w:footnoteRef/>
      </w:r>
      <w:r>
        <w:t xml:space="preserve"> Ministry of Social Development (2019a). </w:t>
      </w:r>
    </w:p>
  </w:footnote>
  <w:footnote w:id="165">
    <w:p w14:paraId="44B11B59" w14:textId="77777777" w:rsidR="00C0603E" w:rsidRPr="006B7A30" w:rsidRDefault="00C0603E" w:rsidP="004373FE">
      <w:pPr>
        <w:pStyle w:val="FootnoteText"/>
        <w:rPr>
          <w:lang w:val="en-US"/>
        </w:rPr>
      </w:pPr>
      <w:r>
        <w:rPr>
          <w:rStyle w:val="FootnoteReference"/>
        </w:rPr>
        <w:footnoteRef/>
      </w:r>
      <w:r>
        <w:t xml:space="preserve"> Ministry of Social Development (2019a). </w:t>
      </w:r>
    </w:p>
  </w:footnote>
  <w:footnote w:id="166">
    <w:p w14:paraId="59730218" w14:textId="77777777" w:rsidR="00C0603E" w:rsidRPr="0013105B" w:rsidRDefault="00C0603E" w:rsidP="004373FE">
      <w:pPr>
        <w:pStyle w:val="FootnoteText"/>
        <w:rPr>
          <w:lang w:val="en-US"/>
        </w:rPr>
      </w:pPr>
      <w:r>
        <w:rPr>
          <w:rStyle w:val="FootnoteReference"/>
        </w:rPr>
        <w:footnoteRef/>
      </w:r>
      <w:r>
        <w:t xml:space="preserve"> Ministry of Social Development (2019a). </w:t>
      </w:r>
    </w:p>
  </w:footnote>
  <w:footnote w:id="167">
    <w:p w14:paraId="2C24279D" w14:textId="77777777" w:rsidR="00C0603E" w:rsidRPr="006B7A30" w:rsidRDefault="00C0603E" w:rsidP="004373FE">
      <w:pPr>
        <w:pStyle w:val="FootnoteText"/>
        <w:rPr>
          <w:lang w:val="en-US"/>
        </w:rPr>
      </w:pPr>
      <w:r>
        <w:rPr>
          <w:rStyle w:val="FootnoteReference"/>
        </w:rPr>
        <w:footnoteRef/>
      </w:r>
      <w:r>
        <w:t xml:space="preserve"> Ministry of Social Development (2019a). </w:t>
      </w:r>
    </w:p>
  </w:footnote>
  <w:footnote w:id="168">
    <w:p w14:paraId="02108429" w14:textId="77777777" w:rsidR="00C0603E" w:rsidRPr="00317D7B" w:rsidRDefault="00C0603E" w:rsidP="004373FE">
      <w:pPr>
        <w:pStyle w:val="FootnoteText"/>
        <w:rPr>
          <w:lang w:val="en-US"/>
        </w:rPr>
      </w:pPr>
      <w:r>
        <w:rPr>
          <w:rStyle w:val="FootnoteReference"/>
        </w:rPr>
        <w:footnoteRef/>
      </w:r>
      <w:r>
        <w:t xml:space="preserve"> Ministry of Social Development (2019a). </w:t>
      </w:r>
    </w:p>
  </w:footnote>
  <w:footnote w:id="169">
    <w:p w14:paraId="4EAACF5E" w14:textId="77777777" w:rsidR="00C0603E" w:rsidRPr="00985CFA" w:rsidRDefault="00C0603E" w:rsidP="004373FE">
      <w:pPr>
        <w:pStyle w:val="FootnoteText"/>
        <w:rPr>
          <w:lang w:val="en-US"/>
        </w:rPr>
      </w:pPr>
      <w:r>
        <w:rPr>
          <w:rStyle w:val="FootnoteReference"/>
        </w:rPr>
        <w:footnoteRef/>
      </w:r>
      <w:r>
        <w:t xml:space="preserve"> Ministry of Social Development (2019a). </w:t>
      </w:r>
      <w:r w:rsidRPr="00985CFA">
        <w:rPr>
          <w:lang w:val="en-US"/>
        </w:rPr>
        <w:t xml:space="preserve"> </w:t>
      </w:r>
    </w:p>
  </w:footnote>
  <w:footnote w:id="170">
    <w:p w14:paraId="09E22504" w14:textId="77777777" w:rsidR="00C0603E" w:rsidRPr="004430CB" w:rsidRDefault="00C0603E" w:rsidP="004373FE">
      <w:pPr>
        <w:pStyle w:val="FootnoteText"/>
        <w:rPr>
          <w:lang w:val="en-US"/>
        </w:rPr>
      </w:pPr>
      <w:r>
        <w:rPr>
          <w:rStyle w:val="FootnoteReference"/>
        </w:rPr>
        <w:footnoteRef/>
      </w:r>
      <w:r>
        <w:t xml:space="preserve"> Mental Health and Wellbeing Commission (2020). </w:t>
      </w:r>
    </w:p>
  </w:footnote>
  <w:footnote w:id="171">
    <w:p w14:paraId="43B2C918" w14:textId="77777777" w:rsidR="00C0603E" w:rsidRPr="004430CB" w:rsidRDefault="00C0603E" w:rsidP="004373FE">
      <w:pPr>
        <w:pStyle w:val="FootnoteText"/>
        <w:rPr>
          <w:lang w:val="en-US"/>
        </w:rPr>
      </w:pPr>
      <w:r>
        <w:rPr>
          <w:rStyle w:val="FootnoteReference"/>
        </w:rPr>
        <w:footnoteRef/>
      </w:r>
      <w:r>
        <w:t xml:space="preserve"> Ministry of Social Development (2019a). </w:t>
      </w:r>
    </w:p>
  </w:footnote>
  <w:footnote w:id="172">
    <w:p w14:paraId="3CD971DD" w14:textId="7761E93C" w:rsidR="00C0603E" w:rsidRPr="00DB2BC3" w:rsidRDefault="00C0603E" w:rsidP="004373FE">
      <w:pPr>
        <w:pStyle w:val="FootnoteText"/>
        <w:rPr>
          <w:lang w:val="en-US"/>
        </w:rPr>
      </w:pPr>
      <w:r>
        <w:rPr>
          <w:rStyle w:val="FootnoteReference"/>
        </w:rPr>
        <w:footnoteRef/>
      </w:r>
      <w:r>
        <w:t xml:space="preserve"> </w:t>
      </w:r>
      <w:r>
        <w:rPr>
          <w:lang w:val="en-US"/>
        </w:rPr>
        <w:t>Ministerial advisor email, October 9, 2020.</w:t>
      </w:r>
    </w:p>
  </w:footnote>
  <w:footnote w:id="173">
    <w:p w14:paraId="7CF20472" w14:textId="77777777" w:rsidR="00C0603E" w:rsidRPr="00364E2D" w:rsidRDefault="00C0603E" w:rsidP="004373FE">
      <w:pPr>
        <w:pStyle w:val="FootnoteText"/>
        <w:rPr>
          <w:lang w:val="en-US"/>
        </w:rPr>
      </w:pPr>
      <w:r>
        <w:rPr>
          <w:rStyle w:val="FootnoteReference"/>
        </w:rPr>
        <w:footnoteRef/>
      </w:r>
      <w:r>
        <w:t xml:space="preserve"> Ministry of Social Development (2019a). </w:t>
      </w:r>
    </w:p>
  </w:footnote>
  <w:footnote w:id="174">
    <w:p w14:paraId="6BA18F75" w14:textId="77777777" w:rsidR="00C0603E" w:rsidRPr="00841F7C" w:rsidRDefault="00C0603E" w:rsidP="004373FE">
      <w:pPr>
        <w:pStyle w:val="FootnoteText"/>
        <w:rPr>
          <w:lang w:val="en-US"/>
        </w:rPr>
      </w:pPr>
      <w:r>
        <w:rPr>
          <w:rStyle w:val="FootnoteReference"/>
        </w:rPr>
        <w:footnoteRef/>
      </w:r>
      <w:r>
        <w:t xml:space="preserve"> Robson (2020). </w:t>
      </w:r>
    </w:p>
  </w:footnote>
  <w:footnote w:id="175">
    <w:p w14:paraId="30097A0F" w14:textId="77777777" w:rsidR="00C0603E" w:rsidRPr="0094370F" w:rsidRDefault="00C0603E" w:rsidP="004373FE">
      <w:pPr>
        <w:pStyle w:val="FootnoteText"/>
        <w:rPr>
          <w:lang w:val="en-US"/>
        </w:rPr>
      </w:pPr>
      <w:r>
        <w:rPr>
          <w:rStyle w:val="FootnoteReference"/>
        </w:rPr>
        <w:footnoteRef/>
      </w:r>
      <w:r>
        <w:t xml:space="preserve"> The Treasury (2019). </w:t>
      </w:r>
    </w:p>
  </w:footnote>
  <w:footnote w:id="176">
    <w:p w14:paraId="58EB89C9" w14:textId="77777777" w:rsidR="00C0603E" w:rsidRPr="00586C01" w:rsidRDefault="00C0603E" w:rsidP="007710A6">
      <w:pPr>
        <w:pStyle w:val="FootnoteText"/>
        <w:rPr>
          <w:lang w:val="mi-NZ"/>
        </w:rPr>
      </w:pPr>
      <w:r>
        <w:rPr>
          <w:rStyle w:val="FootnoteReference"/>
        </w:rPr>
        <w:footnoteRef/>
      </w:r>
      <w:r>
        <w:t xml:space="preserve"> </w:t>
      </w:r>
      <w:proofErr w:type="spellStart"/>
      <w:r>
        <w:rPr>
          <w:lang w:val="mi-NZ"/>
        </w:rPr>
        <w:t>Ministry</w:t>
      </w:r>
      <w:proofErr w:type="spellEnd"/>
      <w:r>
        <w:rPr>
          <w:lang w:val="mi-NZ"/>
        </w:rPr>
        <w:t xml:space="preserve"> </w:t>
      </w:r>
      <w:proofErr w:type="spellStart"/>
      <w:r>
        <w:rPr>
          <w:lang w:val="mi-NZ"/>
        </w:rPr>
        <w:t>of</w:t>
      </w:r>
      <w:proofErr w:type="spellEnd"/>
      <w:r>
        <w:rPr>
          <w:lang w:val="mi-NZ"/>
        </w:rPr>
        <w:t xml:space="preserve"> </w:t>
      </w:r>
      <w:proofErr w:type="spellStart"/>
      <w:r>
        <w:rPr>
          <w:lang w:val="mi-NZ"/>
        </w:rPr>
        <w:t>Social</w:t>
      </w:r>
      <w:proofErr w:type="spellEnd"/>
      <w:r>
        <w:rPr>
          <w:lang w:val="mi-NZ"/>
        </w:rPr>
        <w:t xml:space="preserve"> </w:t>
      </w:r>
      <w:proofErr w:type="spellStart"/>
      <w:r>
        <w:rPr>
          <w:lang w:val="mi-NZ"/>
        </w:rPr>
        <w:t>Development</w:t>
      </w:r>
      <w:proofErr w:type="spellEnd"/>
      <w:r>
        <w:rPr>
          <w:lang w:val="mi-NZ"/>
        </w:rPr>
        <w:t xml:space="preserve"> (2019a). </w:t>
      </w:r>
    </w:p>
  </w:footnote>
  <w:footnote w:id="177">
    <w:p w14:paraId="5F11CA25" w14:textId="77777777" w:rsidR="00C0603E" w:rsidRPr="004C5CA5" w:rsidRDefault="00C0603E" w:rsidP="000F3FF8">
      <w:pPr>
        <w:pStyle w:val="FootnoteText"/>
        <w:rPr>
          <w:lang w:val="en-US"/>
        </w:rPr>
      </w:pPr>
      <w:r>
        <w:rPr>
          <w:rStyle w:val="FootnoteReference"/>
        </w:rPr>
        <w:footnoteRef/>
      </w:r>
      <w:r>
        <w:t xml:space="preserve"> </w:t>
      </w:r>
      <w:r>
        <w:rPr>
          <w:lang w:val="en-US"/>
        </w:rPr>
        <w:t>New Zealand Government (2018).</w:t>
      </w:r>
    </w:p>
  </w:footnote>
  <w:footnote w:id="178">
    <w:p w14:paraId="64D55CE5" w14:textId="77777777" w:rsidR="00C0603E" w:rsidRPr="00FB00F5" w:rsidRDefault="00C0603E" w:rsidP="00F7313B">
      <w:pPr>
        <w:pStyle w:val="FootnoteText"/>
        <w:rPr>
          <w:lang w:val="mi-NZ"/>
        </w:rPr>
      </w:pPr>
      <w:r>
        <w:rPr>
          <w:rStyle w:val="FootnoteReference"/>
        </w:rPr>
        <w:footnoteRef/>
      </w:r>
      <w:r>
        <w:t xml:space="preserve"> </w:t>
      </w:r>
      <w:r>
        <w:rPr>
          <w:lang w:val="en-US"/>
        </w:rPr>
        <w:t xml:space="preserve">Ministry of Social Development (2019b). </w:t>
      </w:r>
    </w:p>
  </w:footnote>
  <w:footnote w:id="179">
    <w:p w14:paraId="499303AA" w14:textId="51F2A43A" w:rsidR="00C0603E" w:rsidRPr="000C6A13" w:rsidRDefault="00C0603E">
      <w:pPr>
        <w:pStyle w:val="FootnoteText"/>
        <w:rPr>
          <w:lang w:val="en-US"/>
        </w:rPr>
      </w:pPr>
      <w:r>
        <w:rPr>
          <w:rStyle w:val="FootnoteReference"/>
        </w:rPr>
        <w:footnoteRef/>
      </w:r>
      <w:r>
        <w:t xml:space="preserve"> </w:t>
      </w:r>
      <w:r>
        <w:rPr>
          <w:lang w:val="en-US"/>
        </w:rPr>
        <w:t xml:space="preserve">Welfare Expert Advisory Group (2019b), pp. 5. </w:t>
      </w:r>
    </w:p>
  </w:footnote>
  <w:footnote w:id="180">
    <w:p w14:paraId="15106B62" w14:textId="55B72B10" w:rsidR="00C0603E" w:rsidRDefault="00C0603E">
      <w:pPr>
        <w:pStyle w:val="FootnoteText"/>
      </w:pPr>
      <w:r>
        <w:rPr>
          <w:rStyle w:val="FootnoteReference"/>
        </w:rPr>
        <w:footnoteRef/>
      </w:r>
      <w:r>
        <w:t xml:space="preserve"> CPAG (2019X)</w:t>
      </w:r>
    </w:p>
  </w:footnote>
  <w:footnote w:id="181">
    <w:p w14:paraId="76BE2235" w14:textId="77777777" w:rsidR="00C0603E" w:rsidRPr="00CF6703" w:rsidRDefault="00C0603E" w:rsidP="00636F01">
      <w:pPr>
        <w:pStyle w:val="FootnoteText"/>
        <w:rPr>
          <w:lang w:val="mi-NZ"/>
        </w:rPr>
      </w:pPr>
      <w:r>
        <w:rPr>
          <w:rStyle w:val="FootnoteReference"/>
        </w:rPr>
        <w:footnoteRef/>
      </w:r>
      <w:r>
        <w:t xml:space="preserve"> </w:t>
      </w:r>
      <w:proofErr w:type="spellStart"/>
      <w:r>
        <w:rPr>
          <w:lang w:val="mi-NZ"/>
        </w:rPr>
        <w:t>Neuwelt-Kearns</w:t>
      </w:r>
      <w:proofErr w:type="spellEnd"/>
      <w:r>
        <w:rPr>
          <w:lang w:val="mi-NZ"/>
        </w:rPr>
        <w:t xml:space="preserve">, </w:t>
      </w:r>
      <w:proofErr w:type="spellStart"/>
      <w:r>
        <w:rPr>
          <w:lang w:val="mi-NZ"/>
        </w:rPr>
        <w:t>Murray</w:t>
      </w:r>
      <w:proofErr w:type="spellEnd"/>
      <w:r>
        <w:rPr>
          <w:lang w:val="mi-NZ"/>
        </w:rPr>
        <w:t xml:space="preserve">, </w:t>
      </w:r>
      <w:proofErr w:type="spellStart"/>
      <w:r>
        <w:rPr>
          <w:lang w:val="mi-NZ"/>
        </w:rPr>
        <w:t>Russell</w:t>
      </w:r>
      <w:proofErr w:type="spellEnd"/>
      <w:r>
        <w:rPr>
          <w:lang w:val="mi-NZ"/>
        </w:rPr>
        <w:t xml:space="preserve">, &amp; </w:t>
      </w:r>
      <w:proofErr w:type="spellStart"/>
      <w:r>
        <w:rPr>
          <w:lang w:val="mi-NZ"/>
        </w:rPr>
        <w:t>Lee</w:t>
      </w:r>
      <w:proofErr w:type="spellEnd"/>
      <w:r>
        <w:rPr>
          <w:lang w:val="mi-NZ"/>
        </w:rPr>
        <w:t xml:space="preserve"> (2020).  </w:t>
      </w:r>
    </w:p>
  </w:footnote>
  <w:footnote w:id="182">
    <w:p w14:paraId="31B71CA2" w14:textId="34AAE9D7" w:rsidR="00C0603E" w:rsidRPr="003A49D6" w:rsidRDefault="00C0603E">
      <w:pPr>
        <w:pStyle w:val="FootnoteText"/>
        <w:rPr>
          <w:lang w:val="en-US"/>
        </w:rPr>
      </w:pPr>
      <w:r>
        <w:rPr>
          <w:rStyle w:val="FootnoteReference"/>
        </w:rPr>
        <w:footnoteRef/>
      </w:r>
      <w:r>
        <w:t xml:space="preserve"> </w:t>
      </w:r>
      <w:r>
        <w:rPr>
          <w:lang w:val="en-US"/>
        </w:rPr>
        <w:t xml:space="preserve">Welfare Expert Advisory Group (2020b), pp. 19-20. </w:t>
      </w:r>
    </w:p>
  </w:footnote>
  <w:footnote w:id="183">
    <w:p w14:paraId="3838F8F3" w14:textId="77777777" w:rsidR="00C0603E" w:rsidRPr="001206E0" w:rsidRDefault="00C0603E" w:rsidP="00636F01">
      <w:pPr>
        <w:pStyle w:val="FootnoteText"/>
        <w:rPr>
          <w:lang w:val="en-US"/>
        </w:rPr>
      </w:pPr>
      <w:r>
        <w:rPr>
          <w:rStyle w:val="FootnoteReference"/>
        </w:rPr>
        <w:footnoteRef/>
      </w:r>
      <w:r>
        <w:t xml:space="preserve"> Expert Advisory Group on Solutions to Child Poverty (2012). </w:t>
      </w:r>
    </w:p>
  </w:footnote>
  <w:footnote w:id="184">
    <w:p w14:paraId="2E37751D" w14:textId="349FB0E3" w:rsidR="00C0603E" w:rsidRPr="002B2A08" w:rsidRDefault="00C0603E">
      <w:pPr>
        <w:pStyle w:val="FootnoteText"/>
        <w:rPr>
          <w:lang w:val="en-US"/>
        </w:rPr>
      </w:pPr>
      <w:r>
        <w:rPr>
          <w:rStyle w:val="FootnoteReference"/>
        </w:rPr>
        <w:footnoteRef/>
      </w:r>
      <w:r>
        <w:t xml:space="preserve"> </w:t>
      </w:r>
      <w:r>
        <w:rPr>
          <w:lang w:val="en-US"/>
        </w:rPr>
        <w:t xml:space="preserve">Ministry of Housing and Urban Development (2020c). </w:t>
      </w:r>
    </w:p>
  </w:footnote>
  <w:footnote w:id="185">
    <w:p w14:paraId="34FF4423" w14:textId="77777777" w:rsidR="00C0603E" w:rsidRPr="00D502E0" w:rsidRDefault="00C0603E" w:rsidP="002B2A08">
      <w:pPr>
        <w:pStyle w:val="FootnoteText"/>
        <w:rPr>
          <w:lang w:val="en-US"/>
        </w:rPr>
      </w:pPr>
      <w:r>
        <w:rPr>
          <w:rStyle w:val="FootnoteReference"/>
        </w:rPr>
        <w:footnoteRef/>
      </w:r>
      <w:r>
        <w:t xml:space="preserve"> Ministry of Social Development (2020a). </w:t>
      </w:r>
    </w:p>
  </w:footnote>
  <w:footnote w:id="186">
    <w:p w14:paraId="6F11B959" w14:textId="70704691" w:rsidR="00C0603E" w:rsidRPr="00CE2477" w:rsidRDefault="00C0603E">
      <w:pPr>
        <w:pStyle w:val="FootnoteText"/>
        <w:rPr>
          <w:lang w:val="mi-NZ"/>
        </w:rPr>
      </w:pPr>
      <w:r>
        <w:rPr>
          <w:rStyle w:val="FootnoteReference"/>
        </w:rPr>
        <w:footnoteRef/>
      </w:r>
      <w:r>
        <w:t xml:space="preserve"> </w:t>
      </w:r>
      <w:proofErr w:type="spellStart"/>
      <w:r>
        <w:rPr>
          <w:lang w:val="mi-NZ"/>
        </w:rPr>
        <w:t>Labour</w:t>
      </w:r>
      <w:proofErr w:type="spellEnd"/>
      <w:r>
        <w:rPr>
          <w:lang w:val="mi-NZ"/>
        </w:rPr>
        <w:t xml:space="preserve"> (2020).</w:t>
      </w:r>
    </w:p>
  </w:footnote>
  <w:footnote w:id="187">
    <w:p w14:paraId="6638B95C" w14:textId="3DACA51A" w:rsidR="00C0603E" w:rsidRPr="004D2883" w:rsidRDefault="00C0603E">
      <w:pPr>
        <w:pStyle w:val="FootnoteText"/>
        <w:rPr>
          <w:lang w:val="mi-NZ"/>
        </w:rPr>
      </w:pPr>
      <w:r>
        <w:rPr>
          <w:rStyle w:val="FootnoteReference"/>
        </w:rPr>
        <w:footnoteRef/>
      </w:r>
      <w:r>
        <w:t xml:space="preserve"> </w:t>
      </w:r>
      <w:proofErr w:type="spellStart"/>
      <w:r>
        <w:rPr>
          <w:lang w:val="mi-NZ"/>
        </w:rPr>
        <w:t>Welfare</w:t>
      </w:r>
      <w:proofErr w:type="spellEnd"/>
      <w:r>
        <w:rPr>
          <w:lang w:val="mi-NZ"/>
        </w:rPr>
        <w:t xml:space="preserve"> </w:t>
      </w:r>
      <w:proofErr w:type="spellStart"/>
      <w:r>
        <w:rPr>
          <w:lang w:val="mi-NZ"/>
        </w:rPr>
        <w:t>Expert</w:t>
      </w:r>
      <w:proofErr w:type="spellEnd"/>
      <w:r>
        <w:rPr>
          <w:lang w:val="mi-NZ"/>
        </w:rPr>
        <w:t xml:space="preserve"> </w:t>
      </w:r>
      <w:proofErr w:type="spellStart"/>
      <w:r>
        <w:rPr>
          <w:lang w:val="mi-NZ"/>
        </w:rPr>
        <w:t>Advisory</w:t>
      </w:r>
      <w:proofErr w:type="spellEnd"/>
      <w:r>
        <w:rPr>
          <w:lang w:val="mi-NZ"/>
        </w:rPr>
        <w:t xml:space="preserve"> </w:t>
      </w:r>
      <w:proofErr w:type="spellStart"/>
      <w:r>
        <w:rPr>
          <w:lang w:val="mi-NZ"/>
        </w:rPr>
        <w:t>Group</w:t>
      </w:r>
      <w:proofErr w:type="spellEnd"/>
      <w:r>
        <w:rPr>
          <w:lang w:val="mi-NZ"/>
        </w:rPr>
        <w:t xml:space="preserve"> (2019b). </w:t>
      </w:r>
    </w:p>
  </w:footnote>
  <w:footnote w:id="188">
    <w:p w14:paraId="63E30363" w14:textId="745AF453" w:rsidR="00C0603E" w:rsidRPr="002B6CFB" w:rsidRDefault="00C0603E" w:rsidP="006A458D">
      <w:pPr>
        <w:pStyle w:val="FootnoteText"/>
        <w:rPr>
          <w:lang w:val="en-US"/>
        </w:rPr>
      </w:pPr>
      <w:r>
        <w:rPr>
          <w:rStyle w:val="FootnoteReference"/>
        </w:rPr>
        <w:footnoteRef/>
      </w:r>
      <w:r>
        <w:t xml:space="preserve"> New Zealand Government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773C" w14:textId="666238B7" w:rsidR="00C0603E" w:rsidRDefault="00C0603E">
    <w:pPr>
      <w:pStyle w:val="Header"/>
      <w:rPr>
        <w:sz w:val="20"/>
        <w:szCs w:val="20"/>
        <w:lang w:val="en-US"/>
      </w:rPr>
    </w:pPr>
    <w:r w:rsidRPr="00A42692">
      <w:rPr>
        <w:sz w:val="20"/>
        <w:szCs w:val="20"/>
        <w:lang w:val="en-US"/>
      </w:rPr>
      <w:t>CPAG Nov 2020</w:t>
    </w:r>
    <w:r w:rsidRPr="00A42692">
      <w:rPr>
        <w:sz w:val="20"/>
        <w:szCs w:val="20"/>
        <w:lang w:val="en-US"/>
      </w:rPr>
      <w:tab/>
    </w:r>
    <w:r w:rsidRPr="00A42692">
      <w:rPr>
        <w:sz w:val="20"/>
        <w:szCs w:val="20"/>
        <w:lang w:val="en-US"/>
      </w:rPr>
      <w:tab/>
      <w:t xml:space="preserve">WEAG </w:t>
    </w:r>
    <w:proofErr w:type="spellStart"/>
    <w:r w:rsidRPr="00A42692">
      <w:rPr>
        <w:sz w:val="20"/>
        <w:szCs w:val="20"/>
        <w:lang w:val="en-US"/>
      </w:rPr>
      <w:t>Stocktake</w:t>
    </w:r>
    <w:proofErr w:type="spellEnd"/>
  </w:p>
  <w:p w14:paraId="6126B758" w14:textId="77777777" w:rsidR="00C0603E" w:rsidRPr="00A42692" w:rsidRDefault="00C0603E">
    <w:pPr>
      <w:pStyle w:val="Header"/>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FA1B" w14:textId="2CBE0DF3" w:rsidR="00C0603E" w:rsidRDefault="00C0603E">
    <w:pPr>
      <w:pStyle w:val="Header"/>
      <w:rPr>
        <w:sz w:val="20"/>
        <w:szCs w:val="20"/>
        <w:lang w:val="en-US"/>
      </w:rPr>
    </w:pPr>
    <w:r w:rsidRPr="00A42692">
      <w:rPr>
        <w:sz w:val="20"/>
        <w:szCs w:val="20"/>
        <w:lang w:val="en-US"/>
      </w:rPr>
      <w:t>CPAG Nov 2020</w:t>
    </w:r>
    <w:r w:rsidRPr="00A42692">
      <w:rPr>
        <w:sz w:val="20"/>
        <w:szCs w:val="20"/>
        <w:lang w:val="en-US"/>
      </w:rPr>
      <w:tab/>
    </w:r>
    <w:r w:rsidRPr="00A42692">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A42692">
      <w:rPr>
        <w:sz w:val="20"/>
        <w:szCs w:val="20"/>
        <w:lang w:val="en-US"/>
      </w:rPr>
      <w:t xml:space="preserve">WEAG </w:t>
    </w:r>
    <w:proofErr w:type="spellStart"/>
    <w:r w:rsidRPr="00A42692">
      <w:rPr>
        <w:sz w:val="20"/>
        <w:szCs w:val="20"/>
        <w:lang w:val="en-US"/>
      </w:rPr>
      <w:t>Stocktake</w:t>
    </w:r>
    <w:proofErr w:type="spellEnd"/>
  </w:p>
  <w:p w14:paraId="6B2BC7FB" w14:textId="77777777" w:rsidR="00C0603E" w:rsidRPr="00A42692" w:rsidRDefault="00C0603E">
    <w:pPr>
      <w:pStyle w:val="Header"/>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AEF1" w14:textId="6EBD5853" w:rsidR="00C0603E" w:rsidRDefault="00C0603E">
    <w:pPr>
      <w:pStyle w:val="Header"/>
      <w:rPr>
        <w:sz w:val="20"/>
        <w:szCs w:val="20"/>
        <w:lang w:val="en-US"/>
      </w:rPr>
    </w:pPr>
    <w:r w:rsidRPr="00A42692">
      <w:rPr>
        <w:sz w:val="20"/>
        <w:szCs w:val="20"/>
        <w:lang w:val="en-US"/>
      </w:rPr>
      <w:t>CPAG Nov 2020</w:t>
    </w:r>
    <w:r w:rsidRPr="00A42692">
      <w:rPr>
        <w:sz w:val="20"/>
        <w:szCs w:val="20"/>
        <w:lang w:val="en-US"/>
      </w:rPr>
      <w:tab/>
    </w:r>
    <w:r>
      <w:rPr>
        <w:sz w:val="20"/>
        <w:szCs w:val="20"/>
        <w:lang w:val="en-US"/>
      </w:rPr>
      <w:tab/>
    </w:r>
    <w:r w:rsidRPr="00A42692">
      <w:rPr>
        <w:sz w:val="20"/>
        <w:szCs w:val="20"/>
        <w:lang w:val="en-US"/>
      </w:rPr>
      <w:t xml:space="preserve">WEAG </w:t>
    </w:r>
    <w:proofErr w:type="spellStart"/>
    <w:r w:rsidRPr="00A42692">
      <w:rPr>
        <w:sz w:val="20"/>
        <w:szCs w:val="20"/>
        <w:lang w:val="en-US"/>
      </w:rPr>
      <w:t>Stocktake</w:t>
    </w:r>
    <w:proofErr w:type="spellEnd"/>
  </w:p>
  <w:p w14:paraId="0C834406" w14:textId="77777777" w:rsidR="00C0603E" w:rsidRPr="00A42692" w:rsidRDefault="00C0603E">
    <w:pPr>
      <w:pStyle w:val="Head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28AB"/>
    <w:multiLevelType w:val="hybridMultilevel"/>
    <w:tmpl w:val="D0A5CE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B0751"/>
    <w:multiLevelType w:val="hybridMultilevel"/>
    <w:tmpl w:val="CBD8B04E"/>
    <w:lvl w:ilvl="0" w:tplc="F2D6AF0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52BDD"/>
    <w:multiLevelType w:val="hybridMultilevel"/>
    <w:tmpl w:val="E542D720"/>
    <w:lvl w:ilvl="0" w:tplc="F2D6AF0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C66E67"/>
    <w:multiLevelType w:val="hybridMultilevel"/>
    <w:tmpl w:val="8C3C86A2"/>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3329B6"/>
    <w:multiLevelType w:val="hybridMultilevel"/>
    <w:tmpl w:val="D090C7E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1617B60"/>
    <w:multiLevelType w:val="hybridMultilevel"/>
    <w:tmpl w:val="903A9492"/>
    <w:lvl w:ilvl="0" w:tplc="F2D6AF0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5332AE"/>
    <w:multiLevelType w:val="multilevel"/>
    <w:tmpl w:val="DBC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C01E3"/>
    <w:multiLevelType w:val="hybridMultilevel"/>
    <w:tmpl w:val="4AEECD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C94BD0"/>
    <w:multiLevelType w:val="hybridMultilevel"/>
    <w:tmpl w:val="3B1AA4A6"/>
    <w:lvl w:ilvl="0" w:tplc="8828F1A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925FC6"/>
    <w:multiLevelType w:val="hybridMultilevel"/>
    <w:tmpl w:val="FAF4E992"/>
    <w:lvl w:ilvl="0" w:tplc="DDB858FA">
      <w:start w:val="124"/>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DD67B9C"/>
    <w:multiLevelType w:val="hybridMultilevel"/>
    <w:tmpl w:val="A2D2B938"/>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640FEC"/>
    <w:multiLevelType w:val="hybridMultilevel"/>
    <w:tmpl w:val="E5928FC4"/>
    <w:lvl w:ilvl="0" w:tplc="F2D6AF0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754733"/>
    <w:multiLevelType w:val="hybridMultilevel"/>
    <w:tmpl w:val="6A34BBA6"/>
    <w:lvl w:ilvl="0" w:tplc="F2D6AF0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3C728A"/>
    <w:multiLevelType w:val="hybridMultilevel"/>
    <w:tmpl w:val="C9184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703C55"/>
    <w:multiLevelType w:val="hybridMultilevel"/>
    <w:tmpl w:val="5D2A9EAE"/>
    <w:lvl w:ilvl="0" w:tplc="D78E0C34">
      <w:numFmt w:val="bullet"/>
      <w:lvlText w:val="–"/>
      <w:lvlJc w:val="left"/>
      <w:pPr>
        <w:ind w:left="1260" w:hanging="360"/>
      </w:pPr>
      <w:rPr>
        <w:rFonts w:ascii="Calibri" w:eastAsiaTheme="minorHAnsi" w:hAnsi="Calibri" w:cs="Calibri"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15" w15:restartNumberingAfterBreak="0">
    <w:nsid w:val="56205D35"/>
    <w:multiLevelType w:val="hybridMultilevel"/>
    <w:tmpl w:val="D9BEFCE0"/>
    <w:lvl w:ilvl="0" w:tplc="D9D413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82E330A"/>
    <w:multiLevelType w:val="hybridMultilevel"/>
    <w:tmpl w:val="2FC61A26"/>
    <w:lvl w:ilvl="0" w:tplc="F2D6AF0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810FB1"/>
    <w:multiLevelType w:val="hybridMultilevel"/>
    <w:tmpl w:val="F1D082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6050F3E"/>
    <w:multiLevelType w:val="hybridMultilevel"/>
    <w:tmpl w:val="F3722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1E3401"/>
    <w:multiLevelType w:val="hybridMultilevel"/>
    <w:tmpl w:val="8AB256F8"/>
    <w:lvl w:ilvl="0" w:tplc="14090001">
      <w:start w:val="1"/>
      <w:numFmt w:val="bullet"/>
      <w:lvlText w:val=""/>
      <w:lvlJc w:val="left"/>
      <w:pPr>
        <w:ind w:left="806" w:hanging="360"/>
      </w:pPr>
      <w:rPr>
        <w:rFonts w:ascii="Symbol" w:hAnsi="Symbol" w:hint="default"/>
      </w:rPr>
    </w:lvl>
    <w:lvl w:ilvl="1" w:tplc="14090003" w:tentative="1">
      <w:start w:val="1"/>
      <w:numFmt w:val="bullet"/>
      <w:lvlText w:val="o"/>
      <w:lvlJc w:val="left"/>
      <w:pPr>
        <w:ind w:left="1526" w:hanging="360"/>
      </w:pPr>
      <w:rPr>
        <w:rFonts w:ascii="Courier New" w:hAnsi="Courier New" w:cs="Courier New" w:hint="default"/>
      </w:rPr>
    </w:lvl>
    <w:lvl w:ilvl="2" w:tplc="14090005" w:tentative="1">
      <w:start w:val="1"/>
      <w:numFmt w:val="bullet"/>
      <w:lvlText w:val=""/>
      <w:lvlJc w:val="left"/>
      <w:pPr>
        <w:ind w:left="2246" w:hanging="360"/>
      </w:pPr>
      <w:rPr>
        <w:rFonts w:ascii="Wingdings" w:hAnsi="Wingdings" w:hint="default"/>
      </w:rPr>
    </w:lvl>
    <w:lvl w:ilvl="3" w:tplc="14090001" w:tentative="1">
      <w:start w:val="1"/>
      <w:numFmt w:val="bullet"/>
      <w:lvlText w:val=""/>
      <w:lvlJc w:val="left"/>
      <w:pPr>
        <w:ind w:left="2966" w:hanging="360"/>
      </w:pPr>
      <w:rPr>
        <w:rFonts w:ascii="Symbol" w:hAnsi="Symbol" w:hint="default"/>
      </w:rPr>
    </w:lvl>
    <w:lvl w:ilvl="4" w:tplc="14090003" w:tentative="1">
      <w:start w:val="1"/>
      <w:numFmt w:val="bullet"/>
      <w:lvlText w:val="o"/>
      <w:lvlJc w:val="left"/>
      <w:pPr>
        <w:ind w:left="3686" w:hanging="360"/>
      </w:pPr>
      <w:rPr>
        <w:rFonts w:ascii="Courier New" w:hAnsi="Courier New" w:cs="Courier New" w:hint="default"/>
      </w:rPr>
    </w:lvl>
    <w:lvl w:ilvl="5" w:tplc="14090005" w:tentative="1">
      <w:start w:val="1"/>
      <w:numFmt w:val="bullet"/>
      <w:lvlText w:val=""/>
      <w:lvlJc w:val="left"/>
      <w:pPr>
        <w:ind w:left="4406" w:hanging="360"/>
      </w:pPr>
      <w:rPr>
        <w:rFonts w:ascii="Wingdings" w:hAnsi="Wingdings" w:hint="default"/>
      </w:rPr>
    </w:lvl>
    <w:lvl w:ilvl="6" w:tplc="14090001" w:tentative="1">
      <w:start w:val="1"/>
      <w:numFmt w:val="bullet"/>
      <w:lvlText w:val=""/>
      <w:lvlJc w:val="left"/>
      <w:pPr>
        <w:ind w:left="5126" w:hanging="360"/>
      </w:pPr>
      <w:rPr>
        <w:rFonts w:ascii="Symbol" w:hAnsi="Symbol" w:hint="default"/>
      </w:rPr>
    </w:lvl>
    <w:lvl w:ilvl="7" w:tplc="14090003" w:tentative="1">
      <w:start w:val="1"/>
      <w:numFmt w:val="bullet"/>
      <w:lvlText w:val="o"/>
      <w:lvlJc w:val="left"/>
      <w:pPr>
        <w:ind w:left="5846" w:hanging="360"/>
      </w:pPr>
      <w:rPr>
        <w:rFonts w:ascii="Courier New" w:hAnsi="Courier New" w:cs="Courier New" w:hint="default"/>
      </w:rPr>
    </w:lvl>
    <w:lvl w:ilvl="8" w:tplc="14090005" w:tentative="1">
      <w:start w:val="1"/>
      <w:numFmt w:val="bullet"/>
      <w:lvlText w:val=""/>
      <w:lvlJc w:val="left"/>
      <w:pPr>
        <w:ind w:left="6566" w:hanging="360"/>
      </w:pPr>
      <w:rPr>
        <w:rFonts w:ascii="Wingdings" w:hAnsi="Wingdings" w:hint="default"/>
      </w:rPr>
    </w:lvl>
  </w:abstractNum>
  <w:abstractNum w:abstractNumId="20" w15:restartNumberingAfterBreak="0">
    <w:nsid w:val="72A4547C"/>
    <w:multiLevelType w:val="hybridMultilevel"/>
    <w:tmpl w:val="B56EB522"/>
    <w:lvl w:ilvl="0" w:tplc="847C2F58">
      <w:start w:val="5"/>
      <w:numFmt w:val="bullet"/>
      <w:lvlText w:val="-"/>
      <w:lvlJc w:val="left"/>
      <w:pPr>
        <w:ind w:left="446" w:hanging="360"/>
      </w:pPr>
      <w:rPr>
        <w:rFonts w:ascii="Calibri" w:eastAsiaTheme="minorHAnsi" w:hAnsi="Calibri" w:cs="Calibri" w:hint="default"/>
      </w:rPr>
    </w:lvl>
    <w:lvl w:ilvl="1" w:tplc="14090003" w:tentative="1">
      <w:start w:val="1"/>
      <w:numFmt w:val="bullet"/>
      <w:lvlText w:val="o"/>
      <w:lvlJc w:val="left"/>
      <w:pPr>
        <w:ind w:left="1166" w:hanging="360"/>
      </w:pPr>
      <w:rPr>
        <w:rFonts w:ascii="Courier New" w:hAnsi="Courier New" w:cs="Courier New" w:hint="default"/>
      </w:rPr>
    </w:lvl>
    <w:lvl w:ilvl="2" w:tplc="14090005" w:tentative="1">
      <w:start w:val="1"/>
      <w:numFmt w:val="bullet"/>
      <w:lvlText w:val=""/>
      <w:lvlJc w:val="left"/>
      <w:pPr>
        <w:ind w:left="1886" w:hanging="360"/>
      </w:pPr>
      <w:rPr>
        <w:rFonts w:ascii="Wingdings" w:hAnsi="Wingdings" w:hint="default"/>
      </w:rPr>
    </w:lvl>
    <w:lvl w:ilvl="3" w:tplc="14090001" w:tentative="1">
      <w:start w:val="1"/>
      <w:numFmt w:val="bullet"/>
      <w:lvlText w:val=""/>
      <w:lvlJc w:val="left"/>
      <w:pPr>
        <w:ind w:left="2606" w:hanging="360"/>
      </w:pPr>
      <w:rPr>
        <w:rFonts w:ascii="Symbol" w:hAnsi="Symbol" w:hint="default"/>
      </w:rPr>
    </w:lvl>
    <w:lvl w:ilvl="4" w:tplc="14090003" w:tentative="1">
      <w:start w:val="1"/>
      <w:numFmt w:val="bullet"/>
      <w:lvlText w:val="o"/>
      <w:lvlJc w:val="left"/>
      <w:pPr>
        <w:ind w:left="3326" w:hanging="360"/>
      </w:pPr>
      <w:rPr>
        <w:rFonts w:ascii="Courier New" w:hAnsi="Courier New" w:cs="Courier New" w:hint="default"/>
      </w:rPr>
    </w:lvl>
    <w:lvl w:ilvl="5" w:tplc="14090005" w:tentative="1">
      <w:start w:val="1"/>
      <w:numFmt w:val="bullet"/>
      <w:lvlText w:val=""/>
      <w:lvlJc w:val="left"/>
      <w:pPr>
        <w:ind w:left="4046" w:hanging="360"/>
      </w:pPr>
      <w:rPr>
        <w:rFonts w:ascii="Wingdings" w:hAnsi="Wingdings" w:hint="default"/>
      </w:rPr>
    </w:lvl>
    <w:lvl w:ilvl="6" w:tplc="14090001" w:tentative="1">
      <w:start w:val="1"/>
      <w:numFmt w:val="bullet"/>
      <w:lvlText w:val=""/>
      <w:lvlJc w:val="left"/>
      <w:pPr>
        <w:ind w:left="4766" w:hanging="360"/>
      </w:pPr>
      <w:rPr>
        <w:rFonts w:ascii="Symbol" w:hAnsi="Symbol" w:hint="default"/>
      </w:rPr>
    </w:lvl>
    <w:lvl w:ilvl="7" w:tplc="14090003" w:tentative="1">
      <w:start w:val="1"/>
      <w:numFmt w:val="bullet"/>
      <w:lvlText w:val="o"/>
      <w:lvlJc w:val="left"/>
      <w:pPr>
        <w:ind w:left="5486" w:hanging="360"/>
      </w:pPr>
      <w:rPr>
        <w:rFonts w:ascii="Courier New" w:hAnsi="Courier New" w:cs="Courier New" w:hint="default"/>
      </w:rPr>
    </w:lvl>
    <w:lvl w:ilvl="8" w:tplc="14090005" w:tentative="1">
      <w:start w:val="1"/>
      <w:numFmt w:val="bullet"/>
      <w:lvlText w:val=""/>
      <w:lvlJc w:val="left"/>
      <w:pPr>
        <w:ind w:left="6206" w:hanging="360"/>
      </w:pPr>
      <w:rPr>
        <w:rFonts w:ascii="Wingdings" w:hAnsi="Wingdings" w:hint="default"/>
      </w:rPr>
    </w:lvl>
  </w:abstractNum>
  <w:abstractNum w:abstractNumId="21" w15:restartNumberingAfterBreak="0">
    <w:nsid w:val="793F4FEB"/>
    <w:multiLevelType w:val="hybridMultilevel"/>
    <w:tmpl w:val="61EAA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9"/>
  </w:num>
  <w:num w:numId="3">
    <w:abstractNumId w:val="18"/>
  </w:num>
  <w:num w:numId="4">
    <w:abstractNumId w:val="13"/>
  </w:num>
  <w:num w:numId="5">
    <w:abstractNumId w:val="16"/>
  </w:num>
  <w:num w:numId="6">
    <w:abstractNumId w:val="17"/>
  </w:num>
  <w:num w:numId="7">
    <w:abstractNumId w:val="12"/>
  </w:num>
  <w:num w:numId="8">
    <w:abstractNumId w:val="2"/>
  </w:num>
  <w:num w:numId="9">
    <w:abstractNumId w:val="11"/>
  </w:num>
  <w:num w:numId="10">
    <w:abstractNumId w:val="1"/>
  </w:num>
  <w:num w:numId="11">
    <w:abstractNumId w:val="8"/>
  </w:num>
  <w:num w:numId="12">
    <w:abstractNumId w:val="14"/>
  </w:num>
  <w:num w:numId="13">
    <w:abstractNumId w:val="5"/>
  </w:num>
  <w:num w:numId="14">
    <w:abstractNumId w:val="19"/>
  </w:num>
  <w:num w:numId="15">
    <w:abstractNumId w:val="21"/>
  </w:num>
  <w:num w:numId="16">
    <w:abstractNumId w:val="7"/>
  </w:num>
  <w:num w:numId="17">
    <w:abstractNumId w:val="0"/>
  </w:num>
  <w:num w:numId="18">
    <w:abstractNumId w:val="3"/>
  </w:num>
  <w:num w:numId="19">
    <w:abstractNumId w:val="10"/>
  </w:num>
  <w:num w:numId="20">
    <w:abstractNumId w:val="4"/>
  </w:num>
  <w:num w:numId="21">
    <w:abstractNumId w:val="1"/>
  </w:num>
  <w:num w:numId="22">
    <w:abstractNumId w:val="5"/>
  </w:num>
  <w:num w:numId="23">
    <w:abstractNumId w:val="6"/>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58"/>
    <w:rsid w:val="00004192"/>
    <w:rsid w:val="000041E2"/>
    <w:rsid w:val="000062EB"/>
    <w:rsid w:val="00006E71"/>
    <w:rsid w:val="00014DFA"/>
    <w:rsid w:val="00020009"/>
    <w:rsid w:val="000233C1"/>
    <w:rsid w:val="00023CFD"/>
    <w:rsid w:val="000257B9"/>
    <w:rsid w:val="000301E0"/>
    <w:rsid w:val="00030723"/>
    <w:rsid w:val="00031B2B"/>
    <w:rsid w:val="00031E34"/>
    <w:rsid w:val="000326AA"/>
    <w:rsid w:val="00032E89"/>
    <w:rsid w:val="00033B37"/>
    <w:rsid w:val="000370EE"/>
    <w:rsid w:val="00041F56"/>
    <w:rsid w:val="000421B3"/>
    <w:rsid w:val="00043618"/>
    <w:rsid w:val="0004757E"/>
    <w:rsid w:val="000502D8"/>
    <w:rsid w:val="0005198D"/>
    <w:rsid w:val="000568D8"/>
    <w:rsid w:val="00056925"/>
    <w:rsid w:val="00056938"/>
    <w:rsid w:val="0005776D"/>
    <w:rsid w:val="0006234D"/>
    <w:rsid w:val="00062C4E"/>
    <w:rsid w:val="00063483"/>
    <w:rsid w:val="00071508"/>
    <w:rsid w:val="000726CE"/>
    <w:rsid w:val="000735AD"/>
    <w:rsid w:val="000767C3"/>
    <w:rsid w:val="00087F8E"/>
    <w:rsid w:val="00091096"/>
    <w:rsid w:val="00093233"/>
    <w:rsid w:val="00093B15"/>
    <w:rsid w:val="000969DA"/>
    <w:rsid w:val="00096FE7"/>
    <w:rsid w:val="000A3DE3"/>
    <w:rsid w:val="000B0C97"/>
    <w:rsid w:val="000B2137"/>
    <w:rsid w:val="000B45C8"/>
    <w:rsid w:val="000B4771"/>
    <w:rsid w:val="000B6C96"/>
    <w:rsid w:val="000B7BF1"/>
    <w:rsid w:val="000B7C1A"/>
    <w:rsid w:val="000C1CE9"/>
    <w:rsid w:val="000C2E6B"/>
    <w:rsid w:val="000C501F"/>
    <w:rsid w:val="000C6A13"/>
    <w:rsid w:val="000D2C72"/>
    <w:rsid w:val="000D3423"/>
    <w:rsid w:val="000D4337"/>
    <w:rsid w:val="000D6938"/>
    <w:rsid w:val="000E1BB7"/>
    <w:rsid w:val="000E729B"/>
    <w:rsid w:val="000F3FF8"/>
    <w:rsid w:val="00100765"/>
    <w:rsid w:val="0010225E"/>
    <w:rsid w:val="00105D5D"/>
    <w:rsid w:val="00112B50"/>
    <w:rsid w:val="00113FD7"/>
    <w:rsid w:val="00116663"/>
    <w:rsid w:val="00116F36"/>
    <w:rsid w:val="00120131"/>
    <w:rsid w:val="001206E0"/>
    <w:rsid w:val="00123221"/>
    <w:rsid w:val="00125299"/>
    <w:rsid w:val="00127AC8"/>
    <w:rsid w:val="00131018"/>
    <w:rsid w:val="0013148C"/>
    <w:rsid w:val="00133EAB"/>
    <w:rsid w:val="00137327"/>
    <w:rsid w:val="00137A14"/>
    <w:rsid w:val="00137D41"/>
    <w:rsid w:val="00140CE9"/>
    <w:rsid w:val="0014407F"/>
    <w:rsid w:val="001462C5"/>
    <w:rsid w:val="00146482"/>
    <w:rsid w:val="00154D1E"/>
    <w:rsid w:val="001562C2"/>
    <w:rsid w:val="00160A5F"/>
    <w:rsid w:val="00162474"/>
    <w:rsid w:val="001631D1"/>
    <w:rsid w:val="001632F8"/>
    <w:rsid w:val="00164506"/>
    <w:rsid w:val="001719DC"/>
    <w:rsid w:val="001758CC"/>
    <w:rsid w:val="00177467"/>
    <w:rsid w:val="0018077B"/>
    <w:rsid w:val="00180EEE"/>
    <w:rsid w:val="00182C24"/>
    <w:rsid w:val="00185F40"/>
    <w:rsid w:val="00187D78"/>
    <w:rsid w:val="0019568B"/>
    <w:rsid w:val="00195C74"/>
    <w:rsid w:val="001A2B59"/>
    <w:rsid w:val="001A54CB"/>
    <w:rsid w:val="001A591F"/>
    <w:rsid w:val="001B38C5"/>
    <w:rsid w:val="001B39FE"/>
    <w:rsid w:val="001B3DFA"/>
    <w:rsid w:val="001B5F38"/>
    <w:rsid w:val="001B6742"/>
    <w:rsid w:val="001C3348"/>
    <w:rsid w:val="001D1BE2"/>
    <w:rsid w:val="001D3C0F"/>
    <w:rsid w:val="001E05B1"/>
    <w:rsid w:val="001E1369"/>
    <w:rsid w:val="001E34A8"/>
    <w:rsid w:val="001F213A"/>
    <w:rsid w:val="001F304F"/>
    <w:rsid w:val="001F3346"/>
    <w:rsid w:val="001F4F86"/>
    <w:rsid w:val="001F7CB4"/>
    <w:rsid w:val="001F7F73"/>
    <w:rsid w:val="00200F5A"/>
    <w:rsid w:val="00201688"/>
    <w:rsid w:val="002024B9"/>
    <w:rsid w:val="0020444D"/>
    <w:rsid w:val="0020542E"/>
    <w:rsid w:val="0020568D"/>
    <w:rsid w:val="00205FDD"/>
    <w:rsid w:val="00206082"/>
    <w:rsid w:val="00214D2B"/>
    <w:rsid w:val="0021690A"/>
    <w:rsid w:val="002203FB"/>
    <w:rsid w:val="002213F0"/>
    <w:rsid w:val="002246A6"/>
    <w:rsid w:val="00225E13"/>
    <w:rsid w:val="00226CBD"/>
    <w:rsid w:val="00232159"/>
    <w:rsid w:val="0024180F"/>
    <w:rsid w:val="002418A8"/>
    <w:rsid w:val="0024757E"/>
    <w:rsid w:val="00247E70"/>
    <w:rsid w:val="00261FB9"/>
    <w:rsid w:val="00264482"/>
    <w:rsid w:val="00264CC5"/>
    <w:rsid w:val="0026564B"/>
    <w:rsid w:val="002665DA"/>
    <w:rsid w:val="00270C2C"/>
    <w:rsid w:val="0027106F"/>
    <w:rsid w:val="00274D7A"/>
    <w:rsid w:val="002759D3"/>
    <w:rsid w:val="00276008"/>
    <w:rsid w:val="00276718"/>
    <w:rsid w:val="00276CD5"/>
    <w:rsid w:val="00276F46"/>
    <w:rsid w:val="00281ADF"/>
    <w:rsid w:val="00281ECA"/>
    <w:rsid w:val="00283D90"/>
    <w:rsid w:val="00290FE3"/>
    <w:rsid w:val="002919D3"/>
    <w:rsid w:val="00291F50"/>
    <w:rsid w:val="0029286F"/>
    <w:rsid w:val="00292EC8"/>
    <w:rsid w:val="002945F6"/>
    <w:rsid w:val="00294ECB"/>
    <w:rsid w:val="002950E5"/>
    <w:rsid w:val="00295CC1"/>
    <w:rsid w:val="002A0104"/>
    <w:rsid w:val="002A1EE0"/>
    <w:rsid w:val="002A21F7"/>
    <w:rsid w:val="002A545A"/>
    <w:rsid w:val="002A5AB5"/>
    <w:rsid w:val="002A6323"/>
    <w:rsid w:val="002B12B3"/>
    <w:rsid w:val="002B2A08"/>
    <w:rsid w:val="002B6CFB"/>
    <w:rsid w:val="002C5877"/>
    <w:rsid w:val="002C5FAC"/>
    <w:rsid w:val="002D295E"/>
    <w:rsid w:val="002D2EA7"/>
    <w:rsid w:val="002D3C27"/>
    <w:rsid w:val="002D63F5"/>
    <w:rsid w:val="002E1BAC"/>
    <w:rsid w:val="002E1F49"/>
    <w:rsid w:val="002E2238"/>
    <w:rsid w:val="002E5EE3"/>
    <w:rsid w:val="002F6AF7"/>
    <w:rsid w:val="0030044B"/>
    <w:rsid w:val="003014EC"/>
    <w:rsid w:val="00302D18"/>
    <w:rsid w:val="003051F9"/>
    <w:rsid w:val="00310D37"/>
    <w:rsid w:val="00321D8A"/>
    <w:rsid w:val="00323EEE"/>
    <w:rsid w:val="00324AF6"/>
    <w:rsid w:val="00326641"/>
    <w:rsid w:val="00326E28"/>
    <w:rsid w:val="0033528F"/>
    <w:rsid w:val="00335F0A"/>
    <w:rsid w:val="00337D2F"/>
    <w:rsid w:val="00352C32"/>
    <w:rsid w:val="003655C4"/>
    <w:rsid w:val="00374390"/>
    <w:rsid w:val="00374988"/>
    <w:rsid w:val="003769E5"/>
    <w:rsid w:val="0038103E"/>
    <w:rsid w:val="0038352C"/>
    <w:rsid w:val="003854CC"/>
    <w:rsid w:val="00386024"/>
    <w:rsid w:val="0038700C"/>
    <w:rsid w:val="00387998"/>
    <w:rsid w:val="0039010A"/>
    <w:rsid w:val="00392B22"/>
    <w:rsid w:val="0039330B"/>
    <w:rsid w:val="0039360B"/>
    <w:rsid w:val="003979B4"/>
    <w:rsid w:val="003A14C4"/>
    <w:rsid w:val="003A2335"/>
    <w:rsid w:val="003A49D6"/>
    <w:rsid w:val="003B2AD4"/>
    <w:rsid w:val="003B45CA"/>
    <w:rsid w:val="003B5F3A"/>
    <w:rsid w:val="003B7C71"/>
    <w:rsid w:val="003C7BB7"/>
    <w:rsid w:val="003C7CDC"/>
    <w:rsid w:val="003D018C"/>
    <w:rsid w:val="003D0999"/>
    <w:rsid w:val="003D151B"/>
    <w:rsid w:val="003D1DC5"/>
    <w:rsid w:val="003D21E7"/>
    <w:rsid w:val="003D40B1"/>
    <w:rsid w:val="003E1EB6"/>
    <w:rsid w:val="003E2F74"/>
    <w:rsid w:val="003E3740"/>
    <w:rsid w:val="003E3980"/>
    <w:rsid w:val="003E4204"/>
    <w:rsid w:val="003E5AE8"/>
    <w:rsid w:val="003F5ECF"/>
    <w:rsid w:val="004009B7"/>
    <w:rsid w:val="00404E37"/>
    <w:rsid w:val="004149BA"/>
    <w:rsid w:val="004167A6"/>
    <w:rsid w:val="00423D76"/>
    <w:rsid w:val="0043028C"/>
    <w:rsid w:val="004304CA"/>
    <w:rsid w:val="00430A9F"/>
    <w:rsid w:val="00432AB2"/>
    <w:rsid w:val="00433C86"/>
    <w:rsid w:val="00434F1A"/>
    <w:rsid w:val="004373FE"/>
    <w:rsid w:val="004409F9"/>
    <w:rsid w:val="004410FE"/>
    <w:rsid w:val="004445B9"/>
    <w:rsid w:val="00444B75"/>
    <w:rsid w:val="00447D06"/>
    <w:rsid w:val="00450727"/>
    <w:rsid w:val="00450830"/>
    <w:rsid w:val="0045558C"/>
    <w:rsid w:val="004611A6"/>
    <w:rsid w:val="00461502"/>
    <w:rsid w:val="00463479"/>
    <w:rsid w:val="00463FF3"/>
    <w:rsid w:val="0046504B"/>
    <w:rsid w:val="00465DB1"/>
    <w:rsid w:val="00466B6F"/>
    <w:rsid w:val="0047029F"/>
    <w:rsid w:val="00474692"/>
    <w:rsid w:val="00476EEA"/>
    <w:rsid w:val="00481D62"/>
    <w:rsid w:val="00483503"/>
    <w:rsid w:val="00483B95"/>
    <w:rsid w:val="00491011"/>
    <w:rsid w:val="0049223E"/>
    <w:rsid w:val="004924CF"/>
    <w:rsid w:val="00493B50"/>
    <w:rsid w:val="00493DC4"/>
    <w:rsid w:val="00494F9C"/>
    <w:rsid w:val="00495370"/>
    <w:rsid w:val="0049654A"/>
    <w:rsid w:val="004A09F7"/>
    <w:rsid w:val="004A0ADA"/>
    <w:rsid w:val="004A1D52"/>
    <w:rsid w:val="004A5F00"/>
    <w:rsid w:val="004B4122"/>
    <w:rsid w:val="004C1E86"/>
    <w:rsid w:val="004C4BCC"/>
    <w:rsid w:val="004C5CA5"/>
    <w:rsid w:val="004D14E7"/>
    <w:rsid w:val="004D2883"/>
    <w:rsid w:val="004D3C52"/>
    <w:rsid w:val="004D3D6E"/>
    <w:rsid w:val="004D6181"/>
    <w:rsid w:val="004E4202"/>
    <w:rsid w:val="004E4C64"/>
    <w:rsid w:val="004F1C99"/>
    <w:rsid w:val="004F2A08"/>
    <w:rsid w:val="004F2C9C"/>
    <w:rsid w:val="004F4196"/>
    <w:rsid w:val="004F5804"/>
    <w:rsid w:val="004F6E5E"/>
    <w:rsid w:val="00501E40"/>
    <w:rsid w:val="00503CCD"/>
    <w:rsid w:val="00505A78"/>
    <w:rsid w:val="00505FC2"/>
    <w:rsid w:val="00514402"/>
    <w:rsid w:val="005146FE"/>
    <w:rsid w:val="00515545"/>
    <w:rsid w:val="00520EBB"/>
    <w:rsid w:val="0052168D"/>
    <w:rsid w:val="00522DA7"/>
    <w:rsid w:val="00523381"/>
    <w:rsid w:val="00524C86"/>
    <w:rsid w:val="00525A1E"/>
    <w:rsid w:val="00530510"/>
    <w:rsid w:val="00536BFF"/>
    <w:rsid w:val="00536F2C"/>
    <w:rsid w:val="005427A2"/>
    <w:rsid w:val="005432BE"/>
    <w:rsid w:val="00544723"/>
    <w:rsid w:val="005467DA"/>
    <w:rsid w:val="0054716E"/>
    <w:rsid w:val="005536C4"/>
    <w:rsid w:val="005620B7"/>
    <w:rsid w:val="0056464B"/>
    <w:rsid w:val="0056478B"/>
    <w:rsid w:val="005648E2"/>
    <w:rsid w:val="00565318"/>
    <w:rsid w:val="0057040C"/>
    <w:rsid w:val="00572467"/>
    <w:rsid w:val="0057455D"/>
    <w:rsid w:val="00581869"/>
    <w:rsid w:val="00581CC8"/>
    <w:rsid w:val="00583560"/>
    <w:rsid w:val="00586C01"/>
    <w:rsid w:val="00586D34"/>
    <w:rsid w:val="00590E70"/>
    <w:rsid w:val="00595247"/>
    <w:rsid w:val="00597E5A"/>
    <w:rsid w:val="005A3211"/>
    <w:rsid w:val="005A3E0B"/>
    <w:rsid w:val="005A6469"/>
    <w:rsid w:val="005B0DC6"/>
    <w:rsid w:val="005B1A43"/>
    <w:rsid w:val="005B1E94"/>
    <w:rsid w:val="005B42E9"/>
    <w:rsid w:val="005B4440"/>
    <w:rsid w:val="005C0720"/>
    <w:rsid w:val="005C6E70"/>
    <w:rsid w:val="005C7983"/>
    <w:rsid w:val="005C7AFD"/>
    <w:rsid w:val="005D4212"/>
    <w:rsid w:val="005E1481"/>
    <w:rsid w:val="005E2A62"/>
    <w:rsid w:val="005E5A4C"/>
    <w:rsid w:val="005F12E6"/>
    <w:rsid w:val="005F7B54"/>
    <w:rsid w:val="005F7E31"/>
    <w:rsid w:val="00600C13"/>
    <w:rsid w:val="00604324"/>
    <w:rsid w:val="00614A4E"/>
    <w:rsid w:val="006154DD"/>
    <w:rsid w:val="00617E51"/>
    <w:rsid w:val="0062450B"/>
    <w:rsid w:val="006306AB"/>
    <w:rsid w:val="00634E74"/>
    <w:rsid w:val="00635B6D"/>
    <w:rsid w:val="00636F01"/>
    <w:rsid w:val="00637401"/>
    <w:rsid w:val="00637A0C"/>
    <w:rsid w:val="006402F1"/>
    <w:rsid w:val="00640461"/>
    <w:rsid w:val="00650051"/>
    <w:rsid w:val="00650CC4"/>
    <w:rsid w:val="006527F2"/>
    <w:rsid w:val="00654618"/>
    <w:rsid w:val="006575B3"/>
    <w:rsid w:val="0066177B"/>
    <w:rsid w:val="00663A65"/>
    <w:rsid w:val="006700AE"/>
    <w:rsid w:val="00670B23"/>
    <w:rsid w:val="00670D5C"/>
    <w:rsid w:val="0067373C"/>
    <w:rsid w:val="006739DF"/>
    <w:rsid w:val="006751DD"/>
    <w:rsid w:val="00675B06"/>
    <w:rsid w:val="006773A1"/>
    <w:rsid w:val="00680B3A"/>
    <w:rsid w:val="00680CFE"/>
    <w:rsid w:val="006811C4"/>
    <w:rsid w:val="00684575"/>
    <w:rsid w:val="00690BC6"/>
    <w:rsid w:val="00694EFF"/>
    <w:rsid w:val="006A02A5"/>
    <w:rsid w:val="006A2A8D"/>
    <w:rsid w:val="006A35C3"/>
    <w:rsid w:val="006A458D"/>
    <w:rsid w:val="006A4B28"/>
    <w:rsid w:val="006A6A95"/>
    <w:rsid w:val="006B3295"/>
    <w:rsid w:val="006B3569"/>
    <w:rsid w:val="006B36EA"/>
    <w:rsid w:val="006B6361"/>
    <w:rsid w:val="006B708C"/>
    <w:rsid w:val="006C2741"/>
    <w:rsid w:val="006C328D"/>
    <w:rsid w:val="006C3C39"/>
    <w:rsid w:val="006D00BE"/>
    <w:rsid w:val="006D30FA"/>
    <w:rsid w:val="006D4925"/>
    <w:rsid w:val="006D5ED7"/>
    <w:rsid w:val="006E14EB"/>
    <w:rsid w:val="006F0670"/>
    <w:rsid w:val="00701DF3"/>
    <w:rsid w:val="00701EE6"/>
    <w:rsid w:val="00702F6C"/>
    <w:rsid w:val="00705565"/>
    <w:rsid w:val="00705C04"/>
    <w:rsid w:val="0071064C"/>
    <w:rsid w:val="0071495E"/>
    <w:rsid w:val="0071597C"/>
    <w:rsid w:val="00716BDC"/>
    <w:rsid w:val="007206FC"/>
    <w:rsid w:val="00724B08"/>
    <w:rsid w:val="00724E0B"/>
    <w:rsid w:val="00726240"/>
    <w:rsid w:val="00727008"/>
    <w:rsid w:val="007301C8"/>
    <w:rsid w:val="00731D58"/>
    <w:rsid w:val="00732C8F"/>
    <w:rsid w:val="0073321E"/>
    <w:rsid w:val="00734C38"/>
    <w:rsid w:val="007434A7"/>
    <w:rsid w:val="0074477C"/>
    <w:rsid w:val="0074635A"/>
    <w:rsid w:val="007465B7"/>
    <w:rsid w:val="00747579"/>
    <w:rsid w:val="00750FB1"/>
    <w:rsid w:val="00750FE7"/>
    <w:rsid w:val="00751ED9"/>
    <w:rsid w:val="00752411"/>
    <w:rsid w:val="00756D5B"/>
    <w:rsid w:val="007601C3"/>
    <w:rsid w:val="00762E7A"/>
    <w:rsid w:val="0076484C"/>
    <w:rsid w:val="00770D75"/>
    <w:rsid w:val="007710A6"/>
    <w:rsid w:val="00772E8B"/>
    <w:rsid w:val="0077688F"/>
    <w:rsid w:val="0077736C"/>
    <w:rsid w:val="0077736D"/>
    <w:rsid w:val="007774F2"/>
    <w:rsid w:val="00781822"/>
    <w:rsid w:val="007853EE"/>
    <w:rsid w:val="007915FB"/>
    <w:rsid w:val="007943FC"/>
    <w:rsid w:val="007A3BA5"/>
    <w:rsid w:val="007B0171"/>
    <w:rsid w:val="007B2550"/>
    <w:rsid w:val="007B4614"/>
    <w:rsid w:val="007B512A"/>
    <w:rsid w:val="007B6D38"/>
    <w:rsid w:val="007C02E1"/>
    <w:rsid w:val="007C0B76"/>
    <w:rsid w:val="007C25CC"/>
    <w:rsid w:val="007C4D8D"/>
    <w:rsid w:val="007D31D4"/>
    <w:rsid w:val="007E079A"/>
    <w:rsid w:val="007E21B5"/>
    <w:rsid w:val="007E4998"/>
    <w:rsid w:val="007E53D0"/>
    <w:rsid w:val="007E6959"/>
    <w:rsid w:val="007E6DC9"/>
    <w:rsid w:val="007E736D"/>
    <w:rsid w:val="007F0840"/>
    <w:rsid w:val="007F34BE"/>
    <w:rsid w:val="007F7861"/>
    <w:rsid w:val="00800ABD"/>
    <w:rsid w:val="00800E78"/>
    <w:rsid w:val="0080374C"/>
    <w:rsid w:val="00807EC0"/>
    <w:rsid w:val="00811097"/>
    <w:rsid w:val="00816C44"/>
    <w:rsid w:val="00817ACD"/>
    <w:rsid w:val="00821164"/>
    <w:rsid w:val="008255B4"/>
    <w:rsid w:val="0082576A"/>
    <w:rsid w:val="008259B8"/>
    <w:rsid w:val="008363FD"/>
    <w:rsid w:val="0084137A"/>
    <w:rsid w:val="008419FC"/>
    <w:rsid w:val="008423F5"/>
    <w:rsid w:val="00842694"/>
    <w:rsid w:val="00843DAC"/>
    <w:rsid w:val="008507C7"/>
    <w:rsid w:val="0085101C"/>
    <w:rsid w:val="008516EF"/>
    <w:rsid w:val="0086145F"/>
    <w:rsid w:val="008616FD"/>
    <w:rsid w:val="008625B2"/>
    <w:rsid w:val="00862CE9"/>
    <w:rsid w:val="00863249"/>
    <w:rsid w:val="00863B02"/>
    <w:rsid w:val="008660F5"/>
    <w:rsid w:val="00866BD1"/>
    <w:rsid w:val="008709C5"/>
    <w:rsid w:val="00871476"/>
    <w:rsid w:val="008751A5"/>
    <w:rsid w:val="0088232B"/>
    <w:rsid w:val="00883D13"/>
    <w:rsid w:val="00884FB9"/>
    <w:rsid w:val="00893B87"/>
    <w:rsid w:val="00894B93"/>
    <w:rsid w:val="00896704"/>
    <w:rsid w:val="008970A3"/>
    <w:rsid w:val="00897D86"/>
    <w:rsid w:val="008A40BC"/>
    <w:rsid w:val="008A5218"/>
    <w:rsid w:val="008B551A"/>
    <w:rsid w:val="008B6573"/>
    <w:rsid w:val="008C6E49"/>
    <w:rsid w:val="008D07DC"/>
    <w:rsid w:val="008D201A"/>
    <w:rsid w:val="008D2421"/>
    <w:rsid w:val="008D4402"/>
    <w:rsid w:val="008E0E27"/>
    <w:rsid w:val="008E1F3C"/>
    <w:rsid w:val="008E3B7C"/>
    <w:rsid w:val="008E4569"/>
    <w:rsid w:val="008E6364"/>
    <w:rsid w:val="008E6BB1"/>
    <w:rsid w:val="008F31FF"/>
    <w:rsid w:val="008F5314"/>
    <w:rsid w:val="008F53B4"/>
    <w:rsid w:val="00900AE8"/>
    <w:rsid w:val="009037CC"/>
    <w:rsid w:val="0090399A"/>
    <w:rsid w:val="00910B98"/>
    <w:rsid w:val="0091453C"/>
    <w:rsid w:val="00917895"/>
    <w:rsid w:val="0092072A"/>
    <w:rsid w:val="0093120D"/>
    <w:rsid w:val="00937320"/>
    <w:rsid w:val="00937322"/>
    <w:rsid w:val="009412BF"/>
    <w:rsid w:val="009465CD"/>
    <w:rsid w:val="00947B4D"/>
    <w:rsid w:val="00953ECB"/>
    <w:rsid w:val="009542A9"/>
    <w:rsid w:val="009576D7"/>
    <w:rsid w:val="009606B2"/>
    <w:rsid w:val="00964953"/>
    <w:rsid w:val="00965849"/>
    <w:rsid w:val="00966ED0"/>
    <w:rsid w:val="00971D04"/>
    <w:rsid w:val="00974BBA"/>
    <w:rsid w:val="009758A7"/>
    <w:rsid w:val="00980584"/>
    <w:rsid w:val="009831BB"/>
    <w:rsid w:val="00985409"/>
    <w:rsid w:val="00986050"/>
    <w:rsid w:val="00986F85"/>
    <w:rsid w:val="009919CE"/>
    <w:rsid w:val="00997A03"/>
    <w:rsid w:val="009A1025"/>
    <w:rsid w:val="009A105A"/>
    <w:rsid w:val="009A6C0F"/>
    <w:rsid w:val="009B36B1"/>
    <w:rsid w:val="009B407C"/>
    <w:rsid w:val="009B5D0A"/>
    <w:rsid w:val="009C0A17"/>
    <w:rsid w:val="009C2917"/>
    <w:rsid w:val="009C5262"/>
    <w:rsid w:val="009C6A62"/>
    <w:rsid w:val="009D4DFC"/>
    <w:rsid w:val="009D53D4"/>
    <w:rsid w:val="009D5E8C"/>
    <w:rsid w:val="009D601A"/>
    <w:rsid w:val="009D718A"/>
    <w:rsid w:val="009E1CC7"/>
    <w:rsid w:val="009E2475"/>
    <w:rsid w:val="009E2688"/>
    <w:rsid w:val="009E321D"/>
    <w:rsid w:val="009E4AA1"/>
    <w:rsid w:val="009E6BAA"/>
    <w:rsid w:val="009F1AF8"/>
    <w:rsid w:val="009F5D27"/>
    <w:rsid w:val="00A0043F"/>
    <w:rsid w:val="00A023BA"/>
    <w:rsid w:val="00A0534C"/>
    <w:rsid w:val="00A064E2"/>
    <w:rsid w:val="00A07D41"/>
    <w:rsid w:val="00A103BA"/>
    <w:rsid w:val="00A1182B"/>
    <w:rsid w:val="00A15C0B"/>
    <w:rsid w:val="00A21871"/>
    <w:rsid w:val="00A23E89"/>
    <w:rsid w:val="00A26F3F"/>
    <w:rsid w:val="00A3106A"/>
    <w:rsid w:val="00A33402"/>
    <w:rsid w:val="00A3614E"/>
    <w:rsid w:val="00A402EA"/>
    <w:rsid w:val="00A42692"/>
    <w:rsid w:val="00A5111C"/>
    <w:rsid w:val="00A51D65"/>
    <w:rsid w:val="00A557B6"/>
    <w:rsid w:val="00A56C72"/>
    <w:rsid w:val="00A642D5"/>
    <w:rsid w:val="00A64D7E"/>
    <w:rsid w:val="00A65177"/>
    <w:rsid w:val="00A659F7"/>
    <w:rsid w:val="00A65EC2"/>
    <w:rsid w:val="00A67F6C"/>
    <w:rsid w:val="00A70F3E"/>
    <w:rsid w:val="00A71599"/>
    <w:rsid w:val="00A7562B"/>
    <w:rsid w:val="00A7670B"/>
    <w:rsid w:val="00A81EC2"/>
    <w:rsid w:val="00A83975"/>
    <w:rsid w:val="00A85977"/>
    <w:rsid w:val="00A85A7B"/>
    <w:rsid w:val="00A874E6"/>
    <w:rsid w:val="00A903B3"/>
    <w:rsid w:val="00A94F89"/>
    <w:rsid w:val="00A9604E"/>
    <w:rsid w:val="00AA02BA"/>
    <w:rsid w:val="00AA4346"/>
    <w:rsid w:val="00AA7C25"/>
    <w:rsid w:val="00AB1B63"/>
    <w:rsid w:val="00AB45DB"/>
    <w:rsid w:val="00AC0A9A"/>
    <w:rsid w:val="00AC2312"/>
    <w:rsid w:val="00AC2E2D"/>
    <w:rsid w:val="00AC331E"/>
    <w:rsid w:val="00AC37B0"/>
    <w:rsid w:val="00AC38AF"/>
    <w:rsid w:val="00AC561E"/>
    <w:rsid w:val="00AC70C1"/>
    <w:rsid w:val="00AD042D"/>
    <w:rsid w:val="00AD06F2"/>
    <w:rsid w:val="00AD0918"/>
    <w:rsid w:val="00AD0C1F"/>
    <w:rsid w:val="00AD2174"/>
    <w:rsid w:val="00AD5309"/>
    <w:rsid w:val="00AD644E"/>
    <w:rsid w:val="00AD6E7C"/>
    <w:rsid w:val="00AE04F5"/>
    <w:rsid w:val="00AE060C"/>
    <w:rsid w:val="00AE1EE9"/>
    <w:rsid w:val="00AE2C19"/>
    <w:rsid w:val="00AE4447"/>
    <w:rsid w:val="00AE527C"/>
    <w:rsid w:val="00AE548C"/>
    <w:rsid w:val="00AF2C67"/>
    <w:rsid w:val="00AF596C"/>
    <w:rsid w:val="00AF7D01"/>
    <w:rsid w:val="00B00A36"/>
    <w:rsid w:val="00B06166"/>
    <w:rsid w:val="00B2730C"/>
    <w:rsid w:val="00B27BAD"/>
    <w:rsid w:val="00B33458"/>
    <w:rsid w:val="00B358C0"/>
    <w:rsid w:val="00B42F02"/>
    <w:rsid w:val="00B435D4"/>
    <w:rsid w:val="00B45B0C"/>
    <w:rsid w:val="00B46154"/>
    <w:rsid w:val="00B46B32"/>
    <w:rsid w:val="00B52399"/>
    <w:rsid w:val="00B54705"/>
    <w:rsid w:val="00B55DC1"/>
    <w:rsid w:val="00B600CA"/>
    <w:rsid w:val="00B6039A"/>
    <w:rsid w:val="00B60775"/>
    <w:rsid w:val="00B61FE1"/>
    <w:rsid w:val="00B67200"/>
    <w:rsid w:val="00B67FED"/>
    <w:rsid w:val="00B72B4C"/>
    <w:rsid w:val="00B83B96"/>
    <w:rsid w:val="00B8587C"/>
    <w:rsid w:val="00B86112"/>
    <w:rsid w:val="00B86CEB"/>
    <w:rsid w:val="00B875E6"/>
    <w:rsid w:val="00B87619"/>
    <w:rsid w:val="00B94247"/>
    <w:rsid w:val="00B95447"/>
    <w:rsid w:val="00BA03D5"/>
    <w:rsid w:val="00BA25AA"/>
    <w:rsid w:val="00BA4934"/>
    <w:rsid w:val="00BA4FF5"/>
    <w:rsid w:val="00BA7B23"/>
    <w:rsid w:val="00BB2468"/>
    <w:rsid w:val="00BB61C7"/>
    <w:rsid w:val="00BC12FA"/>
    <w:rsid w:val="00BC17C0"/>
    <w:rsid w:val="00BC4794"/>
    <w:rsid w:val="00BC6F0A"/>
    <w:rsid w:val="00BD3E95"/>
    <w:rsid w:val="00BD422B"/>
    <w:rsid w:val="00BD6B66"/>
    <w:rsid w:val="00BE0233"/>
    <w:rsid w:val="00BE0769"/>
    <w:rsid w:val="00BE256B"/>
    <w:rsid w:val="00BE5149"/>
    <w:rsid w:val="00BF0FD6"/>
    <w:rsid w:val="00BF1362"/>
    <w:rsid w:val="00BF2E16"/>
    <w:rsid w:val="00BF3955"/>
    <w:rsid w:val="00C05D1F"/>
    <w:rsid w:val="00C05E6B"/>
    <w:rsid w:val="00C0603E"/>
    <w:rsid w:val="00C113D7"/>
    <w:rsid w:val="00C1160B"/>
    <w:rsid w:val="00C15ED7"/>
    <w:rsid w:val="00C169AE"/>
    <w:rsid w:val="00C20A30"/>
    <w:rsid w:val="00C2182D"/>
    <w:rsid w:val="00C220C9"/>
    <w:rsid w:val="00C24FDB"/>
    <w:rsid w:val="00C26027"/>
    <w:rsid w:val="00C27D86"/>
    <w:rsid w:val="00C3096B"/>
    <w:rsid w:val="00C30F6D"/>
    <w:rsid w:val="00C32145"/>
    <w:rsid w:val="00C35B4C"/>
    <w:rsid w:val="00C35EA6"/>
    <w:rsid w:val="00C37543"/>
    <w:rsid w:val="00C378F7"/>
    <w:rsid w:val="00C45A2D"/>
    <w:rsid w:val="00C47F6E"/>
    <w:rsid w:val="00C5406F"/>
    <w:rsid w:val="00C57010"/>
    <w:rsid w:val="00C64A81"/>
    <w:rsid w:val="00C71BDC"/>
    <w:rsid w:val="00C734C5"/>
    <w:rsid w:val="00C751AA"/>
    <w:rsid w:val="00C752D7"/>
    <w:rsid w:val="00C77A52"/>
    <w:rsid w:val="00C93BB9"/>
    <w:rsid w:val="00C9426B"/>
    <w:rsid w:val="00C9562E"/>
    <w:rsid w:val="00CA295D"/>
    <w:rsid w:val="00CB0228"/>
    <w:rsid w:val="00CB0721"/>
    <w:rsid w:val="00CB2BC6"/>
    <w:rsid w:val="00CC499D"/>
    <w:rsid w:val="00CD4A85"/>
    <w:rsid w:val="00CD4D29"/>
    <w:rsid w:val="00CD5B28"/>
    <w:rsid w:val="00CD6F10"/>
    <w:rsid w:val="00CE066A"/>
    <w:rsid w:val="00CE2477"/>
    <w:rsid w:val="00CE50A8"/>
    <w:rsid w:val="00CE5884"/>
    <w:rsid w:val="00CF6703"/>
    <w:rsid w:val="00D00328"/>
    <w:rsid w:val="00D036D3"/>
    <w:rsid w:val="00D06EE2"/>
    <w:rsid w:val="00D078C7"/>
    <w:rsid w:val="00D10938"/>
    <w:rsid w:val="00D10E22"/>
    <w:rsid w:val="00D1109B"/>
    <w:rsid w:val="00D2069A"/>
    <w:rsid w:val="00D216B5"/>
    <w:rsid w:val="00D23D13"/>
    <w:rsid w:val="00D25DBD"/>
    <w:rsid w:val="00D2621E"/>
    <w:rsid w:val="00D26BA2"/>
    <w:rsid w:val="00D31F34"/>
    <w:rsid w:val="00D35876"/>
    <w:rsid w:val="00D40C3F"/>
    <w:rsid w:val="00D42A0D"/>
    <w:rsid w:val="00D46375"/>
    <w:rsid w:val="00D47773"/>
    <w:rsid w:val="00D502E0"/>
    <w:rsid w:val="00D50827"/>
    <w:rsid w:val="00D523A7"/>
    <w:rsid w:val="00D533C4"/>
    <w:rsid w:val="00D54323"/>
    <w:rsid w:val="00D551C0"/>
    <w:rsid w:val="00D5553C"/>
    <w:rsid w:val="00D570BB"/>
    <w:rsid w:val="00D60CBE"/>
    <w:rsid w:val="00D61D25"/>
    <w:rsid w:val="00D62593"/>
    <w:rsid w:val="00D65D39"/>
    <w:rsid w:val="00D662FC"/>
    <w:rsid w:val="00D67128"/>
    <w:rsid w:val="00D71573"/>
    <w:rsid w:val="00D71DCF"/>
    <w:rsid w:val="00D7284F"/>
    <w:rsid w:val="00D75A0A"/>
    <w:rsid w:val="00D760DB"/>
    <w:rsid w:val="00D82DA6"/>
    <w:rsid w:val="00D86D22"/>
    <w:rsid w:val="00D91902"/>
    <w:rsid w:val="00D91CD5"/>
    <w:rsid w:val="00DA0387"/>
    <w:rsid w:val="00DA296E"/>
    <w:rsid w:val="00DA3659"/>
    <w:rsid w:val="00DA4B50"/>
    <w:rsid w:val="00DB1E1B"/>
    <w:rsid w:val="00DB2F03"/>
    <w:rsid w:val="00DB3C55"/>
    <w:rsid w:val="00DB6536"/>
    <w:rsid w:val="00DC0038"/>
    <w:rsid w:val="00DC28FC"/>
    <w:rsid w:val="00DC4BF1"/>
    <w:rsid w:val="00DD2D52"/>
    <w:rsid w:val="00DD3C7E"/>
    <w:rsid w:val="00DD6110"/>
    <w:rsid w:val="00DE1623"/>
    <w:rsid w:val="00DE62CA"/>
    <w:rsid w:val="00DF2A5A"/>
    <w:rsid w:val="00DF3535"/>
    <w:rsid w:val="00E02181"/>
    <w:rsid w:val="00E05E3B"/>
    <w:rsid w:val="00E1148F"/>
    <w:rsid w:val="00E12F80"/>
    <w:rsid w:val="00E145F6"/>
    <w:rsid w:val="00E2020C"/>
    <w:rsid w:val="00E24A6B"/>
    <w:rsid w:val="00E27610"/>
    <w:rsid w:val="00E3332C"/>
    <w:rsid w:val="00E336EE"/>
    <w:rsid w:val="00E35E26"/>
    <w:rsid w:val="00E40202"/>
    <w:rsid w:val="00E464F9"/>
    <w:rsid w:val="00E512B8"/>
    <w:rsid w:val="00E535E9"/>
    <w:rsid w:val="00E55CCA"/>
    <w:rsid w:val="00E568EC"/>
    <w:rsid w:val="00E60E4D"/>
    <w:rsid w:val="00E66A3F"/>
    <w:rsid w:val="00E66DB1"/>
    <w:rsid w:val="00E72E6B"/>
    <w:rsid w:val="00E762AC"/>
    <w:rsid w:val="00E7692D"/>
    <w:rsid w:val="00E772F4"/>
    <w:rsid w:val="00E824E9"/>
    <w:rsid w:val="00E82BCD"/>
    <w:rsid w:val="00E90DBC"/>
    <w:rsid w:val="00E97C2F"/>
    <w:rsid w:val="00EA0539"/>
    <w:rsid w:val="00EA11B9"/>
    <w:rsid w:val="00EA29E7"/>
    <w:rsid w:val="00EA6D40"/>
    <w:rsid w:val="00EB02B9"/>
    <w:rsid w:val="00EB6C35"/>
    <w:rsid w:val="00EB6D64"/>
    <w:rsid w:val="00EB7B64"/>
    <w:rsid w:val="00EC379B"/>
    <w:rsid w:val="00EC4465"/>
    <w:rsid w:val="00EC678F"/>
    <w:rsid w:val="00ED0054"/>
    <w:rsid w:val="00ED3322"/>
    <w:rsid w:val="00ED35F3"/>
    <w:rsid w:val="00ED5300"/>
    <w:rsid w:val="00ED670C"/>
    <w:rsid w:val="00EE0D9D"/>
    <w:rsid w:val="00EE79D4"/>
    <w:rsid w:val="00EF01A7"/>
    <w:rsid w:val="00F01016"/>
    <w:rsid w:val="00F01A2C"/>
    <w:rsid w:val="00F06E38"/>
    <w:rsid w:val="00F10E40"/>
    <w:rsid w:val="00F11A18"/>
    <w:rsid w:val="00F1367A"/>
    <w:rsid w:val="00F24E7C"/>
    <w:rsid w:val="00F33463"/>
    <w:rsid w:val="00F34468"/>
    <w:rsid w:val="00F34726"/>
    <w:rsid w:val="00F352DF"/>
    <w:rsid w:val="00F36C6D"/>
    <w:rsid w:val="00F41097"/>
    <w:rsid w:val="00F43922"/>
    <w:rsid w:val="00F46D48"/>
    <w:rsid w:val="00F47B97"/>
    <w:rsid w:val="00F5331E"/>
    <w:rsid w:val="00F5477C"/>
    <w:rsid w:val="00F5661D"/>
    <w:rsid w:val="00F6640C"/>
    <w:rsid w:val="00F7313B"/>
    <w:rsid w:val="00F744FF"/>
    <w:rsid w:val="00F762AC"/>
    <w:rsid w:val="00F76A1E"/>
    <w:rsid w:val="00F76EA4"/>
    <w:rsid w:val="00F809BF"/>
    <w:rsid w:val="00F8424E"/>
    <w:rsid w:val="00F85DAD"/>
    <w:rsid w:val="00F8737A"/>
    <w:rsid w:val="00F92BA6"/>
    <w:rsid w:val="00F937B6"/>
    <w:rsid w:val="00F93AB7"/>
    <w:rsid w:val="00F95676"/>
    <w:rsid w:val="00FA0852"/>
    <w:rsid w:val="00FA1AA5"/>
    <w:rsid w:val="00FA1D0A"/>
    <w:rsid w:val="00FA2359"/>
    <w:rsid w:val="00FA464D"/>
    <w:rsid w:val="00FA5F73"/>
    <w:rsid w:val="00FA64C2"/>
    <w:rsid w:val="00FB00F5"/>
    <w:rsid w:val="00FB035D"/>
    <w:rsid w:val="00FB268D"/>
    <w:rsid w:val="00FB3169"/>
    <w:rsid w:val="00FB46A3"/>
    <w:rsid w:val="00FC4351"/>
    <w:rsid w:val="00FC4C98"/>
    <w:rsid w:val="00FC587D"/>
    <w:rsid w:val="00FC59D9"/>
    <w:rsid w:val="00FC79D6"/>
    <w:rsid w:val="00FD1309"/>
    <w:rsid w:val="00FD2C4C"/>
    <w:rsid w:val="00FD6ED3"/>
    <w:rsid w:val="00FE18DD"/>
    <w:rsid w:val="00FE1FA3"/>
    <w:rsid w:val="00FE3170"/>
    <w:rsid w:val="00FE6957"/>
    <w:rsid w:val="00FE6F87"/>
    <w:rsid w:val="00FE7B88"/>
    <w:rsid w:val="00FF1392"/>
    <w:rsid w:val="00FF13B5"/>
    <w:rsid w:val="00FF25D7"/>
    <w:rsid w:val="00FF3C0F"/>
    <w:rsid w:val="00FF6D7F"/>
    <w:rsid w:val="00FF6FA8"/>
    <w:rsid w:val="00FF78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A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ind w:left="446"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CFE"/>
  </w:style>
  <w:style w:type="paragraph" w:styleId="Heading1">
    <w:name w:val="heading 1"/>
    <w:basedOn w:val="Normal"/>
    <w:next w:val="Normal"/>
    <w:link w:val="Heading1Char"/>
    <w:uiPriority w:val="9"/>
    <w:qFormat/>
    <w:rsid w:val="0013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1D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BF1"/>
    <w:pPr>
      <w:ind w:left="720"/>
      <w:contextualSpacing/>
    </w:pPr>
  </w:style>
  <w:style w:type="paragraph" w:styleId="FootnoteText">
    <w:name w:val="footnote text"/>
    <w:basedOn w:val="Normal"/>
    <w:link w:val="FootnoteTextChar"/>
    <w:uiPriority w:val="99"/>
    <w:semiHidden/>
    <w:unhideWhenUsed/>
    <w:rsid w:val="00DC4BF1"/>
    <w:rPr>
      <w:sz w:val="20"/>
      <w:szCs w:val="20"/>
    </w:rPr>
  </w:style>
  <w:style w:type="character" w:customStyle="1" w:styleId="FootnoteTextChar">
    <w:name w:val="Footnote Text Char"/>
    <w:basedOn w:val="DefaultParagraphFont"/>
    <w:link w:val="FootnoteText"/>
    <w:uiPriority w:val="99"/>
    <w:semiHidden/>
    <w:rsid w:val="00DC4BF1"/>
    <w:rPr>
      <w:sz w:val="20"/>
      <w:szCs w:val="20"/>
    </w:rPr>
  </w:style>
  <w:style w:type="character" w:styleId="FootnoteReference">
    <w:name w:val="footnote reference"/>
    <w:basedOn w:val="DefaultParagraphFont"/>
    <w:uiPriority w:val="99"/>
    <w:semiHidden/>
    <w:unhideWhenUsed/>
    <w:rsid w:val="00DC4BF1"/>
    <w:rPr>
      <w:vertAlign w:val="superscript"/>
    </w:rPr>
  </w:style>
  <w:style w:type="character" w:styleId="Hyperlink">
    <w:name w:val="Hyperlink"/>
    <w:basedOn w:val="DefaultParagraphFont"/>
    <w:uiPriority w:val="99"/>
    <w:unhideWhenUsed/>
    <w:rsid w:val="0018077B"/>
    <w:rPr>
      <w:color w:val="0563C1" w:themeColor="hyperlink"/>
      <w:u w:val="single"/>
    </w:rPr>
  </w:style>
  <w:style w:type="paragraph" w:customStyle="1" w:styleId="Pa3">
    <w:name w:val="Pa3"/>
    <w:basedOn w:val="Normal"/>
    <w:next w:val="Normal"/>
    <w:uiPriority w:val="99"/>
    <w:rsid w:val="00433C86"/>
    <w:pPr>
      <w:autoSpaceDE w:val="0"/>
      <w:autoSpaceDN w:val="0"/>
      <w:adjustRightInd w:val="0"/>
      <w:spacing w:line="201" w:lineRule="atLeast"/>
      <w:ind w:left="0" w:firstLine="0"/>
    </w:pPr>
    <w:rPr>
      <w:rFonts w:ascii="Museo Sans 700" w:hAnsi="Museo Sans 700"/>
      <w:sz w:val="24"/>
      <w:szCs w:val="24"/>
    </w:rPr>
  </w:style>
  <w:style w:type="paragraph" w:styleId="BalloonText">
    <w:name w:val="Balloon Text"/>
    <w:basedOn w:val="Normal"/>
    <w:link w:val="BalloonTextChar"/>
    <w:uiPriority w:val="99"/>
    <w:semiHidden/>
    <w:unhideWhenUsed/>
    <w:rsid w:val="00266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DA"/>
    <w:rPr>
      <w:rFonts w:ascii="Segoe UI" w:hAnsi="Segoe UI" w:cs="Segoe UI"/>
      <w:sz w:val="18"/>
      <w:szCs w:val="18"/>
    </w:rPr>
  </w:style>
  <w:style w:type="paragraph" w:styleId="Caption">
    <w:name w:val="caption"/>
    <w:basedOn w:val="Normal"/>
    <w:next w:val="Normal"/>
    <w:uiPriority w:val="35"/>
    <w:unhideWhenUsed/>
    <w:qFormat/>
    <w:rsid w:val="00503CCD"/>
    <w:pPr>
      <w:spacing w:after="200"/>
    </w:pPr>
    <w:rPr>
      <w:i/>
      <w:iCs/>
      <w:color w:val="44546A" w:themeColor="text2"/>
      <w:sz w:val="18"/>
      <w:szCs w:val="18"/>
    </w:rPr>
  </w:style>
  <w:style w:type="paragraph" w:styleId="Header">
    <w:name w:val="header"/>
    <w:basedOn w:val="Normal"/>
    <w:link w:val="HeaderChar"/>
    <w:uiPriority w:val="99"/>
    <w:unhideWhenUsed/>
    <w:rsid w:val="00F744FF"/>
    <w:pPr>
      <w:tabs>
        <w:tab w:val="center" w:pos="4513"/>
        <w:tab w:val="right" w:pos="9026"/>
      </w:tabs>
    </w:pPr>
  </w:style>
  <w:style w:type="character" w:customStyle="1" w:styleId="HeaderChar">
    <w:name w:val="Header Char"/>
    <w:basedOn w:val="DefaultParagraphFont"/>
    <w:link w:val="Header"/>
    <w:uiPriority w:val="99"/>
    <w:rsid w:val="00F744FF"/>
  </w:style>
  <w:style w:type="paragraph" w:styleId="Footer">
    <w:name w:val="footer"/>
    <w:basedOn w:val="Normal"/>
    <w:link w:val="FooterChar"/>
    <w:uiPriority w:val="99"/>
    <w:unhideWhenUsed/>
    <w:rsid w:val="00F744FF"/>
    <w:pPr>
      <w:tabs>
        <w:tab w:val="center" w:pos="4513"/>
        <w:tab w:val="right" w:pos="9026"/>
      </w:tabs>
    </w:pPr>
  </w:style>
  <w:style w:type="character" w:customStyle="1" w:styleId="FooterChar">
    <w:name w:val="Footer Char"/>
    <w:basedOn w:val="DefaultParagraphFont"/>
    <w:link w:val="Footer"/>
    <w:uiPriority w:val="99"/>
    <w:rsid w:val="00F744FF"/>
  </w:style>
  <w:style w:type="character" w:customStyle="1" w:styleId="Heading1Char">
    <w:name w:val="Heading 1 Char"/>
    <w:basedOn w:val="DefaultParagraphFont"/>
    <w:link w:val="Heading1"/>
    <w:uiPriority w:val="9"/>
    <w:rsid w:val="0013101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7029F"/>
    <w:rPr>
      <w:sz w:val="16"/>
      <w:szCs w:val="16"/>
    </w:rPr>
  </w:style>
  <w:style w:type="paragraph" w:styleId="CommentText">
    <w:name w:val="annotation text"/>
    <w:basedOn w:val="Normal"/>
    <w:link w:val="CommentTextChar"/>
    <w:uiPriority w:val="99"/>
    <w:unhideWhenUsed/>
    <w:rsid w:val="0047029F"/>
    <w:rPr>
      <w:sz w:val="20"/>
      <w:szCs w:val="20"/>
    </w:rPr>
  </w:style>
  <w:style w:type="character" w:customStyle="1" w:styleId="CommentTextChar">
    <w:name w:val="Comment Text Char"/>
    <w:basedOn w:val="DefaultParagraphFont"/>
    <w:link w:val="CommentText"/>
    <w:uiPriority w:val="99"/>
    <w:rsid w:val="0047029F"/>
    <w:rPr>
      <w:sz w:val="20"/>
      <w:szCs w:val="20"/>
    </w:rPr>
  </w:style>
  <w:style w:type="paragraph" w:styleId="CommentSubject">
    <w:name w:val="annotation subject"/>
    <w:basedOn w:val="CommentText"/>
    <w:next w:val="CommentText"/>
    <w:link w:val="CommentSubjectChar"/>
    <w:uiPriority w:val="99"/>
    <w:semiHidden/>
    <w:unhideWhenUsed/>
    <w:rsid w:val="0047029F"/>
    <w:rPr>
      <w:b/>
      <w:bCs/>
    </w:rPr>
  </w:style>
  <w:style w:type="character" w:customStyle="1" w:styleId="CommentSubjectChar">
    <w:name w:val="Comment Subject Char"/>
    <w:basedOn w:val="CommentTextChar"/>
    <w:link w:val="CommentSubject"/>
    <w:uiPriority w:val="99"/>
    <w:semiHidden/>
    <w:rsid w:val="0047029F"/>
    <w:rPr>
      <w:b/>
      <w:bCs/>
      <w:sz w:val="20"/>
      <w:szCs w:val="20"/>
    </w:rPr>
  </w:style>
  <w:style w:type="character" w:customStyle="1" w:styleId="Heading2Char">
    <w:name w:val="Heading 2 Char"/>
    <w:basedOn w:val="DefaultParagraphFont"/>
    <w:link w:val="Heading2"/>
    <w:uiPriority w:val="9"/>
    <w:rsid w:val="00321D8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F6E5E"/>
    <w:pPr>
      <w:spacing w:before="100" w:beforeAutospacing="1" w:after="100" w:afterAutospacing="1"/>
      <w:ind w:left="0" w:firstLine="0"/>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2A0104"/>
    <w:rPr>
      <w:color w:val="954F72" w:themeColor="followedHyperlink"/>
      <w:u w:val="single"/>
    </w:rPr>
  </w:style>
  <w:style w:type="paragraph" w:styleId="TOCHeading">
    <w:name w:val="TOC Heading"/>
    <w:basedOn w:val="Heading1"/>
    <w:next w:val="Normal"/>
    <w:uiPriority w:val="39"/>
    <w:unhideWhenUsed/>
    <w:qFormat/>
    <w:rsid w:val="00F8737A"/>
    <w:pPr>
      <w:spacing w:line="259" w:lineRule="auto"/>
      <w:ind w:left="0" w:firstLine="0"/>
      <w:outlineLvl w:val="9"/>
    </w:pPr>
    <w:rPr>
      <w:lang w:val="en-US"/>
    </w:rPr>
  </w:style>
  <w:style w:type="paragraph" w:styleId="TOC1">
    <w:name w:val="toc 1"/>
    <w:basedOn w:val="Normal"/>
    <w:next w:val="Normal"/>
    <w:autoRedefine/>
    <w:uiPriority w:val="39"/>
    <w:unhideWhenUsed/>
    <w:rsid w:val="00F8737A"/>
    <w:pPr>
      <w:spacing w:after="100"/>
      <w:ind w:left="0"/>
    </w:pPr>
  </w:style>
  <w:style w:type="paragraph" w:customStyle="1" w:styleId="Default">
    <w:name w:val="Default"/>
    <w:rsid w:val="00CE50A8"/>
    <w:pPr>
      <w:autoSpaceDE w:val="0"/>
      <w:autoSpaceDN w:val="0"/>
      <w:adjustRightInd w:val="0"/>
      <w:ind w:left="0" w:firstLine="0"/>
    </w:pPr>
    <w:rPr>
      <w:rFonts w:ascii="Calibri" w:hAnsi="Calibri" w:cs="Calibri"/>
      <w:color w:val="000000"/>
      <w:sz w:val="24"/>
      <w:szCs w:val="24"/>
    </w:rPr>
  </w:style>
  <w:style w:type="paragraph" w:styleId="Revision">
    <w:name w:val="Revision"/>
    <w:hidden/>
    <w:uiPriority w:val="99"/>
    <w:semiHidden/>
    <w:rsid w:val="00FE3170"/>
    <w:pPr>
      <w:ind w:left="0" w:firstLine="0"/>
    </w:pPr>
  </w:style>
  <w:style w:type="character" w:customStyle="1" w:styleId="A14">
    <w:name w:val="A14"/>
    <w:uiPriority w:val="99"/>
    <w:rsid w:val="00FC587D"/>
    <w:rPr>
      <w:rFonts w:cs="Museo Sans 300"/>
      <w:color w:val="000000"/>
      <w:sz w:val="11"/>
      <w:szCs w:val="11"/>
    </w:rPr>
  </w:style>
  <w:style w:type="paragraph" w:customStyle="1" w:styleId="Pa85">
    <w:name w:val="Pa85"/>
    <w:basedOn w:val="Default"/>
    <w:next w:val="Default"/>
    <w:uiPriority w:val="99"/>
    <w:rsid w:val="00374390"/>
    <w:pPr>
      <w:spacing w:line="201" w:lineRule="atLeast"/>
    </w:pPr>
    <w:rPr>
      <w:rFonts w:ascii="Raleway" w:hAnsi="Raleway" w:cstheme="minorBidi"/>
      <w:color w:val="auto"/>
    </w:rPr>
  </w:style>
  <w:style w:type="paragraph" w:customStyle="1" w:styleId="Pa34">
    <w:name w:val="Pa34"/>
    <w:basedOn w:val="Default"/>
    <w:next w:val="Default"/>
    <w:uiPriority w:val="99"/>
    <w:rsid w:val="00374390"/>
    <w:pPr>
      <w:spacing w:line="201" w:lineRule="atLeast"/>
    </w:pPr>
    <w:rPr>
      <w:rFonts w:ascii="Raleway" w:hAnsi="Raleway" w:cstheme="minorBidi"/>
      <w:color w:val="auto"/>
    </w:rPr>
  </w:style>
  <w:style w:type="character" w:customStyle="1" w:styleId="UnresolvedMention1">
    <w:name w:val="Unresolved Mention1"/>
    <w:basedOn w:val="DefaultParagraphFont"/>
    <w:uiPriority w:val="99"/>
    <w:semiHidden/>
    <w:unhideWhenUsed/>
    <w:rsid w:val="004F4196"/>
    <w:rPr>
      <w:color w:val="605E5C"/>
      <w:shd w:val="clear" w:color="auto" w:fill="E1DFDD"/>
    </w:rPr>
  </w:style>
  <w:style w:type="paragraph" w:styleId="z-TopofForm">
    <w:name w:val="HTML Top of Form"/>
    <w:basedOn w:val="Normal"/>
    <w:next w:val="Normal"/>
    <w:link w:val="z-TopofFormChar"/>
    <w:hidden/>
    <w:uiPriority w:val="99"/>
    <w:semiHidden/>
    <w:unhideWhenUsed/>
    <w:rsid w:val="0021690A"/>
    <w:pPr>
      <w:pBdr>
        <w:bottom w:val="single" w:sz="6" w:space="1" w:color="auto"/>
      </w:pBdr>
      <w:ind w:left="0" w:firstLine="0"/>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21690A"/>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21690A"/>
    <w:pPr>
      <w:pBdr>
        <w:top w:val="single" w:sz="6" w:space="1" w:color="auto"/>
      </w:pBdr>
      <w:ind w:left="0" w:firstLine="0"/>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21690A"/>
    <w:rPr>
      <w:rFonts w:ascii="Arial" w:eastAsia="Times New Roman" w:hAnsi="Arial" w:cs="Arial"/>
      <w:vanish/>
      <w:sz w:val="16"/>
      <w:szCs w:val="16"/>
      <w:lang w:eastAsia="en-NZ"/>
    </w:rPr>
  </w:style>
  <w:style w:type="paragraph" w:customStyle="1" w:styleId="b-qt">
    <w:name w:val="b-qt"/>
    <w:basedOn w:val="Normal"/>
    <w:rsid w:val="0021690A"/>
    <w:pPr>
      <w:spacing w:before="100" w:beforeAutospacing="1" w:after="100" w:afterAutospacing="1"/>
      <w:ind w:left="0" w:firstLine="0"/>
    </w:pPr>
    <w:rPr>
      <w:rFonts w:ascii="Times New Roman" w:eastAsia="Times New Roman" w:hAnsi="Times New Roman" w:cs="Times New Roman"/>
      <w:sz w:val="24"/>
      <w:szCs w:val="24"/>
      <w:lang w:eastAsia="en-NZ"/>
    </w:rPr>
  </w:style>
  <w:style w:type="paragraph" w:customStyle="1" w:styleId="bqfqa">
    <w:name w:val="bq_fq_a"/>
    <w:basedOn w:val="Normal"/>
    <w:rsid w:val="0021690A"/>
    <w:pPr>
      <w:spacing w:before="100" w:beforeAutospacing="1" w:after="100" w:afterAutospacing="1"/>
      <w:ind w:left="0" w:firstLine="0"/>
    </w:pPr>
    <w:rPr>
      <w:rFonts w:ascii="Times New Roman" w:eastAsia="Times New Roman" w:hAnsi="Times New Roman" w:cs="Times New Roman"/>
      <w:sz w:val="24"/>
      <w:szCs w:val="24"/>
      <w:lang w:eastAsia="en-NZ"/>
    </w:rPr>
  </w:style>
  <w:style w:type="character" w:customStyle="1" w:styleId="UnresolvedMention2">
    <w:name w:val="Unresolved Mention2"/>
    <w:basedOn w:val="DefaultParagraphFont"/>
    <w:uiPriority w:val="99"/>
    <w:semiHidden/>
    <w:unhideWhenUsed/>
    <w:rsid w:val="004E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22024">
      <w:bodyDiv w:val="1"/>
      <w:marLeft w:val="0"/>
      <w:marRight w:val="0"/>
      <w:marTop w:val="0"/>
      <w:marBottom w:val="0"/>
      <w:divBdr>
        <w:top w:val="none" w:sz="0" w:space="0" w:color="auto"/>
        <w:left w:val="none" w:sz="0" w:space="0" w:color="auto"/>
        <w:bottom w:val="none" w:sz="0" w:space="0" w:color="auto"/>
        <w:right w:val="none" w:sz="0" w:space="0" w:color="auto"/>
      </w:divBdr>
      <w:divsChild>
        <w:div w:id="1958020323">
          <w:marLeft w:val="0"/>
          <w:marRight w:val="0"/>
          <w:marTop w:val="0"/>
          <w:marBottom w:val="0"/>
          <w:divBdr>
            <w:top w:val="none" w:sz="0" w:space="0" w:color="auto"/>
            <w:left w:val="none" w:sz="0" w:space="0" w:color="auto"/>
            <w:bottom w:val="none" w:sz="0" w:space="0" w:color="auto"/>
            <w:right w:val="none" w:sz="0" w:space="0" w:color="auto"/>
          </w:divBdr>
          <w:divsChild>
            <w:div w:id="568270416">
              <w:marLeft w:val="0"/>
              <w:marRight w:val="0"/>
              <w:marTop w:val="0"/>
              <w:marBottom w:val="0"/>
              <w:divBdr>
                <w:top w:val="none" w:sz="0" w:space="0" w:color="auto"/>
                <w:left w:val="none" w:sz="0" w:space="0" w:color="auto"/>
                <w:bottom w:val="none" w:sz="0" w:space="0" w:color="auto"/>
                <w:right w:val="none" w:sz="0" w:space="0" w:color="auto"/>
              </w:divBdr>
              <w:divsChild>
                <w:div w:id="7654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0236">
      <w:bodyDiv w:val="1"/>
      <w:marLeft w:val="0"/>
      <w:marRight w:val="0"/>
      <w:marTop w:val="0"/>
      <w:marBottom w:val="0"/>
      <w:divBdr>
        <w:top w:val="none" w:sz="0" w:space="0" w:color="auto"/>
        <w:left w:val="none" w:sz="0" w:space="0" w:color="auto"/>
        <w:bottom w:val="none" w:sz="0" w:space="0" w:color="auto"/>
        <w:right w:val="none" w:sz="0" w:space="0" w:color="auto"/>
      </w:divBdr>
    </w:div>
    <w:div w:id="386730750">
      <w:bodyDiv w:val="1"/>
      <w:marLeft w:val="0"/>
      <w:marRight w:val="0"/>
      <w:marTop w:val="0"/>
      <w:marBottom w:val="0"/>
      <w:divBdr>
        <w:top w:val="none" w:sz="0" w:space="0" w:color="auto"/>
        <w:left w:val="none" w:sz="0" w:space="0" w:color="auto"/>
        <w:bottom w:val="none" w:sz="0" w:space="0" w:color="auto"/>
        <w:right w:val="none" w:sz="0" w:space="0" w:color="auto"/>
      </w:divBdr>
    </w:div>
    <w:div w:id="809859177">
      <w:bodyDiv w:val="1"/>
      <w:marLeft w:val="0"/>
      <w:marRight w:val="0"/>
      <w:marTop w:val="0"/>
      <w:marBottom w:val="0"/>
      <w:divBdr>
        <w:top w:val="none" w:sz="0" w:space="0" w:color="auto"/>
        <w:left w:val="none" w:sz="0" w:space="0" w:color="auto"/>
        <w:bottom w:val="none" w:sz="0" w:space="0" w:color="auto"/>
        <w:right w:val="none" w:sz="0" w:space="0" w:color="auto"/>
      </w:divBdr>
    </w:div>
    <w:div w:id="830409626">
      <w:bodyDiv w:val="1"/>
      <w:marLeft w:val="0"/>
      <w:marRight w:val="0"/>
      <w:marTop w:val="0"/>
      <w:marBottom w:val="0"/>
      <w:divBdr>
        <w:top w:val="none" w:sz="0" w:space="0" w:color="auto"/>
        <w:left w:val="none" w:sz="0" w:space="0" w:color="auto"/>
        <w:bottom w:val="none" w:sz="0" w:space="0" w:color="auto"/>
        <w:right w:val="none" w:sz="0" w:space="0" w:color="auto"/>
      </w:divBdr>
    </w:div>
    <w:div w:id="1090852231">
      <w:bodyDiv w:val="1"/>
      <w:marLeft w:val="0"/>
      <w:marRight w:val="0"/>
      <w:marTop w:val="0"/>
      <w:marBottom w:val="0"/>
      <w:divBdr>
        <w:top w:val="none" w:sz="0" w:space="0" w:color="auto"/>
        <w:left w:val="none" w:sz="0" w:space="0" w:color="auto"/>
        <w:bottom w:val="none" w:sz="0" w:space="0" w:color="auto"/>
        <w:right w:val="none" w:sz="0" w:space="0" w:color="auto"/>
      </w:divBdr>
    </w:div>
    <w:div w:id="1320383617">
      <w:bodyDiv w:val="1"/>
      <w:marLeft w:val="0"/>
      <w:marRight w:val="0"/>
      <w:marTop w:val="0"/>
      <w:marBottom w:val="0"/>
      <w:divBdr>
        <w:top w:val="none" w:sz="0" w:space="0" w:color="auto"/>
        <w:left w:val="none" w:sz="0" w:space="0" w:color="auto"/>
        <w:bottom w:val="none" w:sz="0" w:space="0" w:color="auto"/>
        <w:right w:val="none" w:sz="0" w:space="0" w:color="auto"/>
      </w:divBdr>
    </w:div>
    <w:div w:id="1362701264">
      <w:bodyDiv w:val="1"/>
      <w:marLeft w:val="0"/>
      <w:marRight w:val="0"/>
      <w:marTop w:val="0"/>
      <w:marBottom w:val="0"/>
      <w:divBdr>
        <w:top w:val="none" w:sz="0" w:space="0" w:color="auto"/>
        <w:left w:val="none" w:sz="0" w:space="0" w:color="auto"/>
        <w:bottom w:val="none" w:sz="0" w:space="0" w:color="auto"/>
        <w:right w:val="none" w:sz="0" w:space="0" w:color="auto"/>
      </w:divBdr>
    </w:div>
    <w:div w:id="1501506756">
      <w:bodyDiv w:val="1"/>
      <w:marLeft w:val="0"/>
      <w:marRight w:val="0"/>
      <w:marTop w:val="0"/>
      <w:marBottom w:val="0"/>
      <w:divBdr>
        <w:top w:val="none" w:sz="0" w:space="0" w:color="auto"/>
        <w:left w:val="none" w:sz="0" w:space="0" w:color="auto"/>
        <w:bottom w:val="none" w:sz="0" w:space="0" w:color="auto"/>
        <w:right w:val="none" w:sz="0" w:space="0" w:color="auto"/>
      </w:divBdr>
      <w:divsChild>
        <w:div w:id="1215309904">
          <w:marLeft w:val="0"/>
          <w:marRight w:val="0"/>
          <w:marTop w:val="0"/>
          <w:marBottom w:val="0"/>
          <w:divBdr>
            <w:top w:val="none" w:sz="0" w:space="0" w:color="auto"/>
            <w:left w:val="none" w:sz="0" w:space="0" w:color="auto"/>
            <w:bottom w:val="none" w:sz="0" w:space="0" w:color="auto"/>
            <w:right w:val="none" w:sz="0" w:space="0" w:color="auto"/>
          </w:divBdr>
          <w:divsChild>
            <w:div w:id="1274485067">
              <w:marLeft w:val="0"/>
              <w:marRight w:val="0"/>
              <w:marTop w:val="0"/>
              <w:marBottom w:val="0"/>
              <w:divBdr>
                <w:top w:val="none" w:sz="0" w:space="0" w:color="auto"/>
                <w:left w:val="none" w:sz="0" w:space="0" w:color="auto"/>
                <w:bottom w:val="none" w:sz="0" w:space="0" w:color="auto"/>
                <w:right w:val="none" w:sz="0" w:space="0" w:color="auto"/>
              </w:divBdr>
              <w:divsChild>
                <w:div w:id="1539396207">
                  <w:marLeft w:val="0"/>
                  <w:marRight w:val="0"/>
                  <w:marTop w:val="0"/>
                  <w:marBottom w:val="0"/>
                  <w:divBdr>
                    <w:top w:val="none" w:sz="0" w:space="0" w:color="auto"/>
                    <w:left w:val="none" w:sz="0" w:space="0" w:color="auto"/>
                    <w:bottom w:val="none" w:sz="0" w:space="0" w:color="auto"/>
                    <w:right w:val="none" w:sz="0" w:space="0" w:color="auto"/>
                  </w:divBdr>
                  <w:divsChild>
                    <w:div w:id="1335844099">
                      <w:marLeft w:val="0"/>
                      <w:marRight w:val="0"/>
                      <w:marTop w:val="0"/>
                      <w:marBottom w:val="0"/>
                      <w:divBdr>
                        <w:top w:val="none" w:sz="0" w:space="0" w:color="auto"/>
                        <w:left w:val="none" w:sz="0" w:space="0" w:color="auto"/>
                        <w:bottom w:val="none" w:sz="0" w:space="0" w:color="auto"/>
                        <w:right w:val="none" w:sz="0" w:space="0" w:color="auto"/>
                      </w:divBdr>
                      <w:divsChild>
                        <w:div w:id="13324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8581">
              <w:marLeft w:val="0"/>
              <w:marRight w:val="0"/>
              <w:marTop w:val="0"/>
              <w:marBottom w:val="0"/>
              <w:divBdr>
                <w:top w:val="none" w:sz="0" w:space="0" w:color="auto"/>
                <w:left w:val="none" w:sz="0" w:space="0" w:color="auto"/>
                <w:bottom w:val="none" w:sz="0" w:space="0" w:color="auto"/>
                <w:right w:val="none" w:sz="0" w:space="0" w:color="auto"/>
              </w:divBdr>
              <w:divsChild>
                <w:div w:id="1085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29344">
          <w:marLeft w:val="0"/>
          <w:marRight w:val="0"/>
          <w:marTop w:val="0"/>
          <w:marBottom w:val="0"/>
          <w:divBdr>
            <w:top w:val="none" w:sz="0" w:space="0" w:color="auto"/>
            <w:left w:val="none" w:sz="0" w:space="0" w:color="auto"/>
            <w:bottom w:val="none" w:sz="0" w:space="0" w:color="auto"/>
            <w:right w:val="none" w:sz="0" w:space="0" w:color="auto"/>
          </w:divBdr>
          <w:divsChild>
            <w:div w:id="368070960">
              <w:marLeft w:val="0"/>
              <w:marRight w:val="0"/>
              <w:marTop w:val="0"/>
              <w:marBottom w:val="0"/>
              <w:divBdr>
                <w:top w:val="none" w:sz="0" w:space="0" w:color="auto"/>
                <w:left w:val="none" w:sz="0" w:space="0" w:color="auto"/>
                <w:bottom w:val="none" w:sz="0" w:space="0" w:color="auto"/>
                <w:right w:val="none" w:sz="0" w:space="0" w:color="auto"/>
              </w:divBdr>
              <w:divsChild>
                <w:div w:id="2136561654">
                  <w:marLeft w:val="0"/>
                  <w:marRight w:val="0"/>
                  <w:marTop w:val="0"/>
                  <w:marBottom w:val="0"/>
                  <w:divBdr>
                    <w:top w:val="none" w:sz="0" w:space="0" w:color="auto"/>
                    <w:left w:val="none" w:sz="0" w:space="0" w:color="auto"/>
                    <w:bottom w:val="none" w:sz="0" w:space="0" w:color="auto"/>
                    <w:right w:val="none" w:sz="0" w:space="0" w:color="auto"/>
                  </w:divBdr>
                  <w:divsChild>
                    <w:div w:id="248468516">
                      <w:marLeft w:val="0"/>
                      <w:marRight w:val="0"/>
                      <w:marTop w:val="0"/>
                      <w:marBottom w:val="600"/>
                      <w:divBdr>
                        <w:top w:val="none" w:sz="0" w:space="0" w:color="auto"/>
                        <w:left w:val="none" w:sz="0" w:space="0" w:color="auto"/>
                        <w:bottom w:val="none" w:sz="0" w:space="0" w:color="auto"/>
                        <w:right w:val="none" w:sz="0" w:space="0" w:color="auto"/>
                      </w:divBdr>
                      <w:divsChild>
                        <w:div w:id="718355581">
                          <w:marLeft w:val="0"/>
                          <w:marRight w:val="0"/>
                          <w:marTop w:val="0"/>
                          <w:marBottom w:val="0"/>
                          <w:divBdr>
                            <w:top w:val="none" w:sz="0" w:space="0" w:color="auto"/>
                            <w:left w:val="none" w:sz="0" w:space="0" w:color="auto"/>
                            <w:bottom w:val="none" w:sz="0" w:space="0" w:color="auto"/>
                            <w:right w:val="none" w:sz="0" w:space="0" w:color="auto"/>
                          </w:divBdr>
                          <w:divsChild>
                            <w:div w:id="676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109571">
      <w:bodyDiv w:val="1"/>
      <w:marLeft w:val="0"/>
      <w:marRight w:val="0"/>
      <w:marTop w:val="0"/>
      <w:marBottom w:val="0"/>
      <w:divBdr>
        <w:top w:val="none" w:sz="0" w:space="0" w:color="auto"/>
        <w:left w:val="none" w:sz="0" w:space="0" w:color="auto"/>
        <w:bottom w:val="none" w:sz="0" w:space="0" w:color="auto"/>
        <w:right w:val="none" w:sz="0" w:space="0" w:color="auto"/>
      </w:divBdr>
      <w:divsChild>
        <w:div w:id="186843170">
          <w:marLeft w:val="0"/>
          <w:marRight w:val="0"/>
          <w:marTop w:val="0"/>
          <w:marBottom w:val="0"/>
          <w:divBdr>
            <w:top w:val="none" w:sz="0" w:space="0" w:color="auto"/>
            <w:left w:val="none" w:sz="0" w:space="0" w:color="auto"/>
            <w:bottom w:val="none" w:sz="0" w:space="0" w:color="auto"/>
            <w:right w:val="none" w:sz="0" w:space="0" w:color="auto"/>
          </w:divBdr>
          <w:divsChild>
            <w:div w:id="1590190129">
              <w:marLeft w:val="0"/>
              <w:marRight w:val="0"/>
              <w:marTop w:val="0"/>
              <w:marBottom w:val="0"/>
              <w:divBdr>
                <w:top w:val="none" w:sz="0" w:space="0" w:color="auto"/>
                <w:left w:val="none" w:sz="0" w:space="0" w:color="auto"/>
                <w:bottom w:val="none" w:sz="0" w:space="0" w:color="auto"/>
                <w:right w:val="none" w:sz="0" w:space="0" w:color="auto"/>
              </w:divBdr>
              <w:divsChild>
                <w:div w:id="1374962146">
                  <w:marLeft w:val="0"/>
                  <w:marRight w:val="0"/>
                  <w:marTop w:val="0"/>
                  <w:marBottom w:val="0"/>
                  <w:divBdr>
                    <w:top w:val="none" w:sz="0" w:space="0" w:color="auto"/>
                    <w:left w:val="none" w:sz="0" w:space="0" w:color="auto"/>
                    <w:bottom w:val="none" w:sz="0" w:space="0" w:color="auto"/>
                    <w:right w:val="none" w:sz="0" w:space="0" w:color="auto"/>
                  </w:divBdr>
                  <w:divsChild>
                    <w:div w:id="531306376">
                      <w:marLeft w:val="0"/>
                      <w:marRight w:val="0"/>
                      <w:marTop w:val="0"/>
                      <w:marBottom w:val="0"/>
                      <w:divBdr>
                        <w:top w:val="none" w:sz="0" w:space="0" w:color="auto"/>
                        <w:left w:val="none" w:sz="0" w:space="0" w:color="auto"/>
                        <w:bottom w:val="none" w:sz="0" w:space="0" w:color="auto"/>
                        <w:right w:val="none" w:sz="0" w:space="0" w:color="auto"/>
                      </w:divBdr>
                      <w:divsChild>
                        <w:div w:id="4912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661">
              <w:marLeft w:val="0"/>
              <w:marRight w:val="0"/>
              <w:marTop w:val="0"/>
              <w:marBottom w:val="0"/>
              <w:divBdr>
                <w:top w:val="none" w:sz="0" w:space="0" w:color="auto"/>
                <w:left w:val="none" w:sz="0" w:space="0" w:color="auto"/>
                <w:bottom w:val="none" w:sz="0" w:space="0" w:color="auto"/>
                <w:right w:val="none" w:sz="0" w:space="0" w:color="auto"/>
              </w:divBdr>
              <w:divsChild>
                <w:div w:id="20115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7258">
          <w:marLeft w:val="0"/>
          <w:marRight w:val="0"/>
          <w:marTop w:val="0"/>
          <w:marBottom w:val="0"/>
          <w:divBdr>
            <w:top w:val="none" w:sz="0" w:space="0" w:color="auto"/>
            <w:left w:val="none" w:sz="0" w:space="0" w:color="auto"/>
            <w:bottom w:val="none" w:sz="0" w:space="0" w:color="auto"/>
            <w:right w:val="none" w:sz="0" w:space="0" w:color="auto"/>
          </w:divBdr>
          <w:divsChild>
            <w:div w:id="1333264398">
              <w:marLeft w:val="0"/>
              <w:marRight w:val="0"/>
              <w:marTop w:val="0"/>
              <w:marBottom w:val="0"/>
              <w:divBdr>
                <w:top w:val="none" w:sz="0" w:space="0" w:color="auto"/>
                <w:left w:val="none" w:sz="0" w:space="0" w:color="auto"/>
                <w:bottom w:val="none" w:sz="0" w:space="0" w:color="auto"/>
                <w:right w:val="none" w:sz="0" w:space="0" w:color="auto"/>
              </w:divBdr>
              <w:divsChild>
                <w:div w:id="1877347107">
                  <w:marLeft w:val="0"/>
                  <w:marRight w:val="0"/>
                  <w:marTop w:val="0"/>
                  <w:marBottom w:val="0"/>
                  <w:divBdr>
                    <w:top w:val="none" w:sz="0" w:space="0" w:color="auto"/>
                    <w:left w:val="none" w:sz="0" w:space="0" w:color="auto"/>
                    <w:bottom w:val="none" w:sz="0" w:space="0" w:color="auto"/>
                    <w:right w:val="none" w:sz="0" w:space="0" w:color="auto"/>
                  </w:divBdr>
                  <w:divsChild>
                    <w:div w:id="649479329">
                      <w:marLeft w:val="0"/>
                      <w:marRight w:val="0"/>
                      <w:marTop w:val="0"/>
                      <w:marBottom w:val="600"/>
                      <w:divBdr>
                        <w:top w:val="none" w:sz="0" w:space="0" w:color="auto"/>
                        <w:left w:val="none" w:sz="0" w:space="0" w:color="auto"/>
                        <w:bottom w:val="none" w:sz="0" w:space="0" w:color="auto"/>
                        <w:right w:val="none" w:sz="0" w:space="0" w:color="auto"/>
                      </w:divBdr>
                      <w:divsChild>
                        <w:div w:id="193546977">
                          <w:marLeft w:val="0"/>
                          <w:marRight w:val="0"/>
                          <w:marTop w:val="0"/>
                          <w:marBottom w:val="0"/>
                          <w:divBdr>
                            <w:top w:val="none" w:sz="0" w:space="0" w:color="auto"/>
                            <w:left w:val="none" w:sz="0" w:space="0" w:color="auto"/>
                            <w:bottom w:val="none" w:sz="0" w:space="0" w:color="auto"/>
                            <w:right w:val="none" w:sz="0" w:space="0" w:color="auto"/>
                          </w:divBdr>
                          <w:divsChild>
                            <w:div w:id="63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4401">
      <w:bodyDiv w:val="1"/>
      <w:marLeft w:val="0"/>
      <w:marRight w:val="0"/>
      <w:marTop w:val="0"/>
      <w:marBottom w:val="0"/>
      <w:divBdr>
        <w:top w:val="none" w:sz="0" w:space="0" w:color="auto"/>
        <w:left w:val="none" w:sz="0" w:space="0" w:color="auto"/>
        <w:bottom w:val="none" w:sz="0" w:space="0" w:color="auto"/>
        <w:right w:val="none" w:sz="0" w:space="0" w:color="auto"/>
      </w:divBdr>
    </w:div>
    <w:div w:id="19137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spinoff.co.nz/politics/24-03-2020/the-case-for-a-huge-covid-19-benefit-reform/" TargetMode="External"/><Relationship Id="rId21" Type="http://schemas.openxmlformats.org/officeDocument/2006/relationships/hyperlink" Target="https://www.stuff.co.nz/national/politics/300112537/election-2020-public-housing-wait-list-nears-20000-applicants" TargetMode="External"/><Relationship Id="rId42" Type="http://schemas.openxmlformats.org/officeDocument/2006/relationships/hyperlink" Target="http://msd.govt.nz/documents/about-msd-and-our-work/publications-resources/official-information-responses/2019/september/20190920-msd-overpayment-and-fraud-investigations-over-the-past-five-years.pdf" TargetMode="External"/><Relationship Id="rId47" Type="http://schemas.openxmlformats.org/officeDocument/2006/relationships/hyperlink" Target="https://www.rnz.co.nz/news/political/417512/green-party-says-labour-broke-promise-to-overhaul-welfare-system" TargetMode="External"/><Relationship Id="rId63" Type="http://schemas.openxmlformats.org/officeDocument/2006/relationships/hyperlink" Target="https://www.tenancy.govt.nz/about-tenancy-services/news/residential-tenancies-amendment-act-2020-now-in-force/" TargetMode="External"/><Relationship Id="rId68" Type="http://schemas.openxmlformats.org/officeDocument/2006/relationships/hyperlink" Target="https://www.nzherald.co.nz/nz/politics/election-2020-labour-unveils-1b-plan-for-the-welfare-system/UCJUK2Y7HOK3IA27UDO2PPRV24/" TargetMode="External"/><Relationship Id="rId2" Type="http://schemas.openxmlformats.org/officeDocument/2006/relationships/numbering" Target="numbering.xml"/><Relationship Id="rId16" Type="http://schemas.openxmlformats.org/officeDocument/2006/relationships/hyperlink" Target="https://www.tvnz.co.nz/one-news/new-zealand/training-scheme-mana-in-mahi-gets-49-9-million-boost" TargetMode="External"/><Relationship Id="rId29" Type="http://schemas.openxmlformats.org/officeDocument/2006/relationships/hyperlink" Target="https://www.cpag.org.nz/assets/EMBARGOED%20MONDAY%2023%20SEPT%20-%20cpag%20MEDIA%20BRIEFING.pdf" TargetMode="External"/><Relationship Id="rId11" Type="http://schemas.openxmlformats.org/officeDocument/2006/relationships/hyperlink" Target="https://www.brainyquote.com/authors/gabriela-mistral-quotes" TargetMode="External"/><Relationship Id="rId24" Type="http://schemas.openxmlformats.org/officeDocument/2006/relationships/hyperlink" Target="https://childyouthwellbeing.govt.nz/sites/default/files/2019-08/summary-child-youth-wellbeing-2019.pdf" TargetMode="External"/><Relationship Id="rId32" Type="http://schemas.openxmlformats.org/officeDocument/2006/relationships/hyperlink" Target="https://www.labour.org.nz/socialdevelopment" TargetMode="External"/><Relationship Id="rId37" Type="http://schemas.openxmlformats.org/officeDocument/2006/relationships/hyperlink" Target="https://www.hud.govt.nz/residential-housing/progressive-home-ownership/" TargetMode="External"/><Relationship Id="rId40" Type="http://schemas.openxmlformats.org/officeDocument/2006/relationships/hyperlink" Target="https://www.msd.govt.nz/documents/about-msd-and-our-work/publications-resources/information-releases/welfare-overhaul-update/cabinet-paper-welfare-overhaul-update-on-progress-and-long-term-plan.pdf" TargetMode="External"/><Relationship Id="rId45" Type="http://schemas.openxmlformats.org/officeDocument/2006/relationships/hyperlink" Target="https://www.msd.govt.nz/documents/what-we-can-do/disability-services/disability-employment-action-plan/working-matters-2020-spreads.pdf" TargetMode="External"/><Relationship Id="rId53" Type="http://schemas.openxmlformats.org/officeDocument/2006/relationships/hyperlink" Target="https://www.scoop.co.nz/stories/PA1905/S00034/supporting-people-into-work-and-income-security.htm" TargetMode="External"/><Relationship Id="rId58" Type="http://schemas.openxmlformats.org/officeDocument/2006/relationships/hyperlink" Target="https://www.rnz.co.nz/news/national/364835/govt-plans-to-build-6400-new-state-homes-within-four-years" TargetMode="External"/><Relationship Id="rId66" Type="http://schemas.openxmlformats.org/officeDocument/2006/relationships/hyperlink" Target="https://www.treasury.govt.nz/sites/default/files/2019-06/b19-wellbeing-budget.pd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tats.govt.nz/information-releases/labour-market-statistics-june-2020-quarter" TargetMode="External"/><Relationship Id="rId19" Type="http://schemas.openxmlformats.org/officeDocument/2006/relationships/hyperlink" Target="https://www.beehive.govt.nz/sites/default/files/2020-05/COVID-19%20Income%20Relief%20Payment%20Q%20and%20A%20FINAL.pdf" TargetMode="External"/><Relationship Id="rId14" Type="http://schemas.openxmlformats.org/officeDocument/2006/relationships/footer" Target="footer1.xml"/><Relationship Id="rId22" Type="http://schemas.openxmlformats.org/officeDocument/2006/relationships/hyperlink" Target="https://www.cpag.org.nz/assets/171208%20CPAG%20further%20fraying%20of%20the%20welfare%20safety%20WEB.pdf" TargetMode="External"/><Relationship Id="rId27" Type="http://schemas.openxmlformats.org/officeDocument/2006/relationships/hyperlink" Target="https://www.unicef-irc.org/publications/1140-worlds-of-influence-understanding-what-shapes-child-well-being-in-rich-countries.html" TargetMode="External"/><Relationship Id="rId30" Type="http://schemas.openxmlformats.org/officeDocument/2006/relationships/hyperlink" Target="https://www.beehive.govt.nz/release/regional-skills-leadership-groups-be-eyes-and-ears-labour-market-recovery" TargetMode="External"/><Relationship Id="rId35" Type="http://schemas.openxmlformats.org/officeDocument/2006/relationships/hyperlink" Target="https://www.hud.govt.nz/news-and-resources/statistics-and-research/government-build-programme-housing-dashboard/" TargetMode="External"/><Relationship Id="rId43" Type="http://schemas.openxmlformats.org/officeDocument/2006/relationships/hyperlink" Target="https://www.msd.govt.nz/documents/about-msd-and-our-work/about-msd/strategies/pacific-strategy/pacific-prosperity-our-people-our-solutions-our-future-english-version.pdf" TargetMode="External"/><Relationship Id="rId48" Type="http://schemas.openxmlformats.org/officeDocument/2006/relationships/hyperlink" Target="https://www.rnz.co.nz/news/political/363717/mana-in-mahi-scheme-announced-for-youth-on-the-dole" TargetMode="External"/><Relationship Id="rId56" Type="http://schemas.openxmlformats.org/officeDocument/2006/relationships/hyperlink" Target="https://www.parliament.nz/en/pb/hansard-debates/rhr/document/HansS_20200305_053400000/sepuloni-carmel" TargetMode="External"/><Relationship Id="rId64" Type="http://schemas.openxmlformats.org/officeDocument/2006/relationships/hyperlink" Target="https://www.tec.govt.nz/rove/reform-of-vocational-education/" TargetMode="External"/><Relationship Id="rId69" Type="http://schemas.openxmlformats.org/officeDocument/2006/relationships/hyperlink" Target="http://www.weag.govt.nz/about-the-weag/" TargetMode="External"/><Relationship Id="rId8" Type="http://schemas.openxmlformats.org/officeDocument/2006/relationships/image" Target="media/image1.jpeg"/><Relationship Id="rId51" Type="http://schemas.openxmlformats.org/officeDocument/2006/relationships/hyperlink" Target="https://www.beehive.govt.nz/sites/default/files/2018-05/WEAG%20Terms%20of%20Reference_0.pdf" TargetMode="External"/><Relationship Id="rId72" Type="http://schemas.openxmlformats.org/officeDocument/2006/relationships/hyperlink" Target="https://www.workandincome.govt.nz/online-services/apply/what-is-a-stand-down.html"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www.beehive.govt.nz/speech/speech-throne-2017" TargetMode="External"/><Relationship Id="rId25" Type="http://schemas.openxmlformats.org/officeDocument/2006/relationships/hyperlink" Target="https://www.occ.org.nz/assets/Uploads/EAG/Consultation/What-you-told-us.pdf" TargetMode="External"/><Relationship Id="rId33" Type="http://schemas.openxmlformats.org/officeDocument/2006/relationships/hyperlink" Target="https://www.mhwc.govt.nz/interim-report/" TargetMode="External"/><Relationship Id="rId38" Type="http://schemas.openxmlformats.org/officeDocument/2006/relationships/hyperlink" Target="https://www.hud.govt.nz/assets/Community-and-Public-Housing/Follow-our-progress/Monthly-Dashboards-2020/August-2020-monthly-update.pdf" TargetMode="External"/><Relationship Id="rId46" Type="http://schemas.openxmlformats.org/officeDocument/2006/relationships/hyperlink" Target="https://www.msd.govt.nz/about-msd-and-our-work/publications-resources/statistics/benefit/index.html" TargetMode="External"/><Relationship Id="rId59" Type="http://schemas.openxmlformats.org/officeDocument/2006/relationships/hyperlink" Target="https://www.rnz.co.nz/news/national/425029/cautious-approach-taken-to-avoid-beneficiary-volunteering-becoming-work-for-the-dole-scheme" TargetMode="External"/><Relationship Id="rId67" Type="http://schemas.openxmlformats.org/officeDocument/2006/relationships/hyperlink" Target="https://www.treasury.govt.nz/information-and-services/nz-economy/future-work-tripartite-forum" TargetMode="External"/><Relationship Id="rId20" Type="http://schemas.openxmlformats.org/officeDocument/2006/relationships/hyperlink" Target="https://www.cpag.org.nz/assets/EMBARGOED%20MONDAY%2023%20SEPT%20-%20cpag%20MEDIA%20BRIEFING.pdf" TargetMode="External"/><Relationship Id="rId41" Type="http://schemas.openxmlformats.org/officeDocument/2006/relationships/hyperlink" Target="https://www.msd.govt.nz/documents/about-msd-and-our-work/publications-resources/information-releases/weag-report-release/cabinet-paper-welfare-overhaul-advice-from-the-welfare-expert-advisor....pdf" TargetMode="External"/><Relationship Id="rId54" Type="http://schemas.openxmlformats.org/officeDocument/2006/relationships/hyperlink" Target="https://www.msd.govt.nz/documents/about-msd-and-our-work/newsroom/factsheets/budget/factsheet-extra-msd-staff-2019.pdf" TargetMode="External"/><Relationship Id="rId62" Type="http://schemas.openxmlformats.org/officeDocument/2006/relationships/hyperlink" Target="https://www.cpag.org.nz/assets/Backgrounders/180509%20CPAG%20Analysis%20Child%20poverty%20policies%20FINAL2.pdf" TargetMode="External"/><Relationship Id="rId70" Type="http://schemas.openxmlformats.org/officeDocument/2006/relationships/hyperlink" Target="http://www.weag.govt.nz/assets/documents/WEAG-report/background-documents/757c27caff/Income-support-system-040319.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newsroom.co.nz/where-to-next-for-dead-welfare-report" TargetMode="External"/><Relationship Id="rId28" Type="http://schemas.openxmlformats.org/officeDocument/2006/relationships/hyperlink" Target="https://www.cpag.org.nz/assets/1907%20Repartnering%20Report%20PPI_CPAG%20Final%20July.pdf" TargetMode="External"/><Relationship Id="rId36" Type="http://schemas.openxmlformats.org/officeDocument/2006/relationships/hyperlink" Target="https://www.hud.govt.nz/assets/Community-and-Public-Housing/Support-for-people-in-need/Homelessness-Action-Plan/271a3c7d79/Homelessness-Action-Plan.pdf" TargetMode="External"/><Relationship Id="rId49" Type="http://schemas.openxmlformats.org/officeDocument/2006/relationships/hyperlink" Target="https://www.cpag.org.nz/assets/Living%20Well%20Children%20with%20disability%20need%20far%20greater%20income%20support%20in%20Aotearoa%20Sept%202020%20%281%29.pdf" TargetMode="External"/><Relationship Id="rId57" Type="http://schemas.openxmlformats.org/officeDocument/2006/relationships/hyperlink" Target="https://www.newshub.co.nz/home/politics/2019/11/carmel-sepuloni-defends-not-boosting-benefits.html" TargetMode="External"/><Relationship Id="rId10" Type="http://schemas.openxmlformats.org/officeDocument/2006/relationships/hyperlink" Target="http://www.cpag.org.nz" TargetMode="External"/><Relationship Id="rId31" Type="http://schemas.openxmlformats.org/officeDocument/2006/relationships/hyperlink" Target="https://kaingaora.govt.nz/assets/Home-ownership/Brochures-and-forms/HNZ16297-Tenant-Home-Ownership-Jan-2020.pdf" TargetMode="External"/><Relationship Id="rId44" Type="http://schemas.openxmlformats.org/officeDocument/2006/relationships/hyperlink" Target="https://www.msd.govt.nz/about-msd-and-our-work/publications-resources/statistics/housing/index.html" TargetMode="External"/><Relationship Id="rId52" Type="http://schemas.openxmlformats.org/officeDocument/2006/relationships/hyperlink" Target="https://www.mbie.govt.nz/dmsdocument/6613-our-youth-employment-action-plan" TargetMode="External"/><Relationship Id="rId60" Type="http://schemas.openxmlformats.org/officeDocument/2006/relationships/hyperlink" Target="https://www.beehive.govt.nz/release/government-removes-another-punitive-child-policy-welfare-system-put-children-first" TargetMode="External"/><Relationship Id="rId65" Type="http://schemas.openxmlformats.org/officeDocument/2006/relationships/hyperlink" Target="https://www.tec.govt.nz/funding/funding-and-performance/funding/fund-finder/targeted-training-and-apprenticeship-fund/"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www.beehive.govt.nz/sites/default/files/2020-03/Income%20support%20factsheet.pdf" TargetMode="External"/><Relationship Id="rId39" Type="http://schemas.openxmlformats.org/officeDocument/2006/relationships/hyperlink" Target="https://www.msd.govt.nz/about-msd-and-our-work/publications-resources/research/weag/index.html" TargetMode="External"/><Relationship Id="rId34" Type="http://schemas.openxmlformats.org/officeDocument/2006/relationships/hyperlink" Target="https://www.mbie.govt.nz/business-and-employment/economic-development/just-transition/" TargetMode="External"/><Relationship Id="rId50" Type="http://schemas.openxmlformats.org/officeDocument/2006/relationships/hyperlink" Target="https://www.parliament.nz/media/4487/nzlp___gp_c_s_agreement.pdf" TargetMode="External"/><Relationship Id="rId55" Type="http://schemas.openxmlformats.org/officeDocument/2006/relationships/hyperlink" Target="https://www.scoop.co.nz/stories/PA2007/S00288/government-removes-another-punitive-child-policy-from-welfare-system-to-put-children-first.htm" TargetMode="External"/><Relationship Id="rId7" Type="http://schemas.openxmlformats.org/officeDocument/2006/relationships/endnotes" Target="endnotes.xml"/><Relationship Id="rId71" Type="http://schemas.openxmlformats.org/officeDocument/2006/relationships/hyperlink" Target="http://www.weag.govt.nz/assets/documents/WEAG-report/aed960c3ce/WEAG-Repor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orkandincome.govt.nz/online-services/apply/what-is-a-stand-down.html" TargetMode="External"/><Relationship Id="rId2" Type="http://schemas.openxmlformats.org/officeDocument/2006/relationships/hyperlink" Target="https://www.tenancy.govt.nz/about-tenancy-services/news/residential-tenancies-amendment-act-2020-now-in-force/" TargetMode="External"/><Relationship Id="rId1" Type="http://schemas.openxmlformats.org/officeDocument/2006/relationships/hyperlink" Target="https://www.tenancy.govt.nz/about-tenancy-services/news/residential-tenancies-amendment-act-2020-now-in-force/" TargetMode="External"/><Relationship Id="rId4" Type="http://schemas.openxmlformats.org/officeDocument/2006/relationships/hyperlink" Target="https://www.tvnz.co.nz/one-news/new-zealand/training-scheme-mana-in-mahi-gets-49-9-million-boos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NZ"/>
              <a:t>Figure 1: Known government implementation</a:t>
            </a:r>
            <a:r>
              <a:rPr lang="en-NZ" baseline="0"/>
              <a:t> of </a:t>
            </a:r>
            <a:r>
              <a:rPr lang="en-NZ" i="1" baseline="0"/>
              <a:t>Whakamana Tāngata </a:t>
            </a:r>
            <a:r>
              <a:rPr lang="en-NZ" baseline="0"/>
              <a:t>WEAG recommendations by Nov 2020</a:t>
            </a:r>
            <a:endParaRPr lang="en-NZ"/>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c:f>
              <c:strCache>
                <c:ptCount val="1"/>
                <c:pt idx="0">
                  <c:v>Fully implemented</c:v>
                </c:pt>
              </c:strCache>
            </c:strRef>
          </c:tx>
          <c:spPr>
            <a:solidFill>
              <a:srgbClr val="92D050"/>
            </a:solidFill>
            <a:ln>
              <a:noFill/>
            </a:ln>
            <a:effectLst/>
          </c:spPr>
          <c:invertIfNegative val="0"/>
          <c:cat>
            <c:strRef>
              <c:f>Sheet1!$B$1:$C$1</c:f>
              <c:strCache>
                <c:ptCount val="2"/>
                <c:pt idx="0">
                  <c:v>KEY RECOMMENDATIONS</c:v>
                </c:pt>
                <c:pt idx="1">
                  <c:v>DETAILED RECOMMENDATIONS</c:v>
                </c:pt>
              </c:strCache>
            </c:strRef>
          </c:cat>
          <c:val>
            <c:numRef>
              <c:f>Sheet1!$B$2:$C$2</c:f>
              <c:numCache>
                <c:formatCode>General</c:formatCode>
                <c:ptCount val="2"/>
                <c:pt idx="0">
                  <c:v>0</c:v>
                </c:pt>
                <c:pt idx="1">
                  <c:v>4</c:v>
                </c:pt>
              </c:numCache>
            </c:numRef>
          </c:val>
          <c:extLst>
            <c:ext xmlns:c16="http://schemas.microsoft.com/office/drawing/2014/chart" uri="{C3380CC4-5D6E-409C-BE32-E72D297353CC}">
              <c16:uniqueId val="{00000000-97E2-4D2F-9A65-DE4A6070A6B8}"/>
            </c:ext>
          </c:extLst>
        </c:ser>
        <c:ser>
          <c:idx val="1"/>
          <c:order val="1"/>
          <c:tx>
            <c:strRef>
              <c:f>Sheet1!$A$3</c:f>
              <c:strCache>
                <c:ptCount val="1"/>
                <c:pt idx="0">
                  <c:v>Partially implemented</c:v>
                </c:pt>
              </c:strCache>
            </c:strRef>
          </c:tx>
          <c:spPr>
            <a:solidFill>
              <a:srgbClr val="FFFF00"/>
            </a:solidFill>
            <a:ln>
              <a:noFill/>
            </a:ln>
            <a:effectLst/>
          </c:spPr>
          <c:invertIfNegative val="0"/>
          <c:cat>
            <c:strRef>
              <c:f>Sheet1!$B$1:$C$1</c:f>
              <c:strCache>
                <c:ptCount val="2"/>
                <c:pt idx="0">
                  <c:v>KEY RECOMMENDATIONS</c:v>
                </c:pt>
                <c:pt idx="1">
                  <c:v>DETAILED RECOMMENDATIONS</c:v>
                </c:pt>
              </c:strCache>
            </c:strRef>
          </c:cat>
          <c:val>
            <c:numRef>
              <c:f>Sheet1!$B$3:$C$3</c:f>
              <c:numCache>
                <c:formatCode>General</c:formatCode>
                <c:ptCount val="2"/>
                <c:pt idx="0">
                  <c:v>7</c:v>
                </c:pt>
                <c:pt idx="1">
                  <c:v>9</c:v>
                </c:pt>
              </c:numCache>
            </c:numRef>
          </c:val>
          <c:extLst>
            <c:ext xmlns:c16="http://schemas.microsoft.com/office/drawing/2014/chart" uri="{C3380CC4-5D6E-409C-BE32-E72D297353CC}">
              <c16:uniqueId val="{00000001-97E2-4D2F-9A65-DE4A6070A6B8}"/>
            </c:ext>
          </c:extLst>
        </c:ser>
        <c:ser>
          <c:idx val="2"/>
          <c:order val="2"/>
          <c:tx>
            <c:strRef>
              <c:f>Sheet1!$A$4</c:f>
              <c:strCache>
                <c:ptCount val="1"/>
                <c:pt idx="0">
                  <c:v>Minimally implemented</c:v>
                </c:pt>
              </c:strCache>
            </c:strRef>
          </c:tx>
          <c:spPr>
            <a:solidFill>
              <a:srgbClr val="FF8A3B"/>
            </a:solidFill>
            <a:ln>
              <a:noFill/>
            </a:ln>
            <a:effectLst/>
          </c:spPr>
          <c:invertIfNegative val="0"/>
          <c:cat>
            <c:strRef>
              <c:f>Sheet1!$B$1:$C$1</c:f>
              <c:strCache>
                <c:ptCount val="2"/>
                <c:pt idx="0">
                  <c:v>KEY RECOMMENDATIONS</c:v>
                </c:pt>
                <c:pt idx="1">
                  <c:v>DETAILED RECOMMENDATIONS</c:v>
                </c:pt>
              </c:strCache>
            </c:strRef>
          </c:cat>
          <c:val>
            <c:numRef>
              <c:f>Sheet1!$B$4:$C$4</c:f>
              <c:numCache>
                <c:formatCode>General</c:formatCode>
                <c:ptCount val="2"/>
                <c:pt idx="0">
                  <c:v>12</c:v>
                </c:pt>
                <c:pt idx="1">
                  <c:v>6</c:v>
                </c:pt>
              </c:numCache>
            </c:numRef>
          </c:val>
          <c:extLst>
            <c:ext xmlns:c16="http://schemas.microsoft.com/office/drawing/2014/chart" uri="{C3380CC4-5D6E-409C-BE32-E72D297353CC}">
              <c16:uniqueId val="{00000002-97E2-4D2F-9A65-DE4A6070A6B8}"/>
            </c:ext>
          </c:extLst>
        </c:ser>
        <c:ser>
          <c:idx val="3"/>
          <c:order val="3"/>
          <c:tx>
            <c:strRef>
              <c:f>Sheet1!$A$5</c:f>
              <c:strCache>
                <c:ptCount val="1"/>
                <c:pt idx="0">
                  <c:v>No evidence of implementation</c:v>
                </c:pt>
              </c:strCache>
            </c:strRef>
          </c:tx>
          <c:spPr>
            <a:solidFill>
              <a:srgbClr val="FF0000"/>
            </a:solidFill>
            <a:ln>
              <a:noFill/>
            </a:ln>
            <a:effectLst/>
          </c:spPr>
          <c:invertIfNegative val="0"/>
          <c:cat>
            <c:strRef>
              <c:f>Sheet1!$B$1:$C$1</c:f>
              <c:strCache>
                <c:ptCount val="2"/>
                <c:pt idx="0">
                  <c:v>KEY RECOMMENDATIONS</c:v>
                </c:pt>
                <c:pt idx="1">
                  <c:v>DETAILED RECOMMENDATIONS</c:v>
                </c:pt>
              </c:strCache>
            </c:strRef>
          </c:cat>
          <c:val>
            <c:numRef>
              <c:f>Sheet1!$B$5:$C$5</c:f>
              <c:numCache>
                <c:formatCode>General</c:formatCode>
                <c:ptCount val="2"/>
                <c:pt idx="0">
                  <c:v>23</c:v>
                </c:pt>
                <c:pt idx="1">
                  <c:v>107</c:v>
                </c:pt>
              </c:numCache>
            </c:numRef>
          </c:val>
          <c:extLst>
            <c:ext xmlns:c16="http://schemas.microsoft.com/office/drawing/2014/chart" uri="{C3380CC4-5D6E-409C-BE32-E72D297353CC}">
              <c16:uniqueId val="{00000003-97E2-4D2F-9A65-DE4A6070A6B8}"/>
            </c:ext>
          </c:extLst>
        </c:ser>
        <c:dLbls>
          <c:showLegendKey val="0"/>
          <c:showVal val="0"/>
          <c:showCatName val="0"/>
          <c:showSerName val="0"/>
          <c:showPercent val="0"/>
          <c:showBubbleSize val="0"/>
        </c:dLbls>
        <c:gapWidth val="72"/>
        <c:overlap val="100"/>
        <c:axId val="-1236961280"/>
        <c:axId val="-1236958560"/>
        <c:extLst>
          <c:ext xmlns:c15="http://schemas.microsoft.com/office/drawing/2012/chart" uri="{02D57815-91ED-43cb-92C2-25804820EDAC}">
            <c15:filteredBarSeries>
              <c15:ser>
                <c:idx val="4"/>
                <c:order val="4"/>
                <c:tx>
                  <c:strRef>
                    <c:extLst>
                      <c:ext uri="{02D57815-91ED-43cb-92C2-25804820EDAC}">
                        <c15:formulaRef>
                          <c15:sqref>Sheet1!$A$6</c15:sqref>
                        </c15:formulaRef>
                      </c:ext>
                    </c:extLst>
                    <c:strCache>
                      <c:ptCount val="1"/>
                      <c:pt idx="0">
                        <c:v>TOTAL</c:v>
                      </c:pt>
                    </c:strCache>
                  </c:strRef>
                </c:tx>
                <c:spPr>
                  <a:solidFill>
                    <a:schemeClr val="accent5"/>
                  </a:solidFill>
                  <a:ln>
                    <a:noFill/>
                  </a:ln>
                  <a:effectLst/>
                </c:spPr>
                <c:invertIfNegative val="0"/>
                <c:cat>
                  <c:strRef>
                    <c:extLst>
                      <c:ext uri="{02D57815-91ED-43cb-92C2-25804820EDAC}">
                        <c15:formulaRef>
                          <c15:sqref>Sheet1!$B$1:$C$1</c15:sqref>
                        </c15:formulaRef>
                      </c:ext>
                    </c:extLst>
                    <c:strCache>
                      <c:ptCount val="2"/>
                      <c:pt idx="0">
                        <c:v>KEY RECOMMENDATIONS</c:v>
                      </c:pt>
                      <c:pt idx="1">
                        <c:v>DETAILED RECOMMENDATIONS</c:v>
                      </c:pt>
                    </c:strCache>
                  </c:strRef>
                </c:cat>
                <c:val>
                  <c:numRef>
                    <c:extLst>
                      <c:ext uri="{02D57815-91ED-43cb-92C2-25804820EDAC}">
                        <c15:formulaRef>
                          <c15:sqref>Sheet1!$B$6:$C$6</c15:sqref>
                        </c15:formulaRef>
                      </c:ext>
                    </c:extLst>
                    <c:numCache>
                      <c:formatCode>General</c:formatCode>
                      <c:ptCount val="2"/>
                      <c:pt idx="0">
                        <c:v>42</c:v>
                      </c:pt>
                      <c:pt idx="1">
                        <c:v>126</c:v>
                      </c:pt>
                    </c:numCache>
                  </c:numRef>
                </c:val>
                <c:extLst>
                  <c:ext xmlns:c16="http://schemas.microsoft.com/office/drawing/2014/chart" uri="{C3380CC4-5D6E-409C-BE32-E72D297353CC}">
                    <c16:uniqueId val="{00000004-97E2-4D2F-9A65-DE4A6070A6B8}"/>
                  </c:ext>
                </c:extLst>
              </c15:ser>
            </c15:filteredBarSeries>
          </c:ext>
        </c:extLst>
      </c:barChart>
      <c:catAx>
        <c:axId val="-123696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236958560"/>
        <c:crosses val="autoZero"/>
        <c:auto val="1"/>
        <c:lblAlgn val="ctr"/>
        <c:lblOffset val="100"/>
        <c:noMultiLvlLbl val="0"/>
      </c:catAx>
      <c:valAx>
        <c:axId val="-1236958560"/>
        <c:scaling>
          <c:orientation val="minMax"/>
          <c:max val="1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NZ"/>
                  <a:t>Number of recommendations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236961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8CB9-7B9F-4145-BA7B-0FFD99FD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20804</Words>
  <Characters>118588</Characters>
  <Application>Microsoft Office Word</Application>
  <DocSecurity>0</DocSecurity>
  <Lines>988</Lines>
  <Paragraphs>278</Paragraphs>
  <ScaleCrop>false</ScaleCrop>
  <Company/>
  <LinksUpToDate>false</LinksUpToDate>
  <CharactersWithSpaces>139114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2020-11-29T18:01:00Z</dcterms:created>
  <dcterms:modified xsi:type="dcterms:W3CDTF">2020-11-29T18:01:00Z</dcterms:modified>
</cp:coreProperties>
</file>