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9C573A7" w:rsidR="000D7FE1" w:rsidRDefault="0070033D">
      <w:pPr>
        <w:spacing w:after="0" w:line="240" w:lineRule="auto"/>
        <w:ind w:left="1440"/>
        <w:jc w:val="right"/>
        <w:rPr>
          <w:rFonts w:ascii="Calibri" w:eastAsia="Calibri" w:hAnsi="Calibri" w:cs="Calibri"/>
          <w:color w:val="000000"/>
          <w:sz w:val="36"/>
        </w:rPr>
      </w:pPr>
      <w:r>
        <w:rPr>
          <w:noProof/>
        </w:rPr>
        <w:drawing>
          <wp:inline distT="0" distB="0" distL="0" distR="0" wp14:anchorId="4CE3A32E" wp14:editId="1B5D8AB5">
            <wp:extent cx="1661707" cy="1653540"/>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621" cy="1665395"/>
                    </a:xfrm>
                    <a:prstGeom prst="rect">
                      <a:avLst/>
                    </a:prstGeom>
                  </pic:spPr>
                </pic:pic>
              </a:graphicData>
            </a:graphic>
          </wp:inline>
        </w:drawing>
      </w:r>
      <w:r>
        <w:rPr>
          <w:rFonts w:ascii="Calibri" w:eastAsia="Calibri" w:hAnsi="Calibri" w:cs="Calibri"/>
          <w:noProof/>
          <w:color w:val="000000"/>
          <w:sz w:val="36"/>
        </w:rPr>
        <w:drawing>
          <wp:inline distT="0" distB="0" distL="0" distR="0" wp14:anchorId="77FA6E69" wp14:editId="7B019437">
            <wp:extent cx="4437380" cy="1177025"/>
            <wp:effectExtent l="0" t="0" r="127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34262" cy="1202723"/>
                    </a:xfrm>
                    <a:prstGeom prst="rect">
                      <a:avLst/>
                    </a:prstGeom>
                  </pic:spPr>
                </pic:pic>
              </a:graphicData>
            </a:graphic>
          </wp:inline>
        </w:drawing>
      </w:r>
    </w:p>
    <w:p w14:paraId="0A37501D" w14:textId="77777777" w:rsidR="000D7FE1" w:rsidRDefault="000D7FE1">
      <w:pPr>
        <w:spacing w:after="0" w:line="240" w:lineRule="auto"/>
        <w:ind w:left="1440"/>
        <w:jc w:val="right"/>
        <w:rPr>
          <w:rFonts w:ascii="Calibri" w:eastAsia="Calibri" w:hAnsi="Calibri" w:cs="Calibri"/>
          <w:color w:val="000000"/>
          <w:sz w:val="36"/>
        </w:rPr>
      </w:pPr>
    </w:p>
    <w:p w14:paraId="2358CC50" w14:textId="77777777" w:rsidR="000D7FE1" w:rsidRDefault="00EF12A0">
      <w:pPr>
        <w:spacing w:after="0" w:line="240" w:lineRule="auto"/>
        <w:ind w:left="1440"/>
        <w:jc w:val="right"/>
        <w:rPr>
          <w:rFonts w:ascii="Calibri" w:eastAsia="Calibri" w:hAnsi="Calibri" w:cs="Calibri"/>
          <w:color w:val="000000"/>
          <w:sz w:val="36"/>
        </w:rPr>
      </w:pPr>
      <w:r>
        <w:rPr>
          <w:rFonts w:ascii="Calibri" w:eastAsia="Calibri" w:hAnsi="Calibri" w:cs="Calibri"/>
          <w:b/>
          <w:color w:val="000000"/>
          <w:sz w:val="36"/>
        </w:rPr>
        <w:t xml:space="preserve">Submission on the Oversight of </w:t>
      </w:r>
      <w:proofErr w:type="spellStart"/>
      <w:r>
        <w:rPr>
          <w:rFonts w:ascii="Calibri" w:eastAsia="Calibri" w:hAnsi="Calibri" w:cs="Calibri"/>
          <w:b/>
          <w:color w:val="000000"/>
          <w:sz w:val="36"/>
        </w:rPr>
        <w:t>Oranga</w:t>
      </w:r>
      <w:proofErr w:type="spellEnd"/>
      <w:r>
        <w:rPr>
          <w:rFonts w:ascii="Calibri" w:eastAsia="Calibri" w:hAnsi="Calibri" w:cs="Calibri"/>
          <w:b/>
          <w:color w:val="000000"/>
          <w:sz w:val="36"/>
        </w:rPr>
        <w:t xml:space="preserve"> Tamariki System and Children and Young People’s Commission Bill</w:t>
      </w:r>
    </w:p>
    <w:p w14:paraId="5DAB6C7B" w14:textId="77777777" w:rsidR="000D7FE1" w:rsidRDefault="000D7FE1">
      <w:pPr>
        <w:spacing w:after="0" w:line="240" w:lineRule="auto"/>
        <w:ind w:left="1440"/>
        <w:rPr>
          <w:rFonts w:ascii="Calibri" w:eastAsia="Calibri" w:hAnsi="Calibri" w:cs="Calibri"/>
          <w:color w:val="000000"/>
          <w:sz w:val="24"/>
        </w:rPr>
      </w:pPr>
    </w:p>
    <w:p w14:paraId="0D106185" w14:textId="77777777" w:rsidR="000D7FE1" w:rsidRDefault="784A71F8" w:rsidP="784A71F8">
      <w:pPr>
        <w:spacing w:after="0" w:line="240" w:lineRule="auto"/>
        <w:rPr>
          <w:rFonts w:ascii="Calibri" w:eastAsia="Calibri" w:hAnsi="Calibri" w:cs="Calibri"/>
          <w:color w:val="000000"/>
          <w:sz w:val="24"/>
          <w:szCs w:val="24"/>
        </w:rPr>
      </w:pPr>
      <w:r w:rsidRPr="784A71F8">
        <w:rPr>
          <w:rFonts w:ascii="Calibri" w:eastAsia="Calibri" w:hAnsi="Calibri" w:cs="Calibri"/>
          <w:color w:val="000000"/>
          <w:sz w:val="24"/>
          <w:szCs w:val="24"/>
        </w:rPr>
        <w:t xml:space="preserve">To: Minister </w:t>
      </w:r>
      <w:proofErr w:type="spellStart"/>
      <w:r w:rsidRPr="784A71F8">
        <w:rPr>
          <w:rFonts w:ascii="Calibri" w:eastAsia="Calibri" w:hAnsi="Calibri" w:cs="Calibri"/>
          <w:color w:val="000000"/>
          <w:sz w:val="24"/>
          <w:szCs w:val="24"/>
        </w:rPr>
        <w:t>Sepuloni</w:t>
      </w:r>
      <w:proofErr w:type="spellEnd"/>
    </w:p>
    <w:p w14:paraId="02EB378F" w14:textId="77777777" w:rsidR="000D7FE1" w:rsidRDefault="000D7FE1">
      <w:pPr>
        <w:spacing w:after="0" w:line="240" w:lineRule="auto"/>
        <w:rPr>
          <w:rFonts w:ascii="Calibri" w:eastAsia="Calibri" w:hAnsi="Calibri" w:cs="Calibri"/>
          <w:color w:val="000000"/>
          <w:sz w:val="24"/>
        </w:rPr>
      </w:pPr>
    </w:p>
    <w:p w14:paraId="2F41F75E"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b/>
          <w:color w:val="000000"/>
          <w:sz w:val="24"/>
        </w:rPr>
        <w:t>This submission is from:</w:t>
      </w:r>
    </w:p>
    <w:p w14:paraId="76298E87" w14:textId="0BFBDC09" w:rsidR="000D7FE1" w:rsidRDefault="6F7D42B9" w:rsidP="784A71F8">
      <w:pPr>
        <w:spacing w:after="0" w:line="240" w:lineRule="auto"/>
        <w:rPr>
          <w:rFonts w:ascii="Calibri" w:eastAsia="Calibri" w:hAnsi="Calibri" w:cs="Calibri"/>
          <w:color w:val="000000"/>
          <w:sz w:val="24"/>
          <w:szCs w:val="24"/>
        </w:rPr>
      </w:pPr>
      <w:r w:rsidRPr="784A71F8">
        <w:rPr>
          <w:rFonts w:ascii="Calibri" w:eastAsia="Calibri" w:hAnsi="Calibri" w:cs="Calibri"/>
          <w:color w:val="000000"/>
          <w:sz w:val="24"/>
          <w:szCs w:val="24"/>
        </w:rPr>
        <w:t xml:space="preserve">Associate Professor </w:t>
      </w:r>
      <w:r w:rsidR="784A71F8" w:rsidRPr="784A71F8">
        <w:rPr>
          <w:rFonts w:ascii="Calibri" w:eastAsia="Calibri" w:hAnsi="Calibri" w:cs="Calibri"/>
          <w:color w:val="000000"/>
          <w:sz w:val="24"/>
          <w:szCs w:val="24"/>
        </w:rPr>
        <w:t>Mike O’Brien</w:t>
      </w:r>
      <w:r w:rsidR="2C325761" w:rsidRPr="784A71F8">
        <w:rPr>
          <w:rFonts w:ascii="Calibri" w:eastAsia="Calibri" w:hAnsi="Calibri" w:cs="Calibri"/>
          <w:color w:val="000000"/>
          <w:sz w:val="24"/>
          <w:szCs w:val="24"/>
        </w:rPr>
        <w:t xml:space="preserve"> ONZM</w:t>
      </w:r>
      <w:r w:rsidR="784A71F8" w:rsidRPr="784A71F8">
        <w:rPr>
          <w:rFonts w:ascii="Calibri" w:eastAsia="Calibri" w:hAnsi="Calibri" w:cs="Calibri"/>
          <w:color w:val="000000"/>
          <w:sz w:val="24"/>
          <w:szCs w:val="24"/>
        </w:rPr>
        <w:t xml:space="preserve"> (</w:t>
      </w:r>
      <w:hyperlink r:id="rId10">
        <w:r w:rsidR="784A71F8" w:rsidRPr="784A71F8">
          <w:rPr>
            <w:rFonts w:ascii="Calibri" w:eastAsia="Calibri" w:hAnsi="Calibri" w:cs="Calibri"/>
            <w:color w:val="0563C1"/>
            <w:sz w:val="24"/>
            <w:szCs w:val="24"/>
            <w:u w:val="single"/>
          </w:rPr>
          <w:t>michaelobrien@xtra.co.nz</w:t>
        </w:r>
      </w:hyperlink>
      <w:r w:rsidR="784A71F8" w:rsidRPr="784A71F8">
        <w:rPr>
          <w:rFonts w:ascii="Calibri" w:eastAsia="Calibri" w:hAnsi="Calibri" w:cs="Calibri"/>
          <w:color w:val="000000"/>
          <w:sz w:val="24"/>
          <w:szCs w:val="24"/>
        </w:rPr>
        <w:t>) and Caitlin Neuwelt-Kearns (</w:t>
      </w:r>
      <w:hyperlink r:id="rId11">
        <w:r w:rsidR="784A71F8" w:rsidRPr="784A71F8">
          <w:rPr>
            <w:rFonts w:ascii="Calibri" w:eastAsia="Calibri" w:hAnsi="Calibri" w:cs="Calibri"/>
            <w:color w:val="0563C1"/>
            <w:sz w:val="24"/>
            <w:szCs w:val="24"/>
            <w:u w:val="single"/>
          </w:rPr>
          <w:t>caitlin@cpag.org.nz</w:t>
        </w:r>
      </w:hyperlink>
      <w:r w:rsidR="784A71F8" w:rsidRPr="784A71F8">
        <w:rPr>
          <w:rFonts w:ascii="Calibri" w:eastAsia="Calibri" w:hAnsi="Calibri" w:cs="Calibri"/>
          <w:color w:val="000000"/>
          <w:sz w:val="24"/>
          <w:szCs w:val="24"/>
        </w:rPr>
        <w:t xml:space="preserve">) </w:t>
      </w:r>
    </w:p>
    <w:p w14:paraId="1546A32F"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color w:val="000000"/>
          <w:sz w:val="24"/>
        </w:rPr>
        <w:t>Child Poverty Action Group</w:t>
      </w:r>
    </w:p>
    <w:p w14:paraId="4B432598"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color w:val="000000"/>
          <w:sz w:val="24"/>
        </w:rPr>
        <w:t>PO Box 5611</w:t>
      </w:r>
    </w:p>
    <w:p w14:paraId="172DC90E"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color w:val="000000"/>
          <w:sz w:val="24"/>
        </w:rPr>
        <w:t>Wellesley St</w:t>
      </w:r>
    </w:p>
    <w:p w14:paraId="5386DEB2"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color w:val="000000"/>
          <w:sz w:val="24"/>
        </w:rPr>
        <w:t>Auckland 1141</w:t>
      </w:r>
    </w:p>
    <w:p w14:paraId="6A05A809" w14:textId="77777777" w:rsidR="000D7FE1" w:rsidRDefault="000D7FE1">
      <w:pPr>
        <w:spacing w:after="0" w:line="240" w:lineRule="auto"/>
        <w:rPr>
          <w:rFonts w:ascii="Calibri" w:eastAsia="Calibri" w:hAnsi="Calibri" w:cs="Calibri"/>
          <w:color w:val="000000"/>
          <w:sz w:val="24"/>
        </w:rPr>
      </w:pPr>
    </w:p>
    <w:p w14:paraId="593FBE41"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b/>
          <w:color w:val="000000"/>
          <w:sz w:val="24"/>
        </w:rPr>
        <w:t>Child Poverty Action Group (CPAG)</w:t>
      </w:r>
      <w:r>
        <w:rPr>
          <w:rFonts w:ascii="Calibri" w:eastAsia="Calibri" w:hAnsi="Calibri" w:cs="Calibri"/>
          <w:color w:val="000000"/>
          <w:sz w:val="24"/>
        </w:rPr>
        <w:t xml:space="preserve"> is an independent charity working to eliminate child poverty in New Zealand through research, </w:t>
      </w:r>
      <w:proofErr w:type="gramStart"/>
      <w:r>
        <w:rPr>
          <w:rFonts w:ascii="Calibri" w:eastAsia="Calibri" w:hAnsi="Calibri" w:cs="Calibri"/>
          <w:color w:val="000000"/>
          <w:sz w:val="24"/>
        </w:rPr>
        <w:t>education</w:t>
      </w:r>
      <w:proofErr w:type="gramEnd"/>
      <w:r>
        <w:rPr>
          <w:rFonts w:ascii="Calibri" w:eastAsia="Calibri" w:hAnsi="Calibri" w:cs="Calibri"/>
          <w:color w:val="000000"/>
          <w:sz w:val="24"/>
        </w:rPr>
        <w:t xml:space="preserve"> and advocacy. CPAG believes that New Zealand’s high level of child poverty is not the result of economic </w:t>
      </w:r>
      <w:proofErr w:type="gramStart"/>
      <w:r>
        <w:rPr>
          <w:rFonts w:ascii="Calibri" w:eastAsia="Calibri" w:hAnsi="Calibri" w:cs="Calibri"/>
          <w:color w:val="000000"/>
          <w:sz w:val="24"/>
        </w:rPr>
        <w:t>necessity, but</w:t>
      </w:r>
      <w:proofErr w:type="gramEnd"/>
      <w:r>
        <w:rPr>
          <w:rFonts w:ascii="Calibri" w:eastAsia="Calibri" w:hAnsi="Calibri" w:cs="Calibri"/>
          <w:color w:val="000000"/>
          <w:sz w:val="24"/>
        </w:rP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5A39BBE3" w14:textId="77777777" w:rsidR="000D7FE1" w:rsidRDefault="000D7FE1">
      <w:pPr>
        <w:spacing w:after="0" w:line="240" w:lineRule="auto"/>
        <w:rPr>
          <w:rFonts w:ascii="Calibri" w:eastAsia="Calibri" w:hAnsi="Calibri" w:cs="Calibri"/>
          <w:color w:val="000000"/>
          <w:sz w:val="24"/>
        </w:rPr>
      </w:pPr>
    </w:p>
    <w:p w14:paraId="0B90A2BF" w14:textId="77777777" w:rsidR="000D7FE1" w:rsidRDefault="00EF12A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We are grateful for the opportunity to submit on the Oversight of </w:t>
      </w:r>
      <w:proofErr w:type="spellStart"/>
      <w:r>
        <w:rPr>
          <w:rFonts w:ascii="Calibri" w:eastAsia="Calibri" w:hAnsi="Calibri" w:cs="Calibri"/>
          <w:color w:val="000000"/>
          <w:sz w:val="24"/>
        </w:rPr>
        <w:t>Oranga</w:t>
      </w:r>
      <w:proofErr w:type="spellEnd"/>
      <w:r>
        <w:rPr>
          <w:rFonts w:ascii="Calibri" w:eastAsia="Calibri" w:hAnsi="Calibri" w:cs="Calibri"/>
          <w:color w:val="000000"/>
          <w:sz w:val="24"/>
        </w:rPr>
        <w:t xml:space="preserve"> Tamariki System and Children and Young People’s Commission Bill.</w:t>
      </w:r>
    </w:p>
    <w:p w14:paraId="41C8F396" w14:textId="77777777" w:rsidR="000D7FE1" w:rsidRDefault="000D7FE1">
      <w:pPr>
        <w:spacing w:after="0" w:line="240" w:lineRule="auto"/>
        <w:jc w:val="center"/>
        <w:rPr>
          <w:rFonts w:ascii="Calibri" w:eastAsia="Calibri" w:hAnsi="Calibri" w:cs="Calibri"/>
          <w:color w:val="000000"/>
          <w:sz w:val="32"/>
        </w:rPr>
      </w:pPr>
    </w:p>
    <w:p w14:paraId="146D7D39" w14:textId="1A4CF2EC" w:rsidR="000D7FE1" w:rsidRDefault="784A71F8" w:rsidP="784A71F8">
      <w:pPr>
        <w:spacing w:after="0" w:line="240" w:lineRule="auto"/>
        <w:jc w:val="center"/>
        <w:rPr>
          <w:rFonts w:ascii="Calibri" w:eastAsia="Calibri" w:hAnsi="Calibri" w:cs="Calibri"/>
          <w:b/>
          <w:bCs/>
          <w:color w:val="70AD47" w:themeColor="accent6"/>
          <w:sz w:val="32"/>
          <w:szCs w:val="32"/>
        </w:rPr>
      </w:pPr>
      <w:r w:rsidRPr="784A71F8">
        <w:rPr>
          <w:rFonts w:ascii="Calibri" w:eastAsia="Calibri" w:hAnsi="Calibri" w:cs="Calibri"/>
          <w:b/>
          <w:bCs/>
          <w:color w:val="000000"/>
          <w:sz w:val="32"/>
          <w:szCs w:val="32"/>
        </w:rPr>
        <w:lastRenderedPageBreak/>
        <w:t>We do not support this Bill in its current form</w:t>
      </w:r>
      <w:r w:rsidR="19396308" w:rsidRPr="784A71F8">
        <w:rPr>
          <w:rFonts w:ascii="Calibri" w:eastAsia="Calibri" w:hAnsi="Calibri" w:cs="Calibri"/>
          <w:b/>
          <w:bCs/>
          <w:color w:val="000000"/>
          <w:sz w:val="32"/>
          <w:szCs w:val="32"/>
        </w:rPr>
        <w:t>. We</w:t>
      </w:r>
      <w:r w:rsidRPr="784A71F8">
        <w:rPr>
          <w:rFonts w:ascii="Calibri" w:eastAsia="Calibri" w:hAnsi="Calibri" w:cs="Calibri"/>
          <w:b/>
          <w:bCs/>
          <w:color w:val="000000"/>
          <w:sz w:val="32"/>
          <w:szCs w:val="32"/>
        </w:rPr>
        <w:t xml:space="preserve"> recommend the Bill is paused to enable proper consultation with children and young people, </w:t>
      </w:r>
      <w:r w:rsidRPr="784A71F8">
        <w:rPr>
          <w:rFonts w:ascii="Calibri" w:eastAsia="Calibri" w:hAnsi="Calibri" w:cs="Calibri"/>
          <w:b/>
          <w:bCs/>
          <w:color w:val="70AD47" w:themeColor="accent6"/>
          <w:sz w:val="32"/>
          <w:szCs w:val="32"/>
        </w:rPr>
        <w:t>and to address the issues we highlight below.</w:t>
      </w:r>
    </w:p>
    <w:p w14:paraId="72A3D3EC" w14:textId="77777777" w:rsidR="000D7FE1" w:rsidRDefault="000D7FE1">
      <w:pPr>
        <w:spacing w:after="0" w:line="240" w:lineRule="auto"/>
        <w:jc w:val="center"/>
        <w:rPr>
          <w:rFonts w:ascii="Calibri" w:eastAsia="Calibri" w:hAnsi="Calibri" w:cs="Calibri"/>
          <w:b/>
          <w:color w:val="000000"/>
          <w:sz w:val="32"/>
        </w:rPr>
      </w:pPr>
    </w:p>
    <w:p w14:paraId="25BFEA26" w14:textId="67117849" w:rsidR="000D7FE1" w:rsidRDefault="784A71F8" w:rsidP="784A71F8">
      <w:pPr>
        <w:rPr>
          <w:rFonts w:ascii="Calibri" w:eastAsia="Calibri" w:hAnsi="Calibri" w:cs="Calibri"/>
          <w:color w:val="000000"/>
          <w:sz w:val="24"/>
          <w:szCs w:val="24"/>
        </w:rPr>
      </w:pPr>
      <w:r w:rsidRPr="784A71F8">
        <w:rPr>
          <w:rFonts w:ascii="Calibri" w:eastAsia="Calibri" w:hAnsi="Calibri" w:cs="Calibri"/>
          <w:color w:val="000000"/>
          <w:sz w:val="24"/>
          <w:szCs w:val="24"/>
        </w:rPr>
        <w:t xml:space="preserve">We have structured our submission </w:t>
      </w:r>
      <w:r w:rsidRPr="784A71F8">
        <w:rPr>
          <w:rFonts w:ascii="Calibri" w:eastAsia="Calibri" w:hAnsi="Calibri" w:cs="Calibri"/>
          <w:sz w:val="24"/>
          <w:szCs w:val="24"/>
        </w:rPr>
        <w:t>into four</w:t>
      </w:r>
      <w:r w:rsidRPr="784A71F8">
        <w:rPr>
          <w:rFonts w:ascii="Calibri" w:eastAsia="Calibri" w:hAnsi="Calibri" w:cs="Calibri"/>
          <w:color w:val="000000"/>
          <w:sz w:val="24"/>
          <w:szCs w:val="24"/>
        </w:rPr>
        <w:t xml:space="preserve"> headings to reflect our key concerns with this </w:t>
      </w:r>
      <w:proofErr w:type="gramStart"/>
      <w:r w:rsidRPr="784A71F8">
        <w:rPr>
          <w:rFonts w:ascii="Calibri" w:eastAsia="Calibri" w:hAnsi="Calibri" w:cs="Calibri"/>
          <w:color w:val="000000"/>
          <w:sz w:val="24"/>
          <w:szCs w:val="24"/>
        </w:rPr>
        <w:t>Bill, and</w:t>
      </w:r>
      <w:proofErr w:type="gramEnd"/>
      <w:r w:rsidRPr="784A71F8">
        <w:rPr>
          <w:rFonts w:ascii="Calibri" w:eastAsia="Calibri" w:hAnsi="Calibri" w:cs="Calibri"/>
          <w:color w:val="000000"/>
          <w:sz w:val="24"/>
          <w:szCs w:val="24"/>
        </w:rPr>
        <w:t xml:space="preserve"> provided recommendations</w:t>
      </w:r>
      <w:r w:rsidR="48EE6FBC" w:rsidRPr="784A71F8">
        <w:rPr>
          <w:rFonts w:ascii="Calibri" w:eastAsia="Calibri" w:hAnsi="Calibri" w:cs="Calibri"/>
          <w:color w:val="000000"/>
          <w:sz w:val="24"/>
          <w:szCs w:val="24"/>
        </w:rPr>
        <w:t xml:space="preserve"> for proceeding</w:t>
      </w:r>
      <w:r w:rsidRPr="784A71F8">
        <w:rPr>
          <w:rFonts w:ascii="Calibri" w:eastAsia="Calibri" w:hAnsi="Calibri" w:cs="Calibri"/>
          <w:color w:val="000000"/>
          <w:sz w:val="24"/>
          <w:szCs w:val="24"/>
        </w:rPr>
        <w:t>.</w:t>
      </w:r>
    </w:p>
    <w:p w14:paraId="7E130C1F" w14:textId="77777777" w:rsidR="000D7FE1" w:rsidRDefault="00EF12A0">
      <w:pPr>
        <w:rPr>
          <w:rFonts w:ascii="Calibri" w:eastAsia="Calibri" w:hAnsi="Calibri" w:cs="Calibri"/>
          <w:color w:val="000000"/>
          <w:sz w:val="24"/>
        </w:rPr>
      </w:pPr>
      <w:r>
        <w:rPr>
          <w:rFonts w:ascii="Calibri" w:eastAsia="Calibri" w:hAnsi="Calibri" w:cs="Calibri"/>
          <w:b/>
          <w:color w:val="000000"/>
          <w:sz w:val="24"/>
        </w:rPr>
        <w:t>Concerns about process</w:t>
      </w:r>
    </w:p>
    <w:p w14:paraId="4234EACC" w14:textId="1A4D7971" w:rsidR="000D7FE1" w:rsidRDefault="784A71F8" w:rsidP="784A71F8">
      <w:pPr>
        <w:rPr>
          <w:rFonts w:ascii="Calibri" w:eastAsia="Calibri" w:hAnsi="Calibri" w:cs="Calibri"/>
          <w:color w:val="000000"/>
          <w:sz w:val="24"/>
          <w:szCs w:val="24"/>
        </w:rPr>
      </w:pPr>
      <w:r w:rsidRPr="784A71F8">
        <w:rPr>
          <w:rFonts w:ascii="Calibri" w:eastAsia="Calibri" w:hAnsi="Calibri" w:cs="Calibri"/>
          <w:color w:val="000000"/>
          <w:sz w:val="24"/>
          <w:szCs w:val="24"/>
        </w:rPr>
        <w:t xml:space="preserve">We are concerned by the process followed for the drafting of this Bill, in particular the lack of consultation with children, and no assessment of its impact on children via the Child Impact Assessment Tool. Given that a key objective of this Bill is to ‘strengthen advocacy for children’s and young people’s issues’, it is perplexing that children and young people have not been consulted to determine how best the system could be designed to promote their rights and interests. The speed at which this Bill is progressing through the Select Committee process has not enabled proper consultation with the very people it is designed to affect, as the Children’s Rights Alliance highlighted when it wrote to Minister </w:t>
      </w:r>
      <w:proofErr w:type="spellStart"/>
      <w:r w:rsidRPr="784A71F8">
        <w:rPr>
          <w:rFonts w:ascii="Calibri" w:eastAsia="Calibri" w:hAnsi="Calibri" w:cs="Calibri"/>
          <w:color w:val="000000"/>
          <w:sz w:val="24"/>
          <w:szCs w:val="24"/>
        </w:rPr>
        <w:t>Sepuloni</w:t>
      </w:r>
      <w:proofErr w:type="spellEnd"/>
      <w:r w:rsidRPr="784A71F8">
        <w:rPr>
          <w:rFonts w:ascii="Calibri" w:eastAsia="Calibri" w:hAnsi="Calibri" w:cs="Calibri"/>
          <w:color w:val="000000"/>
          <w:sz w:val="24"/>
          <w:szCs w:val="24"/>
        </w:rPr>
        <w:t xml:space="preserve"> in December asking for progress on the Bill to be paused. We see this as indicative of </w:t>
      </w:r>
      <w:r w:rsidR="6728841A" w:rsidRPr="784A71F8">
        <w:rPr>
          <w:rFonts w:ascii="Calibri" w:eastAsia="Calibri" w:hAnsi="Calibri" w:cs="Calibri"/>
          <w:color w:val="000000"/>
          <w:sz w:val="24"/>
          <w:szCs w:val="24"/>
        </w:rPr>
        <w:t>poor processes for seriously considering issues affecting children within Government.</w:t>
      </w:r>
    </w:p>
    <w:p w14:paraId="58BB278F" w14:textId="77777777" w:rsidR="000D7FE1" w:rsidRDefault="00EF12A0">
      <w:pPr>
        <w:rPr>
          <w:rFonts w:ascii="Calibri" w:eastAsia="Calibri" w:hAnsi="Calibri" w:cs="Calibri"/>
          <w:sz w:val="24"/>
        </w:rPr>
      </w:pPr>
      <w:r>
        <w:rPr>
          <w:rFonts w:ascii="Calibri" w:eastAsia="Calibri" w:hAnsi="Calibri" w:cs="Calibri"/>
          <w:color w:val="000000"/>
          <w:sz w:val="24"/>
        </w:rPr>
        <w:t xml:space="preserve">We also question the timing of this overhaul of the monitoring and complaints processes for the </w:t>
      </w:r>
      <w:proofErr w:type="spellStart"/>
      <w:r>
        <w:rPr>
          <w:rFonts w:ascii="Calibri" w:eastAsia="Calibri" w:hAnsi="Calibri" w:cs="Calibri"/>
          <w:color w:val="000000"/>
          <w:sz w:val="24"/>
        </w:rPr>
        <w:t>Oranga</w:t>
      </w:r>
      <w:proofErr w:type="spellEnd"/>
      <w:r>
        <w:rPr>
          <w:rFonts w:ascii="Calibri" w:eastAsia="Calibri" w:hAnsi="Calibri" w:cs="Calibri"/>
          <w:color w:val="000000"/>
          <w:sz w:val="24"/>
        </w:rPr>
        <w:t xml:space="preserve"> Tamariki system, given that the Royal Commission of Inquiry into Abuse in Care has not completed their investigation. We note that in the Royal Commission’s 2021 interim report on redress, the Commission recommends the involvement of survivors in the design and running of any redress system (see </w:t>
      </w:r>
      <w:hyperlink r:id="rId12">
        <w:r>
          <w:rPr>
            <w:rFonts w:ascii="Calibri" w:eastAsia="Calibri" w:hAnsi="Calibri" w:cs="Calibri"/>
            <w:color w:val="0563C1"/>
            <w:sz w:val="24"/>
            <w:u w:val="single"/>
          </w:rPr>
          <w:t xml:space="preserve">Recommendation 6 in </w:t>
        </w:r>
        <w:proofErr w:type="spellStart"/>
        <w:r>
          <w:rPr>
            <w:rFonts w:ascii="Calibri" w:eastAsia="Calibri" w:hAnsi="Calibri" w:cs="Calibri"/>
            <w:color w:val="0563C1"/>
            <w:sz w:val="24"/>
            <w:u w:val="single"/>
          </w:rPr>
          <w:t>He</w:t>
        </w:r>
        <w:proofErr w:type="spellEnd"/>
        <w:r>
          <w:rPr>
            <w:rFonts w:ascii="Calibri" w:eastAsia="Calibri" w:hAnsi="Calibri" w:cs="Calibri"/>
            <w:color w:val="0563C1"/>
            <w:sz w:val="24"/>
            <w:u w:val="single"/>
          </w:rPr>
          <w:t xml:space="preserve"> </w:t>
        </w:r>
        <w:proofErr w:type="spellStart"/>
        <w:r>
          <w:rPr>
            <w:rFonts w:ascii="Calibri" w:eastAsia="Calibri" w:hAnsi="Calibri" w:cs="Calibri"/>
            <w:color w:val="0563C1"/>
            <w:sz w:val="24"/>
            <w:u w:val="single"/>
          </w:rPr>
          <w:t>Purapura</w:t>
        </w:r>
        <w:proofErr w:type="spellEnd"/>
        <w:r>
          <w:rPr>
            <w:rFonts w:ascii="Calibri" w:eastAsia="Calibri" w:hAnsi="Calibri" w:cs="Calibri"/>
            <w:color w:val="0563C1"/>
            <w:sz w:val="24"/>
            <w:u w:val="single"/>
          </w:rPr>
          <w:t xml:space="preserve"> Ora, he Māra </w:t>
        </w:r>
        <w:proofErr w:type="spellStart"/>
        <w:r>
          <w:rPr>
            <w:rFonts w:ascii="Calibri" w:eastAsia="Calibri" w:hAnsi="Calibri" w:cs="Calibri"/>
            <w:color w:val="0563C1"/>
            <w:sz w:val="24"/>
            <w:u w:val="single"/>
          </w:rPr>
          <w:t>Tipu</w:t>
        </w:r>
        <w:proofErr w:type="spellEnd"/>
        <w:r>
          <w:rPr>
            <w:rFonts w:ascii="Calibri" w:eastAsia="Calibri" w:hAnsi="Calibri" w:cs="Calibri"/>
            <w:color w:val="0563C1"/>
            <w:sz w:val="24"/>
            <w:u w:val="single"/>
          </w:rPr>
          <w:t xml:space="preserve">: From Redress to </w:t>
        </w:r>
        <w:proofErr w:type="spellStart"/>
        <w:r>
          <w:rPr>
            <w:rFonts w:ascii="Calibri" w:eastAsia="Calibri" w:hAnsi="Calibri" w:cs="Calibri"/>
            <w:color w:val="0563C1"/>
            <w:sz w:val="24"/>
            <w:u w:val="single"/>
          </w:rPr>
          <w:t>Puretumu</w:t>
        </w:r>
        <w:proofErr w:type="spellEnd"/>
        <w:r>
          <w:rPr>
            <w:rFonts w:ascii="Calibri" w:eastAsia="Calibri" w:hAnsi="Calibri" w:cs="Calibri"/>
            <w:color w:val="0563C1"/>
            <w:sz w:val="24"/>
            <w:u w:val="single"/>
          </w:rPr>
          <w:t xml:space="preserve"> </w:t>
        </w:r>
        <w:proofErr w:type="spellStart"/>
        <w:r>
          <w:rPr>
            <w:rFonts w:ascii="Calibri" w:eastAsia="Calibri" w:hAnsi="Calibri" w:cs="Calibri"/>
            <w:color w:val="0563C1"/>
            <w:sz w:val="24"/>
            <w:u w:val="single"/>
          </w:rPr>
          <w:t>Torowhānui</w:t>
        </w:r>
        <w:proofErr w:type="spellEnd"/>
      </w:hyperlink>
      <w:r>
        <w:rPr>
          <w:rFonts w:ascii="Calibri" w:eastAsia="Calibri" w:hAnsi="Calibri" w:cs="Calibri"/>
          <w:sz w:val="24"/>
        </w:rPr>
        <w:t xml:space="preserve">). By failing to involve children and young people within the care and protection system in designing the Monitor, the Government appears to be ignoring this recommendation. </w:t>
      </w:r>
    </w:p>
    <w:p w14:paraId="76253A83" w14:textId="77777777" w:rsidR="000D7FE1" w:rsidRDefault="00EF12A0">
      <w:pPr>
        <w:rPr>
          <w:rFonts w:ascii="Calibri" w:eastAsia="Calibri" w:hAnsi="Calibri" w:cs="Calibri"/>
          <w:b/>
          <w:color w:val="000000"/>
          <w:sz w:val="24"/>
        </w:rPr>
      </w:pPr>
      <w:r>
        <w:rPr>
          <w:rFonts w:ascii="Calibri" w:eastAsia="Calibri" w:hAnsi="Calibri" w:cs="Calibri"/>
          <w:b/>
          <w:color w:val="000000"/>
          <w:sz w:val="24"/>
        </w:rPr>
        <w:t>Complexity of the oversight system</w:t>
      </w:r>
    </w:p>
    <w:p w14:paraId="4BD586CD" w14:textId="77777777" w:rsidR="000D7FE1" w:rsidRDefault="00EF12A0">
      <w:pPr>
        <w:rPr>
          <w:rFonts w:ascii="Calibri" w:eastAsia="Calibri" w:hAnsi="Calibri" w:cs="Calibri"/>
          <w:color w:val="000000"/>
          <w:sz w:val="24"/>
        </w:rPr>
      </w:pPr>
      <w:r>
        <w:rPr>
          <w:rFonts w:ascii="Calibri" w:eastAsia="Calibri" w:hAnsi="Calibri" w:cs="Calibri"/>
          <w:color w:val="000000"/>
          <w:sz w:val="24"/>
        </w:rPr>
        <w:t xml:space="preserve">We are concerned that the new system proposed by the Bill - which seeks to strengthen the monitoring of </w:t>
      </w:r>
      <w:proofErr w:type="spellStart"/>
      <w:proofErr w:type="gramStart"/>
      <w:r>
        <w:rPr>
          <w:rFonts w:ascii="Calibri" w:eastAsia="Calibri" w:hAnsi="Calibri" w:cs="Calibri"/>
          <w:color w:val="000000"/>
          <w:sz w:val="24"/>
        </w:rPr>
        <w:t>Oranga</w:t>
      </w:r>
      <w:proofErr w:type="spellEnd"/>
      <w:r>
        <w:rPr>
          <w:rFonts w:ascii="Calibri" w:eastAsia="Calibri" w:hAnsi="Calibri" w:cs="Calibri"/>
          <w:color w:val="000000"/>
          <w:sz w:val="24"/>
        </w:rPr>
        <w:t xml:space="preserve"> Tamariki, and</w:t>
      </w:r>
      <w:proofErr w:type="gramEnd"/>
      <w:r>
        <w:rPr>
          <w:rFonts w:ascii="Calibri" w:eastAsia="Calibri" w:hAnsi="Calibri" w:cs="Calibri"/>
          <w:color w:val="000000"/>
          <w:sz w:val="24"/>
        </w:rPr>
        <w:t xml:space="preserve"> strengthen advocacy for children and young people’s issues – will perversely weaken these functions due to its complexity. We do not view the Ombudsman as a child-friendly avenue for complaints, and question whether the Ombudsman has the expertise to handle child- and family-related complaints which are highly sensitive in nature. </w:t>
      </w:r>
    </w:p>
    <w:p w14:paraId="73D0FDED" w14:textId="77777777" w:rsidR="000D7FE1" w:rsidRDefault="00EF12A0">
      <w:pPr>
        <w:rPr>
          <w:rFonts w:ascii="Calibri" w:eastAsia="Calibri" w:hAnsi="Calibri" w:cs="Calibri"/>
          <w:color w:val="000000"/>
          <w:sz w:val="24"/>
        </w:rPr>
      </w:pPr>
      <w:r>
        <w:rPr>
          <w:rFonts w:ascii="Calibri" w:eastAsia="Calibri" w:hAnsi="Calibri" w:cs="Calibri"/>
          <w:color w:val="000000"/>
          <w:sz w:val="24"/>
        </w:rPr>
        <w:t xml:space="preserve">The sheer complexity of having multiple avenues for complaints across the Ombudsman, the Monitor, and the Children and Young People’s Commission risks having complaints fall through the cracks. There is great potential for confusion about boundaries between which agency handles what types of complaints, which risks being difficult to navigate for anyone, let alone being </w:t>
      </w:r>
      <w:proofErr w:type="gramStart"/>
      <w:r>
        <w:rPr>
          <w:rFonts w:ascii="Calibri" w:eastAsia="Calibri" w:hAnsi="Calibri" w:cs="Calibri"/>
          <w:color w:val="000000"/>
          <w:sz w:val="24"/>
        </w:rPr>
        <w:t>child-friendly</w:t>
      </w:r>
      <w:proofErr w:type="gramEnd"/>
      <w:r>
        <w:rPr>
          <w:rFonts w:ascii="Calibri" w:eastAsia="Calibri" w:hAnsi="Calibri" w:cs="Calibri"/>
          <w:color w:val="000000"/>
          <w:sz w:val="24"/>
        </w:rPr>
        <w:t xml:space="preserve">. Separating out individual complaints and systemic complaints between two different agencies is a recipe for confusion and </w:t>
      </w:r>
      <w:proofErr w:type="gramStart"/>
      <w:r>
        <w:rPr>
          <w:rFonts w:ascii="Calibri" w:eastAsia="Calibri" w:hAnsi="Calibri" w:cs="Calibri"/>
          <w:color w:val="000000"/>
          <w:sz w:val="24"/>
        </w:rPr>
        <w:t>ambiguity, and</w:t>
      </w:r>
      <w:proofErr w:type="gramEnd"/>
      <w:r>
        <w:rPr>
          <w:rFonts w:ascii="Calibri" w:eastAsia="Calibri" w:hAnsi="Calibri" w:cs="Calibri"/>
          <w:color w:val="000000"/>
          <w:sz w:val="24"/>
        </w:rPr>
        <w:t xml:space="preserve"> </w:t>
      </w:r>
      <w:r>
        <w:rPr>
          <w:rFonts w:ascii="Calibri" w:eastAsia="Calibri" w:hAnsi="Calibri" w:cs="Calibri"/>
          <w:sz w:val="24"/>
        </w:rPr>
        <w:t>may perversely impede the</w:t>
      </w:r>
      <w:r>
        <w:rPr>
          <w:rFonts w:ascii="Calibri" w:eastAsia="Calibri" w:hAnsi="Calibri" w:cs="Calibri"/>
          <w:color w:val="000000"/>
          <w:sz w:val="24"/>
        </w:rPr>
        <w:t xml:space="preserve"> protection of a very vulnerable group of families, </w:t>
      </w:r>
      <w:proofErr w:type="spellStart"/>
      <w:r>
        <w:rPr>
          <w:rFonts w:ascii="Calibri" w:eastAsia="Calibri" w:hAnsi="Calibri" w:cs="Calibri"/>
          <w:color w:val="000000"/>
          <w:sz w:val="24"/>
        </w:rPr>
        <w:t>tamariki</w:t>
      </w:r>
      <w:proofErr w:type="spellEnd"/>
      <w:r>
        <w:rPr>
          <w:rFonts w:ascii="Calibri" w:eastAsia="Calibri" w:hAnsi="Calibri" w:cs="Calibri"/>
          <w:color w:val="000000"/>
          <w:sz w:val="24"/>
        </w:rPr>
        <w:t xml:space="preserve"> and </w:t>
      </w:r>
      <w:proofErr w:type="spellStart"/>
      <w:r>
        <w:rPr>
          <w:rFonts w:ascii="Calibri" w:eastAsia="Calibri" w:hAnsi="Calibri" w:cs="Calibri"/>
          <w:color w:val="000000"/>
          <w:sz w:val="24"/>
        </w:rPr>
        <w:t>rangatahi</w:t>
      </w:r>
      <w:proofErr w:type="spellEnd"/>
      <w:r>
        <w:rPr>
          <w:rFonts w:ascii="Calibri" w:eastAsia="Calibri" w:hAnsi="Calibri" w:cs="Calibri"/>
          <w:color w:val="000000"/>
          <w:sz w:val="24"/>
        </w:rPr>
        <w:t>.</w:t>
      </w:r>
    </w:p>
    <w:p w14:paraId="0DC74E97" w14:textId="71221074" w:rsidR="000D7FE1" w:rsidRDefault="784A71F8" w:rsidP="784A71F8">
      <w:pPr>
        <w:rPr>
          <w:rFonts w:ascii="Calibri" w:eastAsia="Calibri" w:hAnsi="Calibri" w:cs="Calibri"/>
          <w:color w:val="000000"/>
          <w:sz w:val="24"/>
          <w:szCs w:val="24"/>
        </w:rPr>
      </w:pPr>
      <w:r w:rsidRPr="784A71F8">
        <w:rPr>
          <w:rFonts w:ascii="Calibri" w:eastAsia="Calibri" w:hAnsi="Calibri" w:cs="Calibri"/>
          <w:color w:val="000000"/>
          <w:sz w:val="24"/>
          <w:szCs w:val="24"/>
        </w:rPr>
        <w:t xml:space="preserve">Locating the Monitor within ERO seems entirely out of place. ERO has an education oversight </w:t>
      </w:r>
      <w:proofErr w:type="gramStart"/>
      <w:r w:rsidRPr="784A71F8">
        <w:rPr>
          <w:rFonts w:ascii="Calibri" w:eastAsia="Calibri" w:hAnsi="Calibri" w:cs="Calibri"/>
          <w:color w:val="000000"/>
          <w:sz w:val="24"/>
          <w:szCs w:val="24"/>
        </w:rPr>
        <w:t>function, and</w:t>
      </w:r>
      <w:proofErr w:type="gramEnd"/>
      <w:r w:rsidRPr="784A71F8">
        <w:rPr>
          <w:rFonts w:ascii="Calibri" w:eastAsia="Calibri" w:hAnsi="Calibri" w:cs="Calibri"/>
          <w:color w:val="000000"/>
          <w:sz w:val="24"/>
          <w:szCs w:val="24"/>
        </w:rPr>
        <w:t xml:space="preserve"> locating the Monitor within that setting will lead to the monitoring of </w:t>
      </w:r>
      <w:proofErr w:type="spellStart"/>
      <w:r w:rsidRPr="784A71F8">
        <w:rPr>
          <w:rFonts w:ascii="Calibri" w:eastAsia="Calibri" w:hAnsi="Calibri" w:cs="Calibri"/>
          <w:color w:val="000000"/>
          <w:sz w:val="24"/>
          <w:szCs w:val="24"/>
        </w:rPr>
        <w:t>O</w:t>
      </w:r>
      <w:r w:rsidR="467AF6B3" w:rsidRPr="784A71F8">
        <w:rPr>
          <w:rFonts w:ascii="Calibri" w:eastAsia="Calibri" w:hAnsi="Calibri" w:cs="Calibri"/>
          <w:color w:val="000000"/>
          <w:sz w:val="24"/>
          <w:szCs w:val="24"/>
        </w:rPr>
        <w:t>ranga</w:t>
      </w:r>
      <w:proofErr w:type="spellEnd"/>
      <w:r w:rsidR="467AF6B3" w:rsidRPr="784A71F8">
        <w:rPr>
          <w:rFonts w:ascii="Calibri" w:eastAsia="Calibri" w:hAnsi="Calibri" w:cs="Calibri"/>
          <w:color w:val="000000"/>
          <w:sz w:val="24"/>
          <w:szCs w:val="24"/>
        </w:rPr>
        <w:t xml:space="preserve"> </w:t>
      </w:r>
      <w:r w:rsidRPr="784A71F8">
        <w:rPr>
          <w:rFonts w:ascii="Calibri" w:eastAsia="Calibri" w:hAnsi="Calibri" w:cs="Calibri"/>
          <w:color w:val="000000"/>
          <w:sz w:val="24"/>
          <w:szCs w:val="24"/>
        </w:rPr>
        <w:t>T</w:t>
      </w:r>
      <w:r w:rsidR="223AF3D0" w:rsidRPr="784A71F8">
        <w:rPr>
          <w:rFonts w:ascii="Calibri" w:eastAsia="Calibri" w:hAnsi="Calibri" w:cs="Calibri"/>
          <w:color w:val="000000"/>
          <w:sz w:val="24"/>
          <w:szCs w:val="24"/>
        </w:rPr>
        <w:t>amariki</w:t>
      </w:r>
      <w:r w:rsidRPr="784A71F8">
        <w:rPr>
          <w:rFonts w:ascii="Calibri" w:eastAsia="Calibri" w:hAnsi="Calibri" w:cs="Calibri"/>
          <w:color w:val="000000"/>
          <w:sz w:val="24"/>
          <w:szCs w:val="24"/>
        </w:rPr>
        <w:t xml:space="preserve"> becoming a minor part of a much bigger operation. We are not aware of any expertise within ERO which would enable it to provide an appropriate setting, compared to the significant body of expertise that the </w:t>
      </w:r>
      <w:r w:rsidRPr="784A71F8">
        <w:rPr>
          <w:rFonts w:ascii="Calibri" w:eastAsia="Calibri" w:hAnsi="Calibri" w:cs="Calibri"/>
          <w:sz w:val="24"/>
          <w:szCs w:val="24"/>
        </w:rPr>
        <w:t>O</w:t>
      </w:r>
      <w:r w:rsidRPr="784A71F8">
        <w:rPr>
          <w:rFonts w:ascii="Calibri" w:eastAsia="Calibri" w:hAnsi="Calibri" w:cs="Calibri"/>
          <w:color w:val="000000"/>
          <w:sz w:val="24"/>
          <w:szCs w:val="24"/>
        </w:rPr>
        <w:t>ffice of the Children</w:t>
      </w:r>
      <w:r w:rsidRPr="784A71F8">
        <w:rPr>
          <w:rFonts w:ascii="Calibri" w:eastAsia="Calibri" w:hAnsi="Calibri" w:cs="Calibri"/>
          <w:sz w:val="24"/>
          <w:szCs w:val="24"/>
        </w:rPr>
        <w:t>’s Commissioner holds.</w:t>
      </w:r>
    </w:p>
    <w:p w14:paraId="1C5D1C03" w14:textId="77777777" w:rsidR="000D7FE1" w:rsidRDefault="00EF12A0">
      <w:pPr>
        <w:rPr>
          <w:rFonts w:ascii="Calibri" w:eastAsia="Calibri" w:hAnsi="Calibri" w:cs="Calibri"/>
          <w:b/>
          <w:sz w:val="24"/>
        </w:rPr>
      </w:pPr>
      <w:r>
        <w:rPr>
          <w:rFonts w:ascii="Calibri" w:eastAsia="Calibri" w:hAnsi="Calibri" w:cs="Calibri"/>
          <w:b/>
          <w:sz w:val="24"/>
        </w:rPr>
        <w:t>Concerns regarding the Monitor</w:t>
      </w:r>
    </w:p>
    <w:p w14:paraId="7B6A82BF" w14:textId="77777777" w:rsidR="000D7FE1" w:rsidRDefault="00EF12A0">
      <w:pPr>
        <w:rPr>
          <w:rFonts w:ascii="Calibri" w:eastAsia="Calibri" w:hAnsi="Calibri" w:cs="Calibri"/>
          <w:sz w:val="24"/>
        </w:rPr>
      </w:pPr>
      <w:r>
        <w:rPr>
          <w:rFonts w:ascii="Calibri" w:eastAsia="Calibri" w:hAnsi="Calibri" w:cs="Calibri"/>
          <w:sz w:val="24"/>
        </w:rPr>
        <w:t xml:space="preserve">We note that recommendation 90 of the Royal Commission’s 2021 interim redress report states that any monitoring body or activities relating to children and young adults at risk in care should be “independent of other oversight mechanisms and the organisation(s) being monitored”. We are concerned that the Monitor will be compromised in its ability to investigate complaints, as it will sit within a </w:t>
      </w:r>
      <w:proofErr w:type="gramStart"/>
      <w:r>
        <w:rPr>
          <w:rFonts w:ascii="Calibri" w:eastAsia="Calibri" w:hAnsi="Calibri" w:cs="Calibri"/>
          <w:sz w:val="24"/>
        </w:rPr>
        <w:t>Government</w:t>
      </w:r>
      <w:proofErr w:type="gramEnd"/>
      <w:r>
        <w:rPr>
          <w:rFonts w:ascii="Calibri" w:eastAsia="Calibri" w:hAnsi="Calibri" w:cs="Calibri"/>
          <w:sz w:val="24"/>
        </w:rPr>
        <w:t xml:space="preserve"> department and is therefore not fully independent of Government. This function would sit better within the Office of the Children’s Commissioner as was initially proposed.</w:t>
      </w:r>
    </w:p>
    <w:p w14:paraId="74F32C0E" w14:textId="1D3EDBB9" w:rsidR="000D7FE1" w:rsidRDefault="784A71F8" w:rsidP="784A71F8">
      <w:pPr>
        <w:rPr>
          <w:rFonts w:ascii="Calibri" w:eastAsia="Calibri" w:hAnsi="Calibri" w:cs="Calibri"/>
          <w:sz w:val="24"/>
          <w:szCs w:val="24"/>
        </w:rPr>
      </w:pPr>
      <w:r w:rsidRPr="784A71F8">
        <w:rPr>
          <w:rFonts w:ascii="Calibri" w:eastAsia="Calibri" w:hAnsi="Calibri" w:cs="Calibri"/>
          <w:sz w:val="24"/>
          <w:szCs w:val="24"/>
        </w:rPr>
        <w:t xml:space="preserve">We note in clause 34(1-2) of the Bill that authorised persons working on behalf of the Monitor must give notice of entry to premises. We have concerns about this approach to monitoring given the evidence collated by the Royal Commission about the lengths gone to by Government and church agencies to cover up abuse and neglect of children in their care. We urge the Government to reassess this provision </w:t>
      </w:r>
      <w:proofErr w:type="gramStart"/>
      <w:r w:rsidRPr="784A71F8">
        <w:rPr>
          <w:rFonts w:ascii="Calibri" w:eastAsia="Calibri" w:hAnsi="Calibri" w:cs="Calibri"/>
          <w:sz w:val="24"/>
          <w:szCs w:val="24"/>
        </w:rPr>
        <w:t>in light of</w:t>
      </w:r>
      <w:proofErr w:type="gramEnd"/>
      <w:r w:rsidRPr="784A71F8">
        <w:rPr>
          <w:rFonts w:ascii="Calibri" w:eastAsia="Calibri" w:hAnsi="Calibri" w:cs="Calibri"/>
          <w:sz w:val="24"/>
          <w:szCs w:val="24"/>
        </w:rPr>
        <w:t xml:space="preserve"> the findings of the Commission to ensure that the Monitor is able to gain real insights into the conditions of care </w:t>
      </w:r>
      <w:r w:rsidR="0B024027" w:rsidRPr="784A71F8">
        <w:rPr>
          <w:rFonts w:ascii="Calibri" w:eastAsia="Calibri" w:hAnsi="Calibri" w:cs="Calibri"/>
          <w:sz w:val="24"/>
          <w:szCs w:val="24"/>
        </w:rPr>
        <w:t xml:space="preserve">and protection </w:t>
      </w:r>
      <w:r w:rsidRPr="784A71F8">
        <w:rPr>
          <w:rFonts w:ascii="Calibri" w:eastAsia="Calibri" w:hAnsi="Calibri" w:cs="Calibri"/>
          <w:sz w:val="24"/>
          <w:szCs w:val="24"/>
        </w:rPr>
        <w:t xml:space="preserve">for children and </w:t>
      </w:r>
      <w:r w:rsidR="51DA7079" w:rsidRPr="784A71F8">
        <w:rPr>
          <w:rFonts w:ascii="Calibri" w:eastAsia="Calibri" w:hAnsi="Calibri" w:cs="Calibri"/>
          <w:sz w:val="24"/>
          <w:szCs w:val="24"/>
        </w:rPr>
        <w:t>young people</w:t>
      </w:r>
      <w:r w:rsidRPr="784A71F8">
        <w:rPr>
          <w:rFonts w:ascii="Calibri" w:eastAsia="Calibri" w:hAnsi="Calibri" w:cs="Calibri"/>
          <w:sz w:val="24"/>
          <w:szCs w:val="24"/>
        </w:rPr>
        <w:t xml:space="preserve">. </w:t>
      </w:r>
    </w:p>
    <w:p w14:paraId="7FD72535" w14:textId="77777777" w:rsidR="000D7FE1" w:rsidRDefault="00EF12A0">
      <w:pPr>
        <w:rPr>
          <w:rFonts w:ascii="Calibri" w:eastAsia="Calibri" w:hAnsi="Calibri" w:cs="Calibri"/>
          <w:b/>
          <w:color w:val="000000"/>
          <w:sz w:val="24"/>
        </w:rPr>
      </w:pPr>
      <w:r>
        <w:rPr>
          <w:rFonts w:ascii="Calibri" w:eastAsia="Calibri" w:hAnsi="Calibri" w:cs="Calibri"/>
          <w:b/>
          <w:color w:val="000000"/>
          <w:sz w:val="24"/>
        </w:rPr>
        <w:t>Lack of provision for a Children’s Commissioner</w:t>
      </w:r>
    </w:p>
    <w:p w14:paraId="506D7CB5" w14:textId="77777777" w:rsidR="000D7FE1" w:rsidRDefault="00EF12A0">
      <w:pPr>
        <w:rPr>
          <w:rFonts w:ascii="Calibri" w:eastAsia="Calibri" w:hAnsi="Calibri" w:cs="Calibri"/>
          <w:color w:val="000000"/>
          <w:sz w:val="24"/>
        </w:rPr>
      </w:pPr>
      <w:r>
        <w:rPr>
          <w:rFonts w:ascii="Calibri" w:eastAsia="Calibri" w:hAnsi="Calibri" w:cs="Calibri"/>
          <w:color w:val="000000"/>
          <w:sz w:val="24"/>
        </w:rPr>
        <w:t xml:space="preserve">We are also concerned by the lack of provision for a Children’s Commissioner within the proposed legislation. We fear this Bill will undermine the role of the Children’s Commissioner, and result in a diluted voice of the Commission. </w:t>
      </w:r>
    </w:p>
    <w:p w14:paraId="3B3BA046" w14:textId="6607E8C5" w:rsidR="000D7FE1" w:rsidRDefault="784A71F8" w:rsidP="784A71F8">
      <w:pPr>
        <w:rPr>
          <w:rFonts w:ascii="Calibri" w:eastAsia="Calibri" w:hAnsi="Calibri" w:cs="Calibri"/>
          <w:color w:val="000000"/>
          <w:sz w:val="24"/>
          <w:szCs w:val="24"/>
        </w:rPr>
      </w:pPr>
      <w:r w:rsidRPr="784A71F8">
        <w:rPr>
          <w:rFonts w:ascii="Calibri" w:eastAsia="Calibri" w:hAnsi="Calibri" w:cs="Calibri"/>
          <w:color w:val="000000"/>
          <w:sz w:val="24"/>
          <w:szCs w:val="24"/>
        </w:rPr>
        <w:t xml:space="preserve">Over the last three decades, successive Children’s Commissioners have played a critical role in championing the rights and interests of children and </w:t>
      </w:r>
      <w:proofErr w:type="spellStart"/>
      <w:r w:rsidRPr="784A71F8">
        <w:rPr>
          <w:rFonts w:ascii="Calibri" w:eastAsia="Calibri" w:hAnsi="Calibri" w:cs="Calibri"/>
          <w:color w:val="000000"/>
          <w:sz w:val="24"/>
          <w:szCs w:val="24"/>
        </w:rPr>
        <w:t>tamariki</w:t>
      </w:r>
      <w:proofErr w:type="spellEnd"/>
      <w:r w:rsidRPr="784A71F8">
        <w:rPr>
          <w:rFonts w:ascii="Calibri" w:eastAsia="Calibri" w:hAnsi="Calibri" w:cs="Calibri"/>
          <w:color w:val="000000"/>
          <w:sz w:val="24"/>
          <w:szCs w:val="24"/>
        </w:rPr>
        <w:t xml:space="preserve"> in Aotearoa. We firmly believe there is value in having a single, independent voice to </w:t>
      </w:r>
      <w:r w:rsidR="00EF12A0">
        <w:rPr>
          <w:rFonts w:ascii="Calibri" w:eastAsia="Calibri" w:hAnsi="Calibri" w:cs="Calibri"/>
          <w:color w:val="000000"/>
          <w:sz w:val="24"/>
          <w:szCs w:val="24"/>
        </w:rPr>
        <w:t xml:space="preserve">lead </w:t>
      </w:r>
      <w:r w:rsidRPr="784A71F8">
        <w:rPr>
          <w:rFonts w:ascii="Calibri" w:eastAsia="Calibri" w:hAnsi="Calibri" w:cs="Calibri"/>
          <w:color w:val="000000"/>
          <w:sz w:val="24"/>
          <w:szCs w:val="24"/>
        </w:rPr>
        <w:t>engage</w:t>
      </w:r>
      <w:r w:rsidR="00EF12A0">
        <w:rPr>
          <w:rFonts w:ascii="Calibri" w:eastAsia="Calibri" w:hAnsi="Calibri" w:cs="Calibri"/>
          <w:color w:val="000000"/>
          <w:sz w:val="24"/>
          <w:szCs w:val="24"/>
        </w:rPr>
        <w:t>ment</w:t>
      </w:r>
      <w:r w:rsidRPr="784A71F8">
        <w:rPr>
          <w:rFonts w:ascii="Calibri" w:eastAsia="Calibri" w:hAnsi="Calibri" w:cs="Calibri"/>
          <w:color w:val="000000"/>
          <w:sz w:val="24"/>
          <w:szCs w:val="24"/>
        </w:rPr>
        <w:t xml:space="preserve"> in this advocacy work, but also to provide children with a clear ‘champion’ to look to. The governing board of 3-6 members that this Bill provides for within the proposed Children and Young People’s Commission is unlikely to achieve the same impact in terms of public advocacy without the </w:t>
      </w:r>
      <w:r w:rsidR="14624B3D" w:rsidRPr="784A71F8">
        <w:rPr>
          <w:rFonts w:ascii="Calibri" w:eastAsia="Calibri" w:hAnsi="Calibri" w:cs="Calibri"/>
          <w:color w:val="000000"/>
          <w:sz w:val="24"/>
          <w:szCs w:val="24"/>
        </w:rPr>
        <w:t xml:space="preserve">mana and </w:t>
      </w:r>
      <w:r w:rsidRPr="784A71F8">
        <w:rPr>
          <w:rFonts w:ascii="Calibri" w:eastAsia="Calibri" w:hAnsi="Calibri" w:cs="Calibri"/>
          <w:color w:val="000000"/>
          <w:sz w:val="24"/>
          <w:szCs w:val="24"/>
        </w:rPr>
        <w:t>status of</w:t>
      </w:r>
      <w:r w:rsidR="051FDBE5" w:rsidRPr="784A71F8">
        <w:rPr>
          <w:rFonts w:ascii="Calibri" w:eastAsia="Calibri" w:hAnsi="Calibri" w:cs="Calibri"/>
          <w:color w:val="000000"/>
          <w:sz w:val="24"/>
          <w:szCs w:val="24"/>
        </w:rPr>
        <w:t xml:space="preserve"> a named</w:t>
      </w:r>
      <w:r w:rsidRPr="784A71F8">
        <w:rPr>
          <w:rFonts w:ascii="Calibri" w:eastAsia="Calibri" w:hAnsi="Calibri" w:cs="Calibri"/>
          <w:color w:val="000000"/>
          <w:sz w:val="24"/>
          <w:szCs w:val="24"/>
        </w:rPr>
        <w:t xml:space="preserve"> Children’s Commissioner. </w:t>
      </w:r>
    </w:p>
    <w:p w14:paraId="16AD89A9" w14:textId="77777777" w:rsidR="000D7FE1" w:rsidRDefault="784A71F8">
      <w:pPr>
        <w:rPr>
          <w:rFonts w:ascii="Calibri" w:eastAsia="Calibri" w:hAnsi="Calibri" w:cs="Calibri"/>
          <w:color w:val="000000"/>
          <w:sz w:val="24"/>
        </w:rPr>
      </w:pPr>
      <w:r w:rsidRPr="784A71F8">
        <w:rPr>
          <w:rFonts w:ascii="Calibri" w:eastAsia="Calibri" w:hAnsi="Calibri" w:cs="Calibri"/>
          <w:color w:val="000000"/>
          <w:sz w:val="24"/>
          <w:szCs w:val="24"/>
        </w:rPr>
        <w:t xml:space="preserve">This independent advocacy function is particularly important given the entrenched child poverty that Aotearoa faces. With roughly 14-18% of Aotearoa’s children and </w:t>
      </w:r>
      <w:proofErr w:type="spellStart"/>
      <w:r w:rsidRPr="784A71F8">
        <w:rPr>
          <w:rFonts w:ascii="Calibri" w:eastAsia="Calibri" w:hAnsi="Calibri" w:cs="Calibri"/>
          <w:color w:val="000000"/>
          <w:sz w:val="24"/>
          <w:szCs w:val="24"/>
        </w:rPr>
        <w:t>tamariki</w:t>
      </w:r>
      <w:proofErr w:type="spellEnd"/>
      <w:r w:rsidRPr="784A71F8">
        <w:rPr>
          <w:rFonts w:ascii="Calibri" w:eastAsia="Calibri" w:hAnsi="Calibri" w:cs="Calibri"/>
          <w:color w:val="000000"/>
          <w:sz w:val="24"/>
          <w:szCs w:val="24"/>
        </w:rPr>
        <w:t xml:space="preserve"> living in income poverty, the country requires strong advocates both inside and outside of Government to ensure that progress is made in poverty alleviation. The Children’s Commissioner is well-placed to do this, as was seen for instance with the outgoing Commissioner Judge Andrew Becroft, who made important contributions to the public debate on child poverty.</w:t>
      </w:r>
    </w:p>
    <w:p w14:paraId="5E31A2DF" w14:textId="7C25A16C" w:rsidR="7E4F349F" w:rsidRPr="0070033D" w:rsidRDefault="7E4F349F" w:rsidP="784A71F8">
      <w:pPr>
        <w:rPr>
          <w:rFonts w:ascii="Calibri" w:eastAsia="Calibri" w:hAnsi="Calibri" w:cs="Calibri"/>
          <w:b/>
          <w:bCs/>
          <w:sz w:val="24"/>
          <w:szCs w:val="24"/>
        </w:rPr>
      </w:pPr>
      <w:r w:rsidRPr="0070033D">
        <w:rPr>
          <w:rFonts w:ascii="Calibri" w:eastAsia="Calibri" w:hAnsi="Calibri" w:cs="Calibri"/>
          <w:b/>
          <w:bCs/>
          <w:sz w:val="24"/>
          <w:szCs w:val="24"/>
        </w:rPr>
        <w:t>Recommendations</w:t>
      </w:r>
    </w:p>
    <w:p w14:paraId="71A63505" w14:textId="5153ED35" w:rsidR="7E4F349F" w:rsidRPr="0070033D" w:rsidRDefault="7E4F349F" w:rsidP="784A71F8">
      <w:pPr>
        <w:rPr>
          <w:rFonts w:ascii="Calibri" w:eastAsia="Calibri" w:hAnsi="Calibri" w:cs="Calibri"/>
          <w:sz w:val="24"/>
          <w:szCs w:val="24"/>
        </w:rPr>
      </w:pPr>
      <w:r w:rsidRPr="0070033D">
        <w:rPr>
          <w:rFonts w:ascii="Calibri" w:eastAsia="Calibri" w:hAnsi="Calibri" w:cs="Calibri"/>
          <w:sz w:val="24"/>
          <w:szCs w:val="24"/>
        </w:rPr>
        <w:t>If the Government is to progress th</w:t>
      </w:r>
      <w:r w:rsidR="316A2C99" w:rsidRPr="0070033D">
        <w:rPr>
          <w:rFonts w:ascii="Calibri" w:eastAsia="Calibri" w:hAnsi="Calibri" w:cs="Calibri"/>
          <w:sz w:val="24"/>
          <w:szCs w:val="24"/>
        </w:rPr>
        <w:t>e</w:t>
      </w:r>
      <w:r w:rsidRPr="0070033D">
        <w:rPr>
          <w:rFonts w:ascii="Calibri" w:eastAsia="Calibri" w:hAnsi="Calibri" w:cs="Calibri"/>
          <w:sz w:val="24"/>
          <w:szCs w:val="24"/>
        </w:rPr>
        <w:t xml:space="preserve"> Bill, we </w:t>
      </w:r>
      <w:r w:rsidR="397F3081" w:rsidRPr="0070033D">
        <w:rPr>
          <w:rFonts w:ascii="Calibri" w:eastAsia="Calibri" w:hAnsi="Calibri" w:cs="Calibri"/>
          <w:sz w:val="24"/>
          <w:szCs w:val="24"/>
        </w:rPr>
        <w:t>urge</w:t>
      </w:r>
      <w:r w:rsidRPr="0070033D">
        <w:rPr>
          <w:rFonts w:ascii="Calibri" w:eastAsia="Calibri" w:hAnsi="Calibri" w:cs="Calibri"/>
          <w:sz w:val="24"/>
          <w:szCs w:val="24"/>
        </w:rPr>
        <w:t xml:space="preserve"> it </w:t>
      </w:r>
      <w:r w:rsidR="096C2C1A" w:rsidRPr="0070033D">
        <w:rPr>
          <w:rFonts w:ascii="Calibri" w:eastAsia="Calibri" w:hAnsi="Calibri" w:cs="Calibri"/>
          <w:sz w:val="24"/>
          <w:szCs w:val="24"/>
        </w:rPr>
        <w:t xml:space="preserve">to </w:t>
      </w:r>
      <w:r w:rsidRPr="0070033D">
        <w:rPr>
          <w:rFonts w:ascii="Calibri" w:eastAsia="Calibri" w:hAnsi="Calibri" w:cs="Calibri"/>
          <w:sz w:val="24"/>
          <w:szCs w:val="24"/>
        </w:rPr>
        <w:t>split th</w:t>
      </w:r>
      <w:r w:rsidR="3AECE0BF" w:rsidRPr="0070033D">
        <w:rPr>
          <w:rFonts w:ascii="Calibri" w:eastAsia="Calibri" w:hAnsi="Calibri" w:cs="Calibri"/>
          <w:sz w:val="24"/>
          <w:szCs w:val="24"/>
        </w:rPr>
        <w:t xml:space="preserve">is omnibus </w:t>
      </w:r>
      <w:r w:rsidRPr="0070033D">
        <w:rPr>
          <w:rFonts w:ascii="Calibri" w:eastAsia="Calibri" w:hAnsi="Calibri" w:cs="Calibri"/>
          <w:sz w:val="24"/>
          <w:szCs w:val="24"/>
        </w:rPr>
        <w:t xml:space="preserve">Bill into two </w:t>
      </w:r>
      <w:r w:rsidR="0002A25E" w:rsidRPr="0070033D">
        <w:rPr>
          <w:rFonts w:ascii="Calibri" w:eastAsia="Calibri" w:hAnsi="Calibri" w:cs="Calibri"/>
          <w:sz w:val="24"/>
          <w:szCs w:val="24"/>
        </w:rPr>
        <w:t xml:space="preserve">separate Bills </w:t>
      </w:r>
      <w:r w:rsidRPr="0070033D">
        <w:rPr>
          <w:rFonts w:ascii="Calibri" w:eastAsia="Calibri" w:hAnsi="Calibri" w:cs="Calibri"/>
          <w:sz w:val="24"/>
          <w:szCs w:val="24"/>
        </w:rPr>
        <w:t>upfront</w:t>
      </w:r>
      <w:r w:rsidR="48E6949B" w:rsidRPr="0070033D">
        <w:rPr>
          <w:rFonts w:ascii="Calibri" w:eastAsia="Calibri" w:hAnsi="Calibri" w:cs="Calibri"/>
          <w:sz w:val="24"/>
          <w:szCs w:val="24"/>
        </w:rPr>
        <w:t xml:space="preserve"> before the Select Committee process is completed, rather than at the end</w:t>
      </w:r>
      <w:r w:rsidR="54D72B6D" w:rsidRPr="0070033D">
        <w:rPr>
          <w:rFonts w:ascii="Calibri" w:eastAsia="Calibri" w:hAnsi="Calibri" w:cs="Calibri"/>
          <w:sz w:val="24"/>
          <w:szCs w:val="24"/>
        </w:rPr>
        <w:t xml:space="preserve"> as is currently proposed</w:t>
      </w:r>
      <w:r w:rsidR="48E6949B" w:rsidRPr="0070033D">
        <w:rPr>
          <w:rFonts w:ascii="Calibri" w:eastAsia="Calibri" w:hAnsi="Calibri" w:cs="Calibri"/>
          <w:sz w:val="24"/>
          <w:szCs w:val="24"/>
        </w:rPr>
        <w:t xml:space="preserve">. This would enable </w:t>
      </w:r>
      <w:r w:rsidR="1D770A01" w:rsidRPr="0070033D">
        <w:rPr>
          <w:rFonts w:ascii="Calibri" w:eastAsia="Calibri" w:hAnsi="Calibri" w:cs="Calibri"/>
          <w:sz w:val="24"/>
          <w:szCs w:val="24"/>
        </w:rPr>
        <w:t xml:space="preserve">the separate consideration of </w:t>
      </w:r>
      <w:r w:rsidR="48E6949B" w:rsidRPr="0070033D">
        <w:rPr>
          <w:rFonts w:ascii="Calibri" w:eastAsia="Calibri" w:hAnsi="Calibri" w:cs="Calibri"/>
          <w:sz w:val="24"/>
          <w:szCs w:val="24"/>
        </w:rPr>
        <w:t xml:space="preserve">issues relating to </w:t>
      </w:r>
      <w:r w:rsidR="066938C2" w:rsidRPr="0070033D">
        <w:rPr>
          <w:rFonts w:ascii="Calibri" w:eastAsia="Calibri" w:hAnsi="Calibri" w:cs="Calibri"/>
          <w:sz w:val="24"/>
          <w:szCs w:val="24"/>
        </w:rPr>
        <w:t xml:space="preserve">each </w:t>
      </w:r>
      <w:r w:rsidR="77523AE0" w:rsidRPr="0070033D">
        <w:rPr>
          <w:rFonts w:ascii="Calibri" w:eastAsia="Calibri" w:hAnsi="Calibri" w:cs="Calibri"/>
          <w:sz w:val="24"/>
          <w:szCs w:val="24"/>
        </w:rPr>
        <w:t xml:space="preserve">of a) </w:t>
      </w:r>
      <w:r w:rsidR="6CDCFB20" w:rsidRPr="0070033D">
        <w:rPr>
          <w:rFonts w:ascii="Calibri" w:eastAsia="Calibri" w:hAnsi="Calibri" w:cs="Calibri"/>
          <w:sz w:val="24"/>
          <w:szCs w:val="24"/>
        </w:rPr>
        <w:t>the</w:t>
      </w:r>
      <w:r w:rsidR="48E6949B" w:rsidRPr="0070033D">
        <w:rPr>
          <w:rFonts w:ascii="Calibri" w:eastAsia="Calibri" w:hAnsi="Calibri" w:cs="Calibri"/>
          <w:sz w:val="24"/>
          <w:szCs w:val="24"/>
        </w:rPr>
        <w:t xml:space="preserve"> </w:t>
      </w:r>
      <w:r w:rsidR="00EF12A0" w:rsidRPr="0070033D">
        <w:rPr>
          <w:rFonts w:ascii="Calibri" w:eastAsia="Calibri" w:hAnsi="Calibri" w:cs="Calibri"/>
          <w:sz w:val="24"/>
          <w:szCs w:val="24"/>
        </w:rPr>
        <w:t>m</w:t>
      </w:r>
      <w:r w:rsidR="48E6949B" w:rsidRPr="0070033D">
        <w:rPr>
          <w:rFonts w:ascii="Calibri" w:eastAsia="Calibri" w:hAnsi="Calibri" w:cs="Calibri"/>
          <w:sz w:val="24"/>
          <w:szCs w:val="24"/>
        </w:rPr>
        <w:t>onitor</w:t>
      </w:r>
      <w:r w:rsidR="2B2465E8" w:rsidRPr="0070033D">
        <w:rPr>
          <w:rFonts w:ascii="Calibri" w:eastAsia="Calibri" w:hAnsi="Calibri" w:cs="Calibri"/>
          <w:sz w:val="24"/>
          <w:szCs w:val="24"/>
        </w:rPr>
        <w:t xml:space="preserve">ing of </w:t>
      </w:r>
      <w:proofErr w:type="spellStart"/>
      <w:r w:rsidR="2B2465E8" w:rsidRPr="0070033D">
        <w:rPr>
          <w:rFonts w:ascii="Calibri" w:eastAsia="Calibri" w:hAnsi="Calibri" w:cs="Calibri"/>
          <w:sz w:val="24"/>
          <w:szCs w:val="24"/>
        </w:rPr>
        <w:t>Oranga</w:t>
      </w:r>
      <w:proofErr w:type="spellEnd"/>
      <w:r w:rsidR="2B2465E8" w:rsidRPr="0070033D">
        <w:rPr>
          <w:rFonts w:ascii="Calibri" w:eastAsia="Calibri" w:hAnsi="Calibri" w:cs="Calibri"/>
          <w:sz w:val="24"/>
          <w:szCs w:val="24"/>
        </w:rPr>
        <w:t xml:space="preserve"> Tamariki</w:t>
      </w:r>
      <w:r w:rsidR="1903A03D" w:rsidRPr="0070033D">
        <w:rPr>
          <w:rFonts w:ascii="Calibri" w:eastAsia="Calibri" w:hAnsi="Calibri" w:cs="Calibri"/>
          <w:sz w:val="24"/>
          <w:szCs w:val="24"/>
        </w:rPr>
        <w:t>;</w:t>
      </w:r>
      <w:r w:rsidR="48E6949B" w:rsidRPr="0070033D">
        <w:rPr>
          <w:rFonts w:ascii="Calibri" w:eastAsia="Calibri" w:hAnsi="Calibri" w:cs="Calibri"/>
          <w:sz w:val="24"/>
          <w:szCs w:val="24"/>
        </w:rPr>
        <w:t xml:space="preserve"> and </w:t>
      </w:r>
      <w:r w:rsidR="1146D31D" w:rsidRPr="0070033D">
        <w:rPr>
          <w:rFonts w:ascii="Calibri" w:eastAsia="Calibri" w:hAnsi="Calibri" w:cs="Calibri"/>
          <w:sz w:val="24"/>
          <w:szCs w:val="24"/>
        </w:rPr>
        <w:t xml:space="preserve">b) </w:t>
      </w:r>
      <w:r w:rsidR="48E6949B" w:rsidRPr="0070033D">
        <w:rPr>
          <w:rFonts w:ascii="Calibri" w:eastAsia="Calibri" w:hAnsi="Calibri" w:cs="Calibri"/>
          <w:sz w:val="24"/>
          <w:szCs w:val="24"/>
        </w:rPr>
        <w:t>the restructuring of the Office of the Children’s Commissioner</w:t>
      </w:r>
      <w:r w:rsidR="56F25629" w:rsidRPr="0070033D">
        <w:rPr>
          <w:rFonts w:ascii="Calibri" w:eastAsia="Calibri" w:hAnsi="Calibri" w:cs="Calibri"/>
          <w:sz w:val="24"/>
          <w:szCs w:val="24"/>
        </w:rPr>
        <w:t>.</w:t>
      </w:r>
    </w:p>
    <w:p w14:paraId="427192E7" w14:textId="76B22323" w:rsidR="56F25629" w:rsidRPr="0070033D" w:rsidRDefault="56F25629" w:rsidP="784A71F8">
      <w:pPr>
        <w:rPr>
          <w:rFonts w:ascii="Calibri" w:eastAsia="Calibri" w:hAnsi="Calibri" w:cs="Calibri"/>
          <w:sz w:val="24"/>
          <w:szCs w:val="24"/>
        </w:rPr>
      </w:pPr>
      <w:r w:rsidRPr="0070033D">
        <w:rPr>
          <w:rFonts w:ascii="Calibri" w:eastAsia="Calibri" w:hAnsi="Calibri" w:cs="Calibri"/>
          <w:sz w:val="24"/>
          <w:szCs w:val="24"/>
        </w:rPr>
        <w:t>We see these two issues as reflecting related but distinct sets of policy objectives, which each must be given full consideration in their own right:</w:t>
      </w:r>
    </w:p>
    <w:p w14:paraId="0CACECA3" w14:textId="50D2477E" w:rsidR="7177A6B2" w:rsidRPr="0070033D" w:rsidRDefault="7177A6B2" w:rsidP="784A71F8">
      <w:pPr>
        <w:pStyle w:val="ListParagraph"/>
        <w:numPr>
          <w:ilvl w:val="0"/>
          <w:numId w:val="2"/>
        </w:numPr>
        <w:rPr>
          <w:rFonts w:ascii="Calibri" w:eastAsia="Calibri" w:hAnsi="Calibri" w:cs="Calibri"/>
          <w:sz w:val="24"/>
          <w:szCs w:val="24"/>
        </w:rPr>
      </w:pPr>
      <w:r w:rsidRPr="0070033D">
        <w:rPr>
          <w:rFonts w:ascii="Calibri" w:eastAsia="Calibri" w:hAnsi="Calibri" w:cs="Calibri"/>
          <w:sz w:val="24"/>
          <w:szCs w:val="24"/>
        </w:rPr>
        <w:t>En</w:t>
      </w:r>
      <w:r w:rsidR="757CC55D" w:rsidRPr="0070033D">
        <w:rPr>
          <w:rFonts w:ascii="Calibri" w:eastAsia="Calibri" w:hAnsi="Calibri" w:cs="Calibri"/>
          <w:sz w:val="24"/>
          <w:szCs w:val="24"/>
        </w:rPr>
        <w:t xml:space="preserve">suring that the Office of the Children’s Commissioner is fit for </w:t>
      </w:r>
      <w:proofErr w:type="gramStart"/>
      <w:r w:rsidR="757CC55D" w:rsidRPr="0070033D">
        <w:rPr>
          <w:rFonts w:ascii="Calibri" w:eastAsia="Calibri" w:hAnsi="Calibri" w:cs="Calibri"/>
          <w:sz w:val="24"/>
          <w:szCs w:val="24"/>
        </w:rPr>
        <w:t>purpose, and</w:t>
      </w:r>
      <w:proofErr w:type="gramEnd"/>
      <w:r w:rsidR="757CC55D" w:rsidRPr="0070033D">
        <w:rPr>
          <w:rFonts w:ascii="Calibri" w:eastAsia="Calibri" w:hAnsi="Calibri" w:cs="Calibri"/>
          <w:sz w:val="24"/>
          <w:szCs w:val="24"/>
        </w:rPr>
        <w:t xml:space="preserve"> </w:t>
      </w:r>
      <w:r w:rsidR="1956816A" w:rsidRPr="0070033D">
        <w:rPr>
          <w:rFonts w:ascii="Calibri" w:eastAsia="Calibri" w:hAnsi="Calibri" w:cs="Calibri"/>
          <w:sz w:val="24"/>
          <w:szCs w:val="24"/>
        </w:rPr>
        <w:t xml:space="preserve">enabling proper consultation with children </w:t>
      </w:r>
      <w:r w:rsidR="5776884B" w:rsidRPr="0070033D">
        <w:rPr>
          <w:rFonts w:ascii="Calibri" w:eastAsia="Calibri" w:hAnsi="Calibri" w:cs="Calibri"/>
          <w:sz w:val="24"/>
          <w:szCs w:val="24"/>
        </w:rPr>
        <w:t>and young people as to w</w:t>
      </w:r>
      <w:r w:rsidR="175E3E9F" w:rsidRPr="0070033D">
        <w:rPr>
          <w:rFonts w:ascii="Calibri" w:eastAsia="Calibri" w:hAnsi="Calibri" w:cs="Calibri"/>
          <w:sz w:val="24"/>
          <w:szCs w:val="24"/>
        </w:rPr>
        <w:t>hat t</w:t>
      </w:r>
      <w:r w:rsidR="3644C8C2" w:rsidRPr="0070033D">
        <w:rPr>
          <w:rFonts w:ascii="Calibri" w:eastAsia="Calibri" w:hAnsi="Calibri" w:cs="Calibri"/>
          <w:sz w:val="24"/>
          <w:szCs w:val="24"/>
        </w:rPr>
        <w:t xml:space="preserve">his might look like. As has been discussed, some of our key concerns include provisions for a named Children’s </w:t>
      </w:r>
      <w:proofErr w:type="gramStart"/>
      <w:r w:rsidR="3644C8C2" w:rsidRPr="0070033D">
        <w:rPr>
          <w:rFonts w:ascii="Calibri" w:eastAsia="Calibri" w:hAnsi="Calibri" w:cs="Calibri"/>
          <w:sz w:val="24"/>
          <w:szCs w:val="24"/>
        </w:rPr>
        <w:t>Commissioner, and</w:t>
      </w:r>
      <w:proofErr w:type="gramEnd"/>
      <w:r w:rsidR="68A0B34D" w:rsidRPr="0070033D">
        <w:rPr>
          <w:rFonts w:ascii="Calibri" w:eastAsia="Calibri" w:hAnsi="Calibri" w:cs="Calibri"/>
          <w:sz w:val="24"/>
          <w:szCs w:val="24"/>
        </w:rPr>
        <w:t xml:space="preserve"> protecting the Office’s function as a one-stop-shop for championing children’s rights and interests.</w:t>
      </w:r>
    </w:p>
    <w:p w14:paraId="6EC9FE82" w14:textId="59D68965" w:rsidR="4E59BC4A" w:rsidRPr="0070033D" w:rsidRDefault="4E59BC4A" w:rsidP="784A71F8">
      <w:pPr>
        <w:pStyle w:val="ListParagraph"/>
        <w:numPr>
          <w:ilvl w:val="0"/>
          <w:numId w:val="2"/>
        </w:numPr>
        <w:rPr>
          <w:sz w:val="24"/>
          <w:szCs w:val="24"/>
        </w:rPr>
      </w:pPr>
      <w:r w:rsidRPr="0070033D">
        <w:rPr>
          <w:rFonts w:ascii="Calibri" w:eastAsia="Calibri" w:hAnsi="Calibri" w:cs="Calibri"/>
          <w:sz w:val="24"/>
          <w:szCs w:val="24"/>
        </w:rPr>
        <w:t xml:space="preserve">Creating an effective monitoring framework for the </w:t>
      </w:r>
      <w:proofErr w:type="spellStart"/>
      <w:r w:rsidRPr="0070033D">
        <w:rPr>
          <w:rFonts w:ascii="Calibri" w:eastAsia="Calibri" w:hAnsi="Calibri" w:cs="Calibri"/>
          <w:sz w:val="24"/>
          <w:szCs w:val="24"/>
        </w:rPr>
        <w:t>Oranga</w:t>
      </w:r>
      <w:proofErr w:type="spellEnd"/>
      <w:r w:rsidRPr="0070033D">
        <w:rPr>
          <w:rFonts w:ascii="Calibri" w:eastAsia="Calibri" w:hAnsi="Calibri" w:cs="Calibri"/>
          <w:sz w:val="24"/>
          <w:szCs w:val="24"/>
        </w:rPr>
        <w:t xml:space="preserve"> Tamariki system. As has been discussed, some of our key concerns </w:t>
      </w:r>
      <w:r w:rsidR="04E30961" w:rsidRPr="0070033D">
        <w:rPr>
          <w:rFonts w:ascii="Calibri" w:eastAsia="Calibri" w:hAnsi="Calibri" w:cs="Calibri"/>
          <w:sz w:val="24"/>
          <w:szCs w:val="24"/>
        </w:rPr>
        <w:t>include</w:t>
      </w:r>
      <w:r w:rsidRPr="0070033D">
        <w:rPr>
          <w:rFonts w:ascii="Calibri" w:eastAsia="Calibri" w:hAnsi="Calibri" w:cs="Calibri"/>
          <w:sz w:val="24"/>
          <w:szCs w:val="24"/>
        </w:rPr>
        <w:t xml:space="preserve"> the need for accessible </w:t>
      </w:r>
      <w:r w:rsidR="0CFEA17C" w:rsidRPr="0070033D">
        <w:rPr>
          <w:rFonts w:ascii="Calibri" w:eastAsia="Calibri" w:hAnsi="Calibri" w:cs="Calibri"/>
          <w:sz w:val="24"/>
          <w:szCs w:val="24"/>
        </w:rPr>
        <w:t>complaints procedures that are not unduly complex</w:t>
      </w:r>
      <w:r w:rsidR="22B84836" w:rsidRPr="0070033D">
        <w:rPr>
          <w:rFonts w:ascii="Calibri" w:eastAsia="Calibri" w:hAnsi="Calibri" w:cs="Calibri"/>
          <w:sz w:val="24"/>
          <w:szCs w:val="24"/>
        </w:rPr>
        <w:t>, particularly for children</w:t>
      </w:r>
      <w:r w:rsidR="0CFEA17C" w:rsidRPr="0070033D">
        <w:rPr>
          <w:rFonts w:ascii="Calibri" w:eastAsia="Calibri" w:hAnsi="Calibri" w:cs="Calibri"/>
          <w:sz w:val="24"/>
          <w:szCs w:val="24"/>
        </w:rPr>
        <w:t xml:space="preserve">, </w:t>
      </w:r>
      <w:r w:rsidR="2AB878C3" w:rsidRPr="0070033D">
        <w:rPr>
          <w:rFonts w:ascii="Calibri" w:eastAsia="Calibri" w:hAnsi="Calibri" w:cs="Calibri"/>
          <w:sz w:val="24"/>
          <w:szCs w:val="24"/>
        </w:rPr>
        <w:t>and ensuring</w:t>
      </w:r>
      <w:r w:rsidR="248F62E2" w:rsidRPr="0070033D">
        <w:rPr>
          <w:rFonts w:ascii="Calibri" w:eastAsia="Calibri" w:hAnsi="Calibri" w:cs="Calibri"/>
          <w:sz w:val="24"/>
          <w:szCs w:val="24"/>
        </w:rPr>
        <w:t xml:space="preserve"> that the monitoring body is independent of Government. </w:t>
      </w:r>
    </w:p>
    <w:p w14:paraId="0CDE8176" w14:textId="13D3D705" w:rsidR="784A71F8" w:rsidRDefault="784A71F8" w:rsidP="784A71F8">
      <w:pPr>
        <w:rPr>
          <w:rFonts w:ascii="Calibri" w:eastAsia="Calibri" w:hAnsi="Calibri" w:cs="Calibri"/>
          <w:color w:val="70AD47" w:themeColor="accent6"/>
          <w:sz w:val="24"/>
          <w:szCs w:val="24"/>
        </w:rPr>
      </w:pPr>
    </w:p>
    <w:p w14:paraId="3E589A47" w14:textId="1DD05171" w:rsidR="784A71F8" w:rsidRDefault="784A71F8" w:rsidP="784A71F8">
      <w:pPr>
        <w:rPr>
          <w:rFonts w:ascii="Calibri" w:eastAsia="Calibri" w:hAnsi="Calibri" w:cs="Calibri"/>
          <w:color w:val="70AD47" w:themeColor="accent6"/>
          <w:sz w:val="24"/>
          <w:szCs w:val="24"/>
        </w:rPr>
      </w:pPr>
    </w:p>
    <w:p w14:paraId="0E27B00A" w14:textId="77777777" w:rsidR="000D7FE1" w:rsidRDefault="000D7FE1">
      <w:pPr>
        <w:rPr>
          <w:rFonts w:ascii="Calibri" w:eastAsia="Calibri" w:hAnsi="Calibri" w:cs="Calibri"/>
          <w:b/>
          <w:color w:val="000000"/>
          <w:sz w:val="24"/>
        </w:rPr>
      </w:pPr>
    </w:p>
    <w:sectPr w:rsidR="000D7F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B3E"/>
    <w:multiLevelType w:val="hybridMultilevel"/>
    <w:tmpl w:val="78168208"/>
    <w:lvl w:ilvl="0" w:tplc="0C185966">
      <w:start w:val="1"/>
      <w:numFmt w:val="bullet"/>
      <w:lvlText w:val=""/>
      <w:lvlJc w:val="left"/>
      <w:pPr>
        <w:ind w:left="720" w:hanging="360"/>
      </w:pPr>
      <w:rPr>
        <w:rFonts w:ascii="Symbol" w:hAnsi="Symbol" w:hint="default"/>
      </w:rPr>
    </w:lvl>
    <w:lvl w:ilvl="1" w:tplc="139A5B5A">
      <w:start w:val="1"/>
      <w:numFmt w:val="bullet"/>
      <w:lvlText w:val="o"/>
      <w:lvlJc w:val="left"/>
      <w:pPr>
        <w:ind w:left="1440" w:hanging="360"/>
      </w:pPr>
      <w:rPr>
        <w:rFonts w:ascii="Courier New" w:hAnsi="Courier New" w:hint="default"/>
      </w:rPr>
    </w:lvl>
    <w:lvl w:ilvl="2" w:tplc="2004A774">
      <w:start w:val="1"/>
      <w:numFmt w:val="bullet"/>
      <w:lvlText w:val=""/>
      <w:lvlJc w:val="left"/>
      <w:pPr>
        <w:ind w:left="2160" w:hanging="360"/>
      </w:pPr>
      <w:rPr>
        <w:rFonts w:ascii="Wingdings" w:hAnsi="Wingdings" w:hint="default"/>
      </w:rPr>
    </w:lvl>
    <w:lvl w:ilvl="3" w:tplc="8E2EE504">
      <w:start w:val="1"/>
      <w:numFmt w:val="bullet"/>
      <w:lvlText w:val=""/>
      <w:lvlJc w:val="left"/>
      <w:pPr>
        <w:ind w:left="2880" w:hanging="360"/>
      </w:pPr>
      <w:rPr>
        <w:rFonts w:ascii="Symbol" w:hAnsi="Symbol" w:hint="default"/>
      </w:rPr>
    </w:lvl>
    <w:lvl w:ilvl="4" w:tplc="78B89F00">
      <w:start w:val="1"/>
      <w:numFmt w:val="bullet"/>
      <w:lvlText w:val="o"/>
      <w:lvlJc w:val="left"/>
      <w:pPr>
        <w:ind w:left="3600" w:hanging="360"/>
      </w:pPr>
      <w:rPr>
        <w:rFonts w:ascii="Courier New" w:hAnsi="Courier New" w:hint="default"/>
      </w:rPr>
    </w:lvl>
    <w:lvl w:ilvl="5" w:tplc="5D7AA928">
      <w:start w:val="1"/>
      <w:numFmt w:val="bullet"/>
      <w:lvlText w:val=""/>
      <w:lvlJc w:val="left"/>
      <w:pPr>
        <w:ind w:left="4320" w:hanging="360"/>
      </w:pPr>
      <w:rPr>
        <w:rFonts w:ascii="Wingdings" w:hAnsi="Wingdings" w:hint="default"/>
      </w:rPr>
    </w:lvl>
    <w:lvl w:ilvl="6" w:tplc="E29E4BB8">
      <w:start w:val="1"/>
      <w:numFmt w:val="bullet"/>
      <w:lvlText w:val=""/>
      <w:lvlJc w:val="left"/>
      <w:pPr>
        <w:ind w:left="5040" w:hanging="360"/>
      </w:pPr>
      <w:rPr>
        <w:rFonts w:ascii="Symbol" w:hAnsi="Symbol" w:hint="default"/>
      </w:rPr>
    </w:lvl>
    <w:lvl w:ilvl="7" w:tplc="2CC4E732">
      <w:start w:val="1"/>
      <w:numFmt w:val="bullet"/>
      <w:lvlText w:val="o"/>
      <w:lvlJc w:val="left"/>
      <w:pPr>
        <w:ind w:left="5760" w:hanging="360"/>
      </w:pPr>
      <w:rPr>
        <w:rFonts w:ascii="Courier New" w:hAnsi="Courier New" w:hint="default"/>
      </w:rPr>
    </w:lvl>
    <w:lvl w:ilvl="8" w:tplc="174E6392">
      <w:start w:val="1"/>
      <w:numFmt w:val="bullet"/>
      <w:lvlText w:val=""/>
      <w:lvlJc w:val="left"/>
      <w:pPr>
        <w:ind w:left="6480" w:hanging="360"/>
      </w:pPr>
      <w:rPr>
        <w:rFonts w:ascii="Wingdings" w:hAnsi="Wingdings" w:hint="default"/>
      </w:rPr>
    </w:lvl>
  </w:abstractNum>
  <w:abstractNum w:abstractNumId="1" w15:restartNumberingAfterBreak="0">
    <w:nsid w:val="343A41AD"/>
    <w:multiLevelType w:val="hybridMultilevel"/>
    <w:tmpl w:val="7EE48A50"/>
    <w:lvl w:ilvl="0" w:tplc="861A3312">
      <w:start w:val="1"/>
      <w:numFmt w:val="decimal"/>
      <w:lvlText w:val="%1."/>
      <w:lvlJc w:val="left"/>
      <w:pPr>
        <w:ind w:left="720" w:hanging="360"/>
      </w:pPr>
    </w:lvl>
    <w:lvl w:ilvl="1" w:tplc="946A1770">
      <w:start w:val="1"/>
      <w:numFmt w:val="lowerLetter"/>
      <w:lvlText w:val="%2."/>
      <w:lvlJc w:val="left"/>
      <w:pPr>
        <w:ind w:left="1440" w:hanging="360"/>
      </w:pPr>
    </w:lvl>
    <w:lvl w:ilvl="2" w:tplc="8BFE3794">
      <w:start w:val="1"/>
      <w:numFmt w:val="lowerRoman"/>
      <w:lvlText w:val="%3."/>
      <w:lvlJc w:val="right"/>
      <w:pPr>
        <w:ind w:left="2160" w:hanging="180"/>
      </w:pPr>
    </w:lvl>
    <w:lvl w:ilvl="3" w:tplc="B8D6921A">
      <w:start w:val="1"/>
      <w:numFmt w:val="decimal"/>
      <w:lvlText w:val="%4."/>
      <w:lvlJc w:val="left"/>
      <w:pPr>
        <w:ind w:left="2880" w:hanging="360"/>
      </w:pPr>
    </w:lvl>
    <w:lvl w:ilvl="4" w:tplc="53FEC48E">
      <w:start w:val="1"/>
      <w:numFmt w:val="lowerLetter"/>
      <w:lvlText w:val="%5."/>
      <w:lvlJc w:val="left"/>
      <w:pPr>
        <w:ind w:left="3600" w:hanging="360"/>
      </w:pPr>
    </w:lvl>
    <w:lvl w:ilvl="5" w:tplc="2392017C">
      <w:start w:val="1"/>
      <w:numFmt w:val="lowerRoman"/>
      <w:lvlText w:val="%6."/>
      <w:lvlJc w:val="right"/>
      <w:pPr>
        <w:ind w:left="4320" w:hanging="180"/>
      </w:pPr>
    </w:lvl>
    <w:lvl w:ilvl="6" w:tplc="3B42BE24">
      <w:start w:val="1"/>
      <w:numFmt w:val="decimal"/>
      <w:lvlText w:val="%7."/>
      <w:lvlJc w:val="left"/>
      <w:pPr>
        <w:ind w:left="5040" w:hanging="360"/>
      </w:pPr>
    </w:lvl>
    <w:lvl w:ilvl="7" w:tplc="EEA015E0">
      <w:start w:val="1"/>
      <w:numFmt w:val="lowerLetter"/>
      <w:lvlText w:val="%8."/>
      <w:lvlJc w:val="left"/>
      <w:pPr>
        <w:ind w:left="5760" w:hanging="360"/>
      </w:pPr>
    </w:lvl>
    <w:lvl w:ilvl="8" w:tplc="A1C8F870">
      <w:start w:val="1"/>
      <w:numFmt w:val="lowerRoman"/>
      <w:lvlText w:val="%9."/>
      <w:lvlJc w:val="right"/>
      <w:pPr>
        <w:ind w:left="6480" w:hanging="180"/>
      </w:pPr>
    </w:lvl>
  </w:abstractNum>
  <w:abstractNum w:abstractNumId="2" w15:restartNumberingAfterBreak="0">
    <w:nsid w:val="4D125F19"/>
    <w:multiLevelType w:val="hybridMultilevel"/>
    <w:tmpl w:val="0EC0170C"/>
    <w:lvl w:ilvl="0" w:tplc="809099E8">
      <w:start w:val="1"/>
      <w:numFmt w:val="bullet"/>
      <w:lvlText w:val="-"/>
      <w:lvlJc w:val="left"/>
      <w:pPr>
        <w:ind w:left="720" w:hanging="360"/>
      </w:pPr>
      <w:rPr>
        <w:rFonts w:ascii="Calibri" w:hAnsi="Calibri" w:hint="default"/>
      </w:rPr>
    </w:lvl>
    <w:lvl w:ilvl="1" w:tplc="067E7A1E">
      <w:start w:val="1"/>
      <w:numFmt w:val="bullet"/>
      <w:lvlText w:val="o"/>
      <w:lvlJc w:val="left"/>
      <w:pPr>
        <w:ind w:left="1440" w:hanging="360"/>
      </w:pPr>
      <w:rPr>
        <w:rFonts w:ascii="Courier New" w:hAnsi="Courier New" w:hint="default"/>
      </w:rPr>
    </w:lvl>
    <w:lvl w:ilvl="2" w:tplc="69CE92E2">
      <w:start w:val="1"/>
      <w:numFmt w:val="bullet"/>
      <w:lvlText w:val=""/>
      <w:lvlJc w:val="left"/>
      <w:pPr>
        <w:ind w:left="2160" w:hanging="360"/>
      </w:pPr>
      <w:rPr>
        <w:rFonts w:ascii="Wingdings" w:hAnsi="Wingdings" w:hint="default"/>
      </w:rPr>
    </w:lvl>
    <w:lvl w:ilvl="3" w:tplc="7780EE06">
      <w:start w:val="1"/>
      <w:numFmt w:val="bullet"/>
      <w:lvlText w:val=""/>
      <w:lvlJc w:val="left"/>
      <w:pPr>
        <w:ind w:left="2880" w:hanging="360"/>
      </w:pPr>
      <w:rPr>
        <w:rFonts w:ascii="Symbol" w:hAnsi="Symbol" w:hint="default"/>
      </w:rPr>
    </w:lvl>
    <w:lvl w:ilvl="4" w:tplc="1666B4C2">
      <w:start w:val="1"/>
      <w:numFmt w:val="bullet"/>
      <w:lvlText w:val="o"/>
      <w:lvlJc w:val="left"/>
      <w:pPr>
        <w:ind w:left="3600" w:hanging="360"/>
      </w:pPr>
      <w:rPr>
        <w:rFonts w:ascii="Courier New" w:hAnsi="Courier New" w:hint="default"/>
      </w:rPr>
    </w:lvl>
    <w:lvl w:ilvl="5" w:tplc="EA5EC63E">
      <w:start w:val="1"/>
      <w:numFmt w:val="bullet"/>
      <w:lvlText w:val=""/>
      <w:lvlJc w:val="left"/>
      <w:pPr>
        <w:ind w:left="4320" w:hanging="360"/>
      </w:pPr>
      <w:rPr>
        <w:rFonts w:ascii="Wingdings" w:hAnsi="Wingdings" w:hint="default"/>
      </w:rPr>
    </w:lvl>
    <w:lvl w:ilvl="6" w:tplc="B3044A96">
      <w:start w:val="1"/>
      <w:numFmt w:val="bullet"/>
      <w:lvlText w:val=""/>
      <w:lvlJc w:val="left"/>
      <w:pPr>
        <w:ind w:left="5040" w:hanging="360"/>
      </w:pPr>
      <w:rPr>
        <w:rFonts w:ascii="Symbol" w:hAnsi="Symbol" w:hint="default"/>
      </w:rPr>
    </w:lvl>
    <w:lvl w:ilvl="7" w:tplc="EA04346C">
      <w:start w:val="1"/>
      <w:numFmt w:val="bullet"/>
      <w:lvlText w:val="o"/>
      <w:lvlJc w:val="left"/>
      <w:pPr>
        <w:ind w:left="5760" w:hanging="360"/>
      </w:pPr>
      <w:rPr>
        <w:rFonts w:ascii="Courier New" w:hAnsi="Courier New" w:hint="default"/>
      </w:rPr>
    </w:lvl>
    <w:lvl w:ilvl="8" w:tplc="82F684C2">
      <w:start w:val="1"/>
      <w:numFmt w:val="bullet"/>
      <w:lvlText w:val=""/>
      <w:lvlJc w:val="left"/>
      <w:pPr>
        <w:ind w:left="6480" w:hanging="360"/>
      </w:pPr>
      <w:rPr>
        <w:rFonts w:ascii="Wingdings" w:hAnsi="Wingdings" w:hint="default"/>
      </w:rPr>
    </w:lvl>
  </w:abstractNum>
  <w:abstractNum w:abstractNumId="3" w15:restartNumberingAfterBreak="0">
    <w:nsid w:val="550C6B22"/>
    <w:multiLevelType w:val="hybridMultilevel"/>
    <w:tmpl w:val="AEC0A5DC"/>
    <w:lvl w:ilvl="0" w:tplc="9A149D84">
      <w:start w:val="1"/>
      <w:numFmt w:val="bullet"/>
      <w:lvlText w:val=""/>
      <w:lvlJc w:val="left"/>
      <w:pPr>
        <w:ind w:left="720" w:hanging="360"/>
      </w:pPr>
      <w:rPr>
        <w:rFonts w:ascii="Symbol" w:hAnsi="Symbol" w:hint="default"/>
      </w:rPr>
    </w:lvl>
    <w:lvl w:ilvl="1" w:tplc="74960820">
      <w:start w:val="1"/>
      <w:numFmt w:val="bullet"/>
      <w:lvlText w:val="o"/>
      <w:lvlJc w:val="left"/>
      <w:pPr>
        <w:ind w:left="1440" w:hanging="360"/>
      </w:pPr>
      <w:rPr>
        <w:rFonts w:ascii="Courier New" w:hAnsi="Courier New" w:hint="default"/>
      </w:rPr>
    </w:lvl>
    <w:lvl w:ilvl="2" w:tplc="06706A4C">
      <w:start w:val="1"/>
      <w:numFmt w:val="bullet"/>
      <w:lvlText w:val=""/>
      <w:lvlJc w:val="left"/>
      <w:pPr>
        <w:ind w:left="2160" w:hanging="360"/>
      </w:pPr>
      <w:rPr>
        <w:rFonts w:ascii="Wingdings" w:hAnsi="Wingdings" w:hint="default"/>
      </w:rPr>
    </w:lvl>
    <w:lvl w:ilvl="3" w:tplc="81145162">
      <w:start w:val="1"/>
      <w:numFmt w:val="bullet"/>
      <w:lvlText w:val=""/>
      <w:lvlJc w:val="left"/>
      <w:pPr>
        <w:ind w:left="2880" w:hanging="360"/>
      </w:pPr>
      <w:rPr>
        <w:rFonts w:ascii="Symbol" w:hAnsi="Symbol" w:hint="default"/>
      </w:rPr>
    </w:lvl>
    <w:lvl w:ilvl="4" w:tplc="6F28BED4">
      <w:start w:val="1"/>
      <w:numFmt w:val="bullet"/>
      <w:lvlText w:val="o"/>
      <w:lvlJc w:val="left"/>
      <w:pPr>
        <w:ind w:left="3600" w:hanging="360"/>
      </w:pPr>
      <w:rPr>
        <w:rFonts w:ascii="Courier New" w:hAnsi="Courier New" w:hint="default"/>
      </w:rPr>
    </w:lvl>
    <w:lvl w:ilvl="5" w:tplc="516054A4">
      <w:start w:val="1"/>
      <w:numFmt w:val="bullet"/>
      <w:lvlText w:val=""/>
      <w:lvlJc w:val="left"/>
      <w:pPr>
        <w:ind w:left="4320" w:hanging="360"/>
      </w:pPr>
      <w:rPr>
        <w:rFonts w:ascii="Wingdings" w:hAnsi="Wingdings" w:hint="default"/>
      </w:rPr>
    </w:lvl>
    <w:lvl w:ilvl="6" w:tplc="A9387CA0">
      <w:start w:val="1"/>
      <w:numFmt w:val="bullet"/>
      <w:lvlText w:val=""/>
      <w:lvlJc w:val="left"/>
      <w:pPr>
        <w:ind w:left="5040" w:hanging="360"/>
      </w:pPr>
      <w:rPr>
        <w:rFonts w:ascii="Symbol" w:hAnsi="Symbol" w:hint="default"/>
      </w:rPr>
    </w:lvl>
    <w:lvl w:ilvl="7" w:tplc="672A3152">
      <w:start w:val="1"/>
      <w:numFmt w:val="bullet"/>
      <w:lvlText w:val="o"/>
      <w:lvlJc w:val="left"/>
      <w:pPr>
        <w:ind w:left="5760" w:hanging="360"/>
      </w:pPr>
      <w:rPr>
        <w:rFonts w:ascii="Courier New" w:hAnsi="Courier New" w:hint="default"/>
      </w:rPr>
    </w:lvl>
    <w:lvl w:ilvl="8" w:tplc="98EE720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A25E"/>
    <w:rsid w:val="0002A25E"/>
    <w:rsid w:val="000D7FE1"/>
    <w:rsid w:val="001B4216"/>
    <w:rsid w:val="0070033D"/>
    <w:rsid w:val="00EF12A0"/>
    <w:rsid w:val="04E30961"/>
    <w:rsid w:val="04E69CD9"/>
    <w:rsid w:val="051FDBE5"/>
    <w:rsid w:val="066938C2"/>
    <w:rsid w:val="069275A3"/>
    <w:rsid w:val="096C2C1A"/>
    <w:rsid w:val="0B024027"/>
    <w:rsid w:val="0CDAE441"/>
    <w:rsid w:val="0CFEA17C"/>
    <w:rsid w:val="0F814212"/>
    <w:rsid w:val="1146D31D"/>
    <w:rsid w:val="14624B3D"/>
    <w:rsid w:val="1593933A"/>
    <w:rsid w:val="168C10F2"/>
    <w:rsid w:val="175E3E9F"/>
    <w:rsid w:val="1903A03D"/>
    <w:rsid w:val="19396308"/>
    <w:rsid w:val="193A8E1F"/>
    <w:rsid w:val="1940B0C4"/>
    <w:rsid w:val="1956816A"/>
    <w:rsid w:val="1A34A58D"/>
    <w:rsid w:val="1A67045D"/>
    <w:rsid w:val="1ADC8125"/>
    <w:rsid w:val="1B73EFAD"/>
    <w:rsid w:val="1BD075EE"/>
    <w:rsid w:val="1C785186"/>
    <w:rsid w:val="1D770A01"/>
    <w:rsid w:val="1F0816B0"/>
    <w:rsid w:val="223AF3D0"/>
    <w:rsid w:val="22B84836"/>
    <w:rsid w:val="248F62E2"/>
    <w:rsid w:val="2AB878C3"/>
    <w:rsid w:val="2B2465E8"/>
    <w:rsid w:val="2B80F383"/>
    <w:rsid w:val="2C325761"/>
    <w:rsid w:val="2FE336B5"/>
    <w:rsid w:val="306962C5"/>
    <w:rsid w:val="30A0B0A8"/>
    <w:rsid w:val="30F45731"/>
    <w:rsid w:val="316A2C99"/>
    <w:rsid w:val="33B99A62"/>
    <w:rsid w:val="3644C8C2"/>
    <w:rsid w:val="397F3081"/>
    <w:rsid w:val="3AECE0BF"/>
    <w:rsid w:val="43F662BA"/>
    <w:rsid w:val="457C101C"/>
    <w:rsid w:val="467AF6B3"/>
    <w:rsid w:val="48E6949B"/>
    <w:rsid w:val="48EE6FBC"/>
    <w:rsid w:val="4D9D4500"/>
    <w:rsid w:val="4E59BC4A"/>
    <w:rsid w:val="500BC271"/>
    <w:rsid w:val="51DA7079"/>
    <w:rsid w:val="54D72B6D"/>
    <w:rsid w:val="55D7511E"/>
    <w:rsid w:val="56F25629"/>
    <w:rsid w:val="574D1F01"/>
    <w:rsid w:val="5776884B"/>
    <w:rsid w:val="581EC1DC"/>
    <w:rsid w:val="59BA923D"/>
    <w:rsid w:val="61602FC3"/>
    <w:rsid w:val="61AC7BC5"/>
    <w:rsid w:val="62FC0024"/>
    <w:rsid w:val="6455694C"/>
    <w:rsid w:val="663040C8"/>
    <w:rsid w:val="667FECE8"/>
    <w:rsid w:val="6728841A"/>
    <w:rsid w:val="6834E5A6"/>
    <w:rsid w:val="68A0B34D"/>
    <w:rsid w:val="69D0B607"/>
    <w:rsid w:val="6AA9AF4C"/>
    <w:rsid w:val="6CDCFB20"/>
    <w:rsid w:val="6CE90BC7"/>
    <w:rsid w:val="6F7D42B9"/>
    <w:rsid w:val="6FC03058"/>
    <w:rsid w:val="7177A6B2"/>
    <w:rsid w:val="73E27197"/>
    <w:rsid w:val="757CC55D"/>
    <w:rsid w:val="77523AE0"/>
    <w:rsid w:val="784A71F8"/>
    <w:rsid w:val="793ECC63"/>
    <w:rsid w:val="79602232"/>
    <w:rsid w:val="7B3BD7FF"/>
    <w:rsid w:val="7E4F349F"/>
    <w:rsid w:val="7F2F712B"/>
    <w:rsid w:val="7FB705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4A11"/>
  <w15:docId w15:val="{7DCB6F9B-F4ED-445D-B20A-8B80FE77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useincare.org.nz/assets/Uploads/Documents/He-Purapura-Ora-he-Mara-Tipu-Vol_1-ShortFor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itlin@cpag.org.nz" TargetMode="External"/><Relationship Id="rId5" Type="http://schemas.openxmlformats.org/officeDocument/2006/relationships/styles" Target="styles.xml"/><Relationship Id="rId10" Type="http://schemas.openxmlformats.org/officeDocument/2006/relationships/hyperlink" Target="mailto:michaelobrien@xtra.co.nz"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DD4DDAAAAEA439446F31CB813A556" ma:contentTypeVersion="12" ma:contentTypeDescription="Create a new document." ma:contentTypeScope="" ma:versionID="3a046fdb3bc5ab0cb07797a03d0af1ed">
  <xsd:schema xmlns:xsd="http://www.w3.org/2001/XMLSchema" xmlns:xs="http://www.w3.org/2001/XMLSchema" xmlns:p="http://schemas.microsoft.com/office/2006/metadata/properties" xmlns:ns2="88719e9f-afdb-4be4-b5d4-c74b1d7e1746" xmlns:ns3="394c6527-4d5e-41ec-897d-9eef77429e01" targetNamespace="http://schemas.microsoft.com/office/2006/metadata/properties" ma:root="true" ma:fieldsID="195c239483e9026f713578c26a1e8e6c" ns2:_="" ns3:_="">
    <xsd:import namespace="88719e9f-afdb-4be4-b5d4-c74b1d7e1746"/>
    <xsd:import namespace="394c6527-4d5e-41ec-897d-9eef77429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9e9f-afdb-4be4-b5d4-c74b1d7e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6527-4d5e-41ec-897d-9eef77429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13E3-17DC-4F3B-B9FC-02DF32818B1F}">
  <ds:schemaRefs>
    <ds:schemaRef ds:uri="http://schemas.microsoft.com/sharepoint/v3/contenttype/forms"/>
  </ds:schemaRefs>
</ds:datastoreItem>
</file>

<file path=customXml/itemProps2.xml><?xml version="1.0" encoding="utf-8"?>
<ds:datastoreItem xmlns:ds="http://schemas.openxmlformats.org/officeDocument/2006/customXml" ds:itemID="{6122820B-EEE7-48DE-9CC1-FB03ECAA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9e9f-afdb-4be4-b5d4-c74b1d7e1746"/>
    <ds:schemaRef ds:uri="394c6527-4d5e-41ec-897d-9eef7742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2DC96-8AE2-4A5D-A15F-1A05AB4D6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O'Brien</dc:creator>
  <cp:lastModifiedBy>Carmelite Muller</cp:lastModifiedBy>
  <cp:revision>2</cp:revision>
  <dcterms:created xsi:type="dcterms:W3CDTF">2022-02-08T12:32:00Z</dcterms:created>
  <dcterms:modified xsi:type="dcterms:W3CDTF">2022-02-08T12:32:00Z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0x010100C8ADD4DDAAAAEA439446F31CB813A556</vt:lpwstr>
  </property>
</Properties>
</file>