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D1B26" w14:textId="77777777" w:rsidR="00E72FA3" w:rsidRPr="00D572ED" w:rsidRDefault="00E72FA3" w:rsidP="00E72FA3">
      <w:pPr>
        <w:rPr>
          <w:sz w:val="24"/>
          <w:szCs w:val="24"/>
          <w:lang w:val="en-US"/>
        </w:rPr>
      </w:pPr>
      <w:r>
        <w:rPr>
          <w:noProof/>
        </w:rPr>
        <w:drawing>
          <wp:anchor distT="0" distB="0" distL="114300" distR="114300" simplePos="0" relativeHeight="251698687" behindDoc="0" locked="0" layoutInCell="1" allowOverlap="1" wp14:anchorId="1A3B13A7" wp14:editId="676DB55F">
            <wp:simplePos x="0" y="0"/>
            <wp:positionH relativeFrom="margin">
              <wp:align>right</wp:align>
            </wp:positionH>
            <wp:positionV relativeFrom="paragraph">
              <wp:posOffset>136525</wp:posOffset>
            </wp:positionV>
            <wp:extent cx="2934970" cy="650875"/>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4970" cy="650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711" behindDoc="0" locked="0" layoutInCell="1" allowOverlap="1" wp14:anchorId="76D3F731" wp14:editId="3CBF1267">
            <wp:simplePos x="0" y="0"/>
            <wp:positionH relativeFrom="margin">
              <wp:align>left</wp:align>
            </wp:positionH>
            <wp:positionV relativeFrom="paragraph">
              <wp:posOffset>-33655</wp:posOffset>
            </wp:positionV>
            <wp:extent cx="1804946" cy="1351721"/>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946" cy="13517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77399" w14:textId="77777777" w:rsidR="00E72FA3" w:rsidRDefault="00E72FA3" w:rsidP="00E72FA3">
      <w:pPr>
        <w:rPr>
          <w:sz w:val="24"/>
          <w:szCs w:val="24"/>
          <w:lang w:val="en-US"/>
        </w:rPr>
      </w:pPr>
      <w:r>
        <w:rPr>
          <w:sz w:val="24"/>
          <w:szCs w:val="24"/>
          <w:lang w:val="en-US"/>
        </w:rPr>
        <w:t xml:space="preserve">                             </w:t>
      </w:r>
    </w:p>
    <w:p w14:paraId="015A728D" w14:textId="77777777" w:rsidR="00E72FA3" w:rsidRDefault="00E72FA3" w:rsidP="00E72FA3">
      <w:pPr>
        <w:pStyle w:val="Heading1"/>
        <w:jc w:val="center"/>
        <w:rPr>
          <w:lang w:val="en-US"/>
        </w:rPr>
      </w:pPr>
    </w:p>
    <w:p w14:paraId="05E94706" w14:textId="77777777" w:rsidR="00E72FA3" w:rsidRDefault="00E72FA3" w:rsidP="00E72FA3">
      <w:pPr>
        <w:pStyle w:val="Heading1"/>
        <w:jc w:val="center"/>
        <w:rPr>
          <w:sz w:val="44"/>
          <w:szCs w:val="44"/>
          <w:lang w:val="en-US"/>
        </w:rPr>
      </w:pPr>
    </w:p>
    <w:p w14:paraId="61565357" w14:textId="46829C36" w:rsidR="00E72FA3" w:rsidRPr="00E72FA3" w:rsidRDefault="00271AF2" w:rsidP="00E72FA3">
      <w:pPr>
        <w:pStyle w:val="Heading1"/>
        <w:jc w:val="center"/>
        <w:rPr>
          <w:color w:val="000000" w:themeColor="text1"/>
          <w:sz w:val="36"/>
          <w:szCs w:val="36"/>
          <w:lang w:val="en-US"/>
        </w:rPr>
      </w:pPr>
      <w:r>
        <w:rPr>
          <w:color w:val="000000" w:themeColor="text1"/>
          <w:sz w:val="36"/>
          <w:szCs w:val="36"/>
          <w:lang w:val="en-US"/>
        </w:rPr>
        <w:t xml:space="preserve">2020 </w:t>
      </w:r>
      <w:r w:rsidR="00E72FA3" w:rsidRPr="00E72FA3">
        <w:rPr>
          <w:color w:val="000000" w:themeColor="text1"/>
          <w:sz w:val="36"/>
          <w:szCs w:val="36"/>
          <w:lang w:val="en-US"/>
        </w:rPr>
        <w:t xml:space="preserve">Briefing to the Incoming Minister: </w:t>
      </w:r>
    </w:p>
    <w:p w14:paraId="47C81717" w14:textId="77777777" w:rsidR="00E72FA3" w:rsidRPr="00E72FA3" w:rsidRDefault="00E72FA3" w:rsidP="00E72FA3">
      <w:pPr>
        <w:pStyle w:val="Heading1"/>
        <w:spacing w:before="0"/>
        <w:jc w:val="center"/>
        <w:rPr>
          <w:b/>
          <w:bCs/>
          <w:color w:val="000000" w:themeColor="text1"/>
          <w:sz w:val="36"/>
          <w:szCs w:val="36"/>
          <w:lang w:val="en-US"/>
        </w:rPr>
      </w:pPr>
      <w:r w:rsidRPr="00E72FA3">
        <w:rPr>
          <w:b/>
          <w:bCs/>
          <w:color w:val="000000" w:themeColor="text1"/>
          <w:sz w:val="36"/>
          <w:szCs w:val="36"/>
          <w:lang w:val="en-US"/>
        </w:rPr>
        <w:t>Income Support</w:t>
      </w:r>
    </w:p>
    <w:p w14:paraId="622A9B47" w14:textId="77777777" w:rsidR="00E72FA3" w:rsidRPr="00271AF2" w:rsidRDefault="00E72FA3" w:rsidP="00E72FA3">
      <w:pPr>
        <w:pStyle w:val="Heading1"/>
        <w:jc w:val="center"/>
        <w:rPr>
          <w:b/>
          <w:bCs/>
          <w:color w:val="000000" w:themeColor="text1"/>
          <w:sz w:val="12"/>
          <w:szCs w:val="12"/>
          <w:lang w:val="en-US"/>
        </w:rPr>
      </w:pPr>
    </w:p>
    <w:p w14:paraId="1793EF67" w14:textId="29DB91E1" w:rsidR="00E72FA3" w:rsidRPr="00E72FA3" w:rsidRDefault="00E72FA3" w:rsidP="00E72FA3">
      <w:pPr>
        <w:pStyle w:val="Heading1"/>
        <w:ind w:left="1440" w:hanging="1440"/>
        <w:rPr>
          <w:color w:val="000000" w:themeColor="text1"/>
          <w:lang w:val="en-US"/>
        </w:rPr>
      </w:pPr>
      <w:r w:rsidRPr="00E72FA3">
        <w:rPr>
          <w:color w:val="000000" w:themeColor="text1"/>
          <w:lang w:val="en-US"/>
        </w:rPr>
        <w:t>To:</w:t>
      </w:r>
      <w:r w:rsidRPr="00E72FA3">
        <w:rPr>
          <w:b/>
          <w:bCs/>
          <w:color w:val="000000" w:themeColor="text1"/>
          <w:lang w:val="en-US"/>
        </w:rPr>
        <w:t xml:space="preserve"> </w:t>
      </w:r>
      <w:r w:rsidRPr="00E72FA3">
        <w:rPr>
          <w:b/>
          <w:bCs/>
          <w:color w:val="538135" w:themeColor="accent6" w:themeShade="BF"/>
          <w:lang w:val="en-US"/>
        </w:rPr>
        <w:tab/>
        <w:t xml:space="preserve">Hon. Carmel </w:t>
      </w:r>
      <w:proofErr w:type="spellStart"/>
      <w:r w:rsidRPr="00E72FA3">
        <w:rPr>
          <w:b/>
          <w:bCs/>
          <w:color w:val="538135" w:themeColor="accent6" w:themeShade="BF"/>
          <w:lang w:val="en-US"/>
        </w:rPr>
        <w:t>Sepuloni</w:t>
      </w:r>
      <w:proofErr w:type="spellEnd"/>
      <w:r w:rsidRPr="00E72FA3">
        <w:rPr>
          <w:color w:val="538135" w:themeColor="accent6" w:themeShade="BF"/>
          <w:lang w:val="en-US"/>
        </w:rPr>
        <w:t xml:space="preserve"> </w:t>
      </w:r>
      <w:r w:rsidRPr="00E72FA3">
        <w:rPr>
          <w:b/>
          <w:bCs/>
          <w:color w:val="000000" w:themeColor="text1"/>
          <w:lang w:val="en-US"/>
        </w:rPr>
        <w:br/>
      </w:r>
      <w:r w:rsidRPr="00E72FA3">
        <w:rPr>
          <w:color w:val="000000" w:themeColor="text1"/>
          <w:sz w:val="28"/>
          <w:szCs w:val="28"/>
          <w:lang w:val="en-US"/>
        </w:rPr>
        <w:t xml:space="preserve">Minister </w:t>
      </w:r>
      <w:r w:rsidR="00CA6C98">
        <w:rPr>
          <w:color w:val="000000" w:themeColor="text1"/>
          <w:sz w:val="28"/>
          <w:szCs w:val="28"/>
          <w:lang w:val="en-US"/>
        </w:rPr>
        <w:t>of</w:t>
      </w:r>
      <w:r w:rsidRPr="00E72FA3">
        <w:rPr>
          <w:color w:val="000000" w:themeColor="text1"/>
          <w:sz w:val="28"/>
          <w:szCs w:val="28"/>
          <w:lang w:val="en-US"/>
        </w:rPr>
        <w:t xml:space="preserve"> Social Development &amp; Employment </w:t>
      </w:r>
      <w:r w:rsidR="00074323">
        <w:rPr>
          <w:color w:val="000000" w:themeColor="text1"/>
          <w:sz w:val="28"/>
          <w:szCs w:val="28"/>
          <w:lang w:val="en-US"/>
        </w:rPr>
        <w:br/>
      </w:r>
      <w:r w:rsidRPr="00E72FA3">
        <w:rPr>
          <w:color w:val="000000" w:themeColor="text1"/>
          <w:sz w:val="28"/>
          <w:szCs w:val="28"/>
          <w:lang w:val="en-US"/>
        </w:rPr>
        <w:t>Minister for Disability Issues</w:t>
      </w:r>
    </w:p>
    <w:p w14:paraId="2D71BF57" w14:textId="77777777" w:rsidR="00E72FA3" w:rsidRPr="00A90ADA" w:rsidRDefault="00E72FA3" w:rsidP="00E72FA3">
      <w:pPr>
        <w:spacing w:after="0"/>
        <w:ind w:left="720" w:hanging="11"/>
        <w:rPr>
          <w:lang w:val="en-US"/>
        </w:rPr>
      </w:pPr>
      <w:r>
        <w:rPr>
          <w:noProof/>
          <w:lang w:val="en-US"/>
        </w:rPr>
        <mc:AlternateContent>
          <mc:Choice Requires="wps">
            <w:drawing>
              <wp:anchor distT="0" distB="0" distL="114300" distR="114300" simplePos="0" relativeHeight="251700735" behindDoc="0" locked="0" layoutInCell="1" allowOverlap="1" wp14:anchorId="0931E026" wp14:editId="5970C667">
                <wp:simplePos x="0" y="0"/>
                <wp:positionH relativeFrom="column">
                  <wp:posOffset>159027</wp:posOffset>
                </wp:positionH>
                <wp:positionV relativeFrom="paragraph">
                  <wp:posOffset>124239</wp:posOffset>
                </wp:positionV>
                <wp:extent cx="468492" cy="461176"/>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468492" cy="461176"/>
                        </a:xfrm>
                        <a:prstGeom prst="rect">
                          <a:avLst/>
                        </a:prstGeom>
                        <a:solidFill>
                          <a:schemeClr val="lt1"/>
                        </a:solidFill>
                        <a:ln w="6350">
                          <a:noFill/>
                        </a:ln>
                      </wps:spPr>
                      <wps:txbx>
                        <w:txbxContent>
                          <w:p w14:paraId="31D8B038" w14:textId="77777777" w:rsidR="001A2EA4" w:rsidRPr="00CF6CC5" w:rsidRDefault="001A2EA4" w:rsidP="00E72FA3">
                            <w:r w:rsidRPr="00CF6CC5">
                              <w:rPr>
                                <w:lang w:val="en-US"/>
                              </w:rPr>
                              <w:t>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1E026" id="_x0000_t202" coordsize="21600,21600" o:spt="202" path="m,l,21600r21600,l21600,xe">
                <v:stroke joinstyle="miter"/>
                <v:path gradientshapeok="t" o:connecttype="rect"/>
              </v:shapetype>
              <v:shape id="Text Box 8" o:spid="_x0000_s1026" type="#_x0000_t202" style="position:absolute;left:0;text-align:left;margin-left:12.5pt;margin-top:9.8pt;width:36.9pt;height:36.3pt;z-index:251700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" fillcolor="white [3201]" stroked="f" strokeweight=".5pt">
                <v:textbox>
                  <w:txbxContent>
                    <w:p w14:paraId="31D8B038" w14:textId="77777777" w:rsidR="001A2EA4" w:rsidRPr="00CF6CC5" w:rsidRDefault="001A2EA4" w:rsidP="00E72FA3">
                      <w:r w:rsidRPr="00CF6CC5">
                        <w:rPr>
                          <w:lang w:val="en-US"/>
                        </w:rPr>
                        <w:t>Cc:</w:t>
                      </w:r>
                    </w:p>
                  </w:txbxContent>
                </v:textbox>
              </v:shape>
            </w:pict>
          </mc:Fallback>
        </mc:AlternateContent>
      </w:r>
      <w:r>
        <w:rPr>
          <w:sz w:val="24"/>
          <w:szCs w:val="24"/>
          <w:lang w:val="en-US"/>
        </w:rPr>
        <w:tab/>
      </w:r>
    </w:p>
    <w:p w14:paraId="7FC628D8" w14:textId="77777777" w:rsidR="00E72FA3" w:rsidRPr="00074323" w:rsidRDefault="00E72FA3" w:rsidP="00CA6C98">
      <w:pPr>
        <w:pStyle w:val="ListParagraph"/>
        <w:numPr>
          <w:ilvl w:val="0"/>
          <w:numId w:val="13"/>
        </w:numPr>
        <w:spacing w:after="0"/>
        <w:ind w:left="993" w:hanging="357"/>
        <w:rPr>
          <w:color w:val="000000" w:themeColor="text1"/>
          <w:lang w:val="en-US"/>
        </w:rPr>
      </w:pPr>
      <w:r w:rsidRPr="00074323">
        <w:rPr>
          <w:color w:val="000000" w:themeColor="text1"/>
          <w:lang w:val="en-US"/>
        </w:rPr>
        <w:t>Jacinda Ardern, Minister for Child Poverty Reduction</w:t>
      </w:r>
    </w:p>
    <w:p w14:paraId="7019E82B" w14:textId="77777777" w:rsidR="00E72FA3" w:rsidRPr="00074323" w:rsidRDefault="00E72FA3" w:rsidP="00CA6C98">
      <w:pPr>
        <w:pStyle w:val="ListParagraph"/>
        <w:numPr>
          <w:ilvl w:val="0"/>
          <w:numId w:val="13"/>
        </w:numPr>
        <w:spacing w:after="0"/>
        <w:ind w:left="993"/>
        <w:rPr>
          <w:rFonts w:ascii="Calibri" w:eastAsia="Times New Roman" w:hAnsi="Calibri" w:cs="Calibri"/>
          <w:color w:val="000000" w:themeColor="text1"/>
          <w:lang w:eastAsia="en-NZ"/>
        </w:rPr>
      </w:pPr>
      <w:proofErr w:type="spellStart"/>
      <w:r w:rsidRPr="00074323">
        <w:rPr>
          <w:rFonts w:ascii="Calibri" w:eastAsia="Times New Roman" w:hAnsi="Calibri" w:cs="Calibri"/>
          <w:color w:val="000000" w:themeColor="text1"/>
          <w:lang w:eastAsia="en-NZ"/>
        </w:rPr>
        <w:t>Priyanca</w:t>
      </w:r>
      <w:proofErr w:type="spellEnd"/>
      <w:r w:rsidRPr="00074323">
        <w:rPr>
          <w:rFonts w:ascii="Calibri" w:eastAsia="Times New Roman" w:hAnsi="Calibri" w:cs="Calibri"/>
          <w:color w:val="000000" w:themeColor="text1"/>
          <w:lang w:eastAsia="en-NZ"/>
        </w:rPr>
        <w:t xml:space="preserve"> Radhakrishnan, Associate Minister for Social Development &amp; Employment; Minister for Youth</w:t>
      </w:r>
    </w:p>
    <w:p w14:paraId="162D5EA5" w14:textId="77777777" w:rsidR="00CA6C98" w:rsidRPr="00074323" w:rsidRDefault="00CA6C98" w:rsidP="00CA6C98">
      <w:pPr>
        <w:pStyle w:val="ListParagraph"/>
        <w:numPr>
          <w:ilvl w:val="0"/>
          <w:numId w:val="13"/>
        </w:numPr>
        <w:ind w:left="993"/>
        <w:rPr>
          <w:rFonts w:ascii="Calibri" w:eastAsia="Times New Roman" w:hAnsi="Calibri" w:cs="Calibri"/>
          <w:color w:val="000000" w:themeColor="text1"/>
          <w:lang w:eastAsia="en-NZ"/>
        </w:rPr>
      </w:pPr>
      <w:r>
        <w:rPr>
          <w:rFonts w:ascii="Calibri" w:eastAsia="Times New Roman" w:hAnsi="Calibri" w:cs="Calibri"/>
          <w:color w:val="000000" w:themeColor="text1"/>
          <w:lang w:eastAsia="en-NZ"/>
        </w:rPr>
        <w:t>Andrew Little, Minister of Health</w:t>
      </w:r>
    </w:p>
    <w:p w14:paraId="2CECA3A5" w14:textId="77777777" w:rsidR="00E72FA3" w:rsidRPr="00074323" w:rsidRDefault="00E72FA3" w:rsidP="00CA6C98">
      <w:pPr>
        <w:pStyle w:val="ListParagraph"/>
        <w:numPr>
          <w:ilvl w:val="0"/>
          <w:numId w:val="13"/>
        </w:numPr>
        <w:spacing w:after="0"/>
        <w:ind w:left="993"/>
        <w:rPr>
          <w:rFonts w:ascii="Calibri" w:eastAsia="Times New Roman" w:hAnsi="Calibri" w:cs="Calibri"/>
          <w:color w:val="000000" w:themeColor="text1"/>
          <w:lang w:eastAsia="en-NZ"/>
        </w:rPr>
      </w:pPr>
      <w:r w:rsidRPr="00074323">
        <w:rPr>
          <w:rFonts w:ascii="Calibri" w:eastAsia="Times New Roman" w:hAnsi="Calibri" w:cs="Calibri"/>
          <w:color w:val="000000" w:themeColor="text1"/>
          <w:lang w:eastAsia="en-NZ"/>
        </w:rPr>
        <w:t>Kelvin Davis, Minister for Children</w:t>
      </w:r>
    </w:p>
    <w:p w14:paraId="0D4ECBAF" w14:textId="77777777" w:rsidR="00E72FA3" w:rsidRPr="00074323" w:rsidRDefault="00E72FA3" w:rsidP="00CA6C98">
      <w:pPr>
        <w:pStyle w:val="ListParagraph"/>
        <w:numPr>
          <w:ilvl w:val="0"/>
          <w:numId w:val="13"/>
        </w:numPr>
        <w:spacing w:after="0"/>
        <w:ind w:left="993"/>
        <w:rPr>
          <w:rFonts w:ascii="Calibri" w:eastAsia="Times New Roman" w:hAnsi="Calibri" w:cs="Calibri"/>
          <w:color w:val="000000" w:themeColor="text1"/>
          <w:lang w:eastAsia="en-NZ"/>
        </w:rPr>
      </w:pPr>
      <w:r w:rsidRPr="00074323">
        <w:rPr>
          <w:rFonts w:ascii="Calibri" w:eastAsia="Times New Roman" w:hAnsi="Calibri" w:cs="Calibri"/>
          <w:color w:val="000000" w:themeColor="text1"/>
          <w:lang w:eastAsia="en-NZ"/>
        </w:rPr>
        <w:t>Willie Jackson, Minister of Māori Development</w:t>
      </w:r>
    </w:p>
    <w:p w14:paraId="22E8AAC7" w14:textId="6AEBDBAC" w:rsidR="00E72FA3" w:rsidRDefault="00E72FA3" w:rsidP="00CA6C98">
      <w:pPr>
        <w:pStyle w:val="ListParagraph"/>
        <w:numPr>
          <w:ilvl w:val="0"/>
          <w:numId w:val="13"/>
        </w:numPr>
        <w:spacing w:after="0"/>
        <w:ind w:left="993"/>
        <w:rPr>
          <w:rFonts w:ascii="Calibri" w:eastAsia="Times New Roman" w:hAnsi="Calibri" w:cs="Calibri"/>
          <w:color w:val="000000" w:themeColor="text1"/>
          <w:lang w:eastAsia="en-NZ"/>
        </w:rPr>
      </w:pPr>
      <w:proofErr w:type="spellStart"/>
      <w:r w:rsidRPr="00074323">
        <w:rPr>
          <w:rFonts w:ascii="Calibri" w:eastAsia="Times New Roman" w:hAnsi="Calibri" w:cs="Calibri"/>
          <w:color w:val="000000" w:themeColor="text1"/>
          <w:lang w:eastAsia="en-NZ"/>
        </w:rPr>
        <w:t>Aupito</w:t>
      </w:r>
      <w:proofErr w:type="spellEnd"/>
      <w:r w:rsidRPr="00074323">
        <w:rPr>
          <w:rFonts w:ascii="Calibri" w:eastAsia="Times New Roman" w:hAnsi="Calibri" w:cs="Calibri"/>
          <w:color w:val="000000" w:themeColor="text1"/>
          <w:lang w:eastAsia="en-NZ"/>
        </w:rPr>
        <w:t xml:space="preserve"> William </w:t>
      </w:r>
      <w:proofErr w:type="spellStart"/>
      <w:r w:rsidRPr="00074323">
        <w:rPr>
          <w:rFonts w:ascii="Calibri" w:eastAsia="Times New Roman" w:hAnsi="Calibri" w:cs="Calibri"/>
          <w:color w:val="000000" w:themeColor="text1"/>
          <w:lang w:eastAsia="en-NZ"/>
        </w:rPr>
        <w:t>Sio</w:t>
      </w:r>
      <w:proofErr w:type="spellEnd"/>
      <w:r w:rsidRPr="00074323">
        <w:rPr>
          <w:rFonts w:ascii="Calibri" w:eastAsia="Times New Roman" w:hAnsi="Calibri" w:cs="Calibri"/>
          <w:color w:val="000000" w:themeColor="text1"/>
          <w:lang w:eastAsia="en-NZ"/>
        </w:rPr>
        <w:t>, Minister for Pacific Peoples</w:t>
      </w:r>
      <w:r w:rsidR="00CA6C98">
        <w:rPr>
          <w:rFonts w:ascii="Calibri" w:eastAsia="Times New Roman" w:hAnsi="Calibri" w:cs="Calibri"/>
          <w:color w:val="000000" w:themeColor="text1"/>
          <w:lang w:eastAsia="en-NZ"/>
        </w:rPr>
        <w:t>; Assoc Minister, Health (Pacific Peoples)</w:t>
      </w:r>
    </w:p>
    <w:p w14:paraId="09AE51DB" w14:textId="3BCF58A6" w:rsidR="00CA6C98" w:rsidRPr="00074323" w:rsidRDefault="00CA6C98" w:rsidP="00CA6C98">
      <w:pPr>
        <w:pStyle w:val="ListParagraph"/>
        <w:numPr>
          <w:ilvl w:val="0"/>
          <w:numId w:val="13"/>
        </w:numPr>
        <w:spacing w:after="0"/>
        <w:ind w:left="993"/>
        <w:rPr>
          <w:rFonts w:ascii="Calibri" w:eastAsia="Times New Roman" w:hAnsi="Calibri" w:cs="Calibri"/>
          <w:color w:val="000000" w:themeColor="text1"/>
          <w:lang w:eastAsia="en-NZ"/>
        </w:rPr>
      </w:pPr>
      <w:proofErr w:type="spellStart"/>
      <w:r>
        <w:rPr>
          <w:rFonts w:ascii="Calibri" w:eastAsia="Times New Roman" w:hAnsi="Calibri" w:cs="Calibri"/>
          <w:color w:val="000000" w:themeColor="text1"/>
          <w:lang w:eastAsia="en-NZ"/>
        </w:rPr>
        <w:t>Peeni</w:t>
      </w:r>
      <w:proofErr w:type="spellEnd"/>
      <w:r>
        <w:rPr>
          <w:rFonts w:ascii="Calibri" w:eastAsia="Times New Roman" w:hAnsi="Calibri" w:cs="Calibri"/>
          <w:color w:val="000000" w:themeColor="text1"/>
          <w:lang w:eastAsia="en-NZ"/>
        </w:rPr>
        <w:t xml:space="preserve"> Henare, Associate Minister of Health (Māori Health) </w:t>
      </w:r>
    </w:p>
    <w:p w14:paraId="52EC6298" w14:textId="174BFFF8" w:rsidR="00E72FA3" w:rsidRDefault="00E72FA3" w:rsidP="00CA6C98">
      <w:pPr>
        <w:pStyle w:val="ListParagraph"/>
        <w:numPr>
          <w:ilvl w:val="0"/>
          <w:numId w:val="13"/>
        </w:numPr>
        <w:ind w:left="993"/>
        <w:rPr>
          <w:rFonts w:ascii="Calibri" w:eastAsia="Times New Roman" w:hAnsi="Calibri" w:cs="Calibri"/>
          <w:color w:val="000000" w:themeColor="text1"/>
          <w:lang w:eastAsia="en-NZ"/>
        </w:rPr>
      </w:pPr>
      <w:r w:rsidRPr="00074323">
        <w:rPr>
          <w:rFonts w:ascii="Calibri" w:eastAsia="Times New Roman" w:hAnsi="Calibri" w:cs="Calibri"/>
          <w:color w:val="000000" w:themeColor="text1"/>
          <w:lang w:eastAsia="en-NZ"/>
        </w:rPr>
        <w:t>Jan Tinetti, Minister for Women</w:t>
      </w:r>
    </w:p>
    <w:p w14:paraId="518F33F0" w14:textId="77777777" w:rsidR="00E72FA3" w:rsidRDefault="00E72FA3" w:rsidP="00E72FA3">
      <w:pPr>
        <w:spacing w:after="0"/>
        <w:rPr>
          <w:lang w:val="en-US"/>
        </w:rPr>
      </w:pPr>
    </w:p>
    <w:p w14:paraId="7DC86C67" w14:textId="77777777" w:rsidR="00E72FA3" w:rsidRDefault="00E72FA3" w:rsidP="00E72FA3">
      <w:pPr>
        <w:spacing w:after="0"/>
        <w:rPr>
          <w:lang w:val="en-US"/>
        </w:rPr>
      </w:pPr>
    </w:p>
    <w:p w14:paraId="4D4D6DF6" w14:textId="77777777" w:rsidR="00E72FA3" w:rsidRPr="00EF30D2" w:rsidRDefault="00E72FA3" w:rsidP="00E72FA3">
      <w:pPr>
        <w:rPr>
          <w:b/>
          <w:bCs/>
          <w:lang w:val="en-US"/>
        </w:rPr>
      </w:pPr>
      <w:r w:rsidRPr="00EF30D2">
        <w:rPr>
          <w:b/>
          <w:bCs/>
          <w:lang w:val="en-US"/>
        </w:rPr>
        <w:t xml:space="preserve">The vision of Child Poverty Action Group is </w:t>
      </w:r>
    </w:p>
    <w:p w14:paraId="01BF2FEA" w14:textId="1C7641BF" w:rsidR="00E72FA3" w:rsidRDefault="00E72FA3" w:rsidP="00E72FA3">
      <w:pPr>
        <w:rPr>
          <w:color w:val="538135" w:themeColor="accent6" w:themeShade="BF"/>
          <w:lang w:val="en-US"/>
        </w:rPr>
      </w:pPr>
      <w:r w:rsidRPr="00250BF4">
        <w:rPr>
          <w:color w:val="538135" w:themeColor="accent6" w:themeShade="BF"/>
          <w:sz w:val="36"/>
          <w:szCs w:val="36"/>
          <w:lang w:val="en-US"/>
        </w:rPr>
        <w:t>An Aotearoa where all children flourish free from poverty</w:t>
      </w:r>
      <w:r>
        <w:rPr>
          <w:color w:val="538135" w:themeColor="accent6" w:themeShade="BF"/>
          <w:sz w:val="36"/>
          <w:szCs w:val="36"/>
          <w:lang w:val="en-US"/>
        </w:rPr>
        <w:t>.</w:t>
      </w:r>
      <w:r w:rsidRPr="00250BF4">
        <w:rPr>
          <w:color w:val="538135" w:themeColor="accent6" w:themeShade="BF"/>
          <w:lang w:val="en-US"/>
        </w:rPr>
        <w:br/>
      </w:r>
    </w:p>
    <w:p w14:paraId="1E9DC414" w14:textId="474FD840" w:rsidR="00E72FA3" w:rsidRPr="00EF30D2" w:rsidRDefault="00E72FA3" w:rsidP="00E72FA3">
      <w:pPr>
        <w:rPr>
          <w:b/>
          <w:bCs/>
          <w:sz w:val="28"/>
          <w:szCs w:val="28"/>
          <w:lang w:val="en-US"/>
        </w:rPr>
      </w:pPr>
      <w:r w:rsidRPr="00EF30D2">
        <w:rPr>
          <w:b/>
          <w:bCs/>
          <w:sz w:val="28"/>
          <w:szCs w:val="28"/>
          <w:lang w:val="en-US"/>
        </w:rPr>
        <w:t>About Child Poverty Action Group</w:t>
      </w:r>
    </w:p>
    <w:p w14:paraId="14AE4279" w14:textId="677828D9" w:rsidR="00EF30D2" w:rsidRPr="00250BF4" w:rsidRDefault="00E72FA3" w:rsidP="00EF30D2">
      <w:pPr>
        <w:spacing w:after="60"/>
        <w:rPr>
          <w:sz w:val="24"/>
          <w:szCs w:val="24"/>
          <w:lang w:val="en-US"/>
        </w:rPr>
      </w:pPr>
      <w:r w:rsidRPr="00250BF4">
        <w:rPr>
          <w:sz w:val="24"/>
          <w:szCs w:val="24"/>
          <w:lang w:val="en-US"/>
        </w:rPr>
        <w:t xml:space="preserve">Child Poverty Action Group (CPAG) is an independent, registered charity founded in 1994 which works to eliminate child poverty in New Zealand through research, education and advocacy. </w:t>
      </w:r>
      <w:r>
        <w:rPr>
          <w:sz w:val="24"/>
          <w:szCs w:val="24"/>
          <w:lang w:val="en-US"/>
        </w:rPr>
        <w:t xml:space="preserve"> </w:t>
      </w:r>
      <w:r w:rsidR="00EF30D2" w:rsidRPr="00250BF4">
        <w:rPr>
          <w:sz w:val="24"/>
          <w:szCs w:val="24"/>
          <w:lang w:val="en-US"/>
        </w:rPr>
        <w:t xml:space="preserve">We envisage an Aotearoa where our society shows respect, generosity and care for </w:t>
      </w:r>
      <w:r w:rsidR="00EF30D2" w:rsidRPr="00250BF4">
        <w:rPr>
          <w:i/>
          <w:iCs/>
          <w:sz w:val="24"/>
          <w:szCs w:val="24"/>
          <w:lang w:val="en-US"/>
        </w:rPr>
        <w:t>all</w:t>
      </w:r>
      <w:r w:rsidR="00EF30D2" w:rsidRPr="00250BF4">
        <w:rPr>
          <w:sz w:val="24"/>
          <w:szCs w:val="24"/>
          <w:lang w:val="en-US"/>
        </w:rPr>
        <w:t xml:space="preserve"> children.</w:t>
      </w:r>
    </w:p>
    <w:p w14:paraId="580CA4CD" w14:textId="77777777" w:rsidR="00E72FA3" w:rsidRPr="00250BF4" w:rsidRDefault="00E72FA3" w:rsidP="00E72FA3">
      <w:pPr>
        <w:spacing w:after="60"/>
        <w:rPr>
          <w:sz w:val="24"/>
          <w:szCs w:val="24"/>
          <w:lang w:val="en-US"/>
        </w:rPr>
      </w:pPr>
      <w:r w:rsidRPr="00250BF4">
        <w:rPr>
          <w:sz w:val="24"/>
          <w:szCs w:val="24"/>
          <w:lang w:val="en-US"/>
        </w:rPr>
        <w:t xml:space="preserve">We focus on eliminating poverty for </w:t>
      </w:r>
      <w:r w:rsidRPr="00250BF4">
        <w:rPr>
          <w:i/>
          <w:iCs/>
          <w:sz w:val="24"/>
          <w:szCs w:val="24"/>
          <w:lang w:val="en-US"/>
        </w:rPr>
        <w:t>children</w:t>
      </w:r>
      <w:r w:rsidRPr="00250BF4">
        <w:rPr>
          <w:sz w:val="24"/>
          <w:szCs w:val="24"/>
          <w:lang w:val="en-US"/>
        </w:rPr>
        <w:t xml:space="preserve"> because:</w:t>
      </w:r>
    </w:p>
    <w:p w14:paraId="781B36CB" w14:textId="03EA347F" w:rsidR="00E72FA3" w:rsidRPr="00250BF4" w:rsidRDefault="00E72FA3" w:rsidP="00E72FA3">
      <w:pPr>
        <w:pStyle w:val="ListParagraph"/>
        <w:numPr>
          <w:ilvl w:val="0"/>
          <w:numId w:val="8"/>
        </w:numPr>
        <w:rPr>
          <w:sz w:val="24"/>
          <w:szCs w:val="24"/>
          <w:lang w:val="en-US"/>
        </w:rPr>
      </w:pPr>
      <w:r w:rsidRPr="00250BF4">
        <w:rPr>
          <w:b/>
          <w:bCs/>
          <w:sz w:val="24"/>
          <w:szCs w:val="24"/>
          <w:lang w:val="en-US"/>
        </w:rPr>
        <w:t>Overall effects of poverty are worse for children</w:t>
      </w:r>
      <w:r w:rsidRPr="00250BF4">
        <w:rPr>
          <w:sz w:val="24"/>
          <w:szCs w:val="24"/>
          <w:lang w:val="en-US"/>
        </w:rPr>
        <w:t xml:space="preserve">: Child development is adversely affected by poverty, </w:t>
      </w:r>
      <w:r>
        <w:rPr>
          <w:sz w:val="24"/>
          <w:szCs w:val="24"/>
          <w:lang w:val="en-US"/>
        </w:rPr>
        <w:t xml:space="preserve">&amp; </w:t>
      </w:r>
      <w:r w:rsidRPr="00250BF4">
        <w:rPr>
          <w:sz w:val="24"/>
          <w:szCs w:val="24"/>
          <w:lang w:val="en-US"/>
        </w:rPr>
        <w:t>can lead to detrimental effects for an entire life.</w:t>
      </w:r>
      <w:r>
        <w:rPr>
          <w:sz w:val="24"/>
          <w:szCs w:val="24"/>
          <w:lang w:val="en-US"/>
        </w:rPr>
        <w:t xml:space="preserve"> (</w:t>
      </w:r>
      <w:hyperlink w:anchor="_Appendix_1:_The" w:history="1">
        <w:r w:rsidRPr="00B3689B">
          <w:rPr>
            <w:rStyle w:val="Hyperlink"/>
            <w:sz w:val="24"/>
            <w:szCs w:val="24"/>
            <w:lang w:val="en-US"/>
          </w:rPr>
          <w:t>Appendix 1</w:t>
        </w:r>
      </w:hyperlink>
      <w:r>
        <w:rPr>
          <w:sz w:val="24"/>
          <w:szCs w:val="24"/>
          <w:lang w:val="en-US"/>
        </w:rPr>
        <w:t>)</w:t>
      </w:r>
    </w:p>
    <w:p w14:paraId="66675FE6" w14:textId="1B5F7B2A" w:rsidR="00E72FA3" w:rsidRDefault="00E72FA3" w:rsidP="00E72FA3">
      <w:pPr>
        <w:pStyle w:val="ListParagraph"/>
        <w:numPr>
          <w:ilvl w:val="0"/>
          <w:numId w:val="8"/>
        </w:numPr>
        <w:rPr>
          <w:sz w:val="24"/>
          <w:szCs w:val="24"/>
          <w:lang w:val="en-US"/>
        </w:rPr>
      </w:pPr>
      <w:r w:rsidRPr="00250BF4">
        <w:rPr>
          <w:b/>
          <w:bCs/>
          <w:sz w:val="24"/>
          <w:szCs w:val="24"/>
          <w:lang w:val="en-US"/>
        </w:rPr>
        <w:t xml:space="preserve">Children are more likely to experience poverty: </w:t>
      </w:r>
      <w:r w:rsidRPr="00250BF4">
        <w:rPr>
          <w:sz w:val="24"/>
          <w:szCs w:val="24"/>
          <w:lang w:val="en-US"/>
        </w:rPr>
        <w:t>Children are over-represented among those in deprived households</w:t>
      </w:r>
      <w:r>
        <w:rPr>
          <w:sz w:val="24"/>
          <w:szCs w:val="24"/>
          <w:lang w:val="en-US"/>
        </w:rPr>
        <w:t xml:space="preserve"> (</w:t>
      </w:r>
      <w:hyperlink w:anchor="_Appendix_2:_Children" w:history="1">
        <w:r w:rsidRPr="00B3689B">
          <w:rPr>
            <w:rStyle w:val="Hyperlink"/>
            <w:sz w:val="24"/>
            <w:szCs w:val="24"/>
            <w:lang w:val="en-US"/>
          </w:rPr>
          <w:t>Appendix 2</w:t>
        </w:r>
      </w:hyperlink>
      <w:r>
        <w:rPr>
          <w:sz w:val="24"/>
          <w:szCs w:val="24"/>
          <w:lang w:val="en-US"/>
        </w:rPr>
        <w:t>)</w:t>
      </w:r>
    </w:p>
    <w:p w14:paraId="2E805F7E" w14:textId="369DFFB4" w:rsidR="00E72FA3" w:rsidRPr="00E72FA3" w:rsidRDefault="00E72FA3" w:rsidP="00E72FA3">
      <w:pPr>
        <w:pStyle w:val="ListParagraph"/>
        <w:numPr>
          <w:ilvl w:val="0"/>
          <w:numId w:val="8"/>
        </w:numPr>
        <w:rPr>
          <w:sz w:val="24"/>
          <w:szCs w:val="24"/>
          <w:lang w:val="en-US"/>
        </w:rPr>
      </w:pPr>
      <w:r w:rsidRPr="00E72FA3">
        <w:rPr>
          <w:b/>
          <w:bCs/>
          <w:sz w:val="24"/>
          <w:szCs w:val="24"/>
          <w:lang w:val="en-US"/>
        </w:rPr>
        <w:t xml:space="preserve">Children don’t get a say: </w:t>
      </w:r>
      <w:r w:rsidRPr="00E72FA3">
        <w:rPr>
          <w:sz w:val="24"/>
          <w:szCs w:val="24"/>
          <w:lang w:val="en-US"/>
        </w:rPr>
        <w:t>Decisions affecting children are made without their input; democracy involves only adults.</w:t>
      </w:r>
      <w:r w:rsidRPr="00E72FA3">
        <w:rPr>
          <w:color w:val="538135" w:themeColor="accent6" w:themeShade="BF"/>
          <w:sz w:val="24"/>
          <w:szCs w:val="24"/>
          <w:lang w:val="en-US"/>
        </w:rPr>
        <w:br w:type="page"/>
      </w:r>
    </w:p>
    <w:p w14:paraId="35ABE338" w14:textId="77777777" w:rsidR="00E72FA3" w:rsidRPr="00250BF4" w:rsidRDefault="00E72FA3" w:rsidP="00E72FA3">
      <w:pPr>
        <w:rPr>
          <w:color w:val="538135" w:themeColor="accent6" w:themeShade="BF"/>
          <w:lang w:val="en-US"/>
        </w:rPr>
      </w:pPr>
    </w:p>
    <w:p w14:paraId="0DDC388C" w14:textId="77777777" w:rsidR="00E72FA3" w:rsidRPr="00271AF2" w:rsidRDefault="00E72FA3" w:rsidP="00E72FA3">
      <w:pPr>
        <w:rPr>
          <w:color w:val="538135" w:themeColor="accent6" w:themeShade="BF"/>
          <w:sz w:val="32"/>
          <w:szCs w:val="32"/>
          <w:lang w:val="en-US"/>
        </w:rPr>
      </w:pPr>
      <w:proofErr w:type="spellStart"/>
      <w:r w:rsidRPr="00271AF2">
        <w:rPr>
          <w:color w:val="538135" w:themeColor="accent6" w:themeShade="BF"/>
          <w:sz w:val="32"/>
          <w:szCs w:val="32"/>
          <w:lang w:val="en-US"/>
        </w:rPr>
        <w:t>Tēnā</w:t>
      </w:r>
      <w:proofErr w:type="spellEnd"/>
      <w:r w:rsidRPr="00271AF2">
        <w:rPr>
          <w:color w:val="538135" w:themeColor="accent6" w:themeShade="BF"/>
          <w:sz w:val="32"/>
          <w:szCs w:val="32"/>
          <w:lang w:val="en-US"/>
        </w:rPr>
        <w:t xml:space="preserve"> </w:t>
      </w:r>
      <w:proofErr w:type="spellStart"/>
      <w:r w:rsidRPr="00271AF2">
        <w:rPr>
          <w:color w:val="538135" w:themeColor="accent6" w:themeShade="BF"/>
          <w:sz w:val="32"/>
          <w:szCs w:val="32"/>
          <w:lang w:val="en-US"/>
        </w:rPr>
        <w:t>koe</w:t>
      </w:r>
      <w:proofErr w:type="spellEnd"/>
      <w:r w:rsidRPr="00271AF2">
        <w:rPr>
          <w:color w:val="538135" w:themeColor="accent6" w:themeShade="BF"/>
          <w:sz w:val="32"/>
          <w:szCs w:val="32"/>
          <w:lang w:val="en-US"/>
        </w:rPr>
        <w:t xml:space="preserve"> Minister </w:t>
      </w:r>
      <w:proofErr w:type="spellStart"/>
      <w:r w:rsidRPr="00271AF2">
        <w:rPr>
          <w:color w:val="538135" w:themeColor="accent6" w:themeShade="BF"/>
          <w:sz w:val="32"/>
          <w:szCs w:val="32"/>
          <w:lang w:val="en-US"/>
        </w:rPr>
        <w:t>Sepuloni</w:t>
      </w:r>
      <w:proofErr w:type="spellEnd"/>
      <w:r w:rsidRPr="00271AF2">
        <w:rPr>
          <w:color w:val="538135" w:themeColor="accent6" w:themeShade="BF"/>
          <w:sz w:val="32"/>
          <w:szCs w:val="32"/>
          <w:lang w:val="en-US"/>
        </w:rPr>
        <w:t>,</w:t>
      </w:r>
    </w:p>
    <w:p w14:paraId="5472092E" w14:textId="77777777" w:rsidR="00E72FA3" w:rsidRPr="00250BF4" w:rsidRDefault="00E72FA3" w:rsidP="00E72FA3">
      <w:pPr>
        <w:rPr>
          <w:sz w:val="24"/>
          <w:szCs w:val="24"/>
          <w:lang w:val="en-US"/>
        </w:rPr>
      </w:pPr>
      <w:r w:rsidRPr="00250BF4">
        <w:rPr>
          <w:sz w:val="24"/>
          <w:szCs w:val="24"/>
          <w:lang w:val="en-US"/>
        </w:rPr>
        <w:t xml:space="preserve">Congratulations on your reappointment </w:t>
      </w:r>
      <w:r>
        <w:rPr>
          <w:sz w:val="24"/>
          <w:szCs w:val="24"/>
          <w:lang w:val="en-US"/>
        </w:rPr>
        <w:t xml:space="preserve">to the </w:t>
      </w:r>
      <w:r w:rsidRPr="00250BF4">
        <w:rPr>
          <w:sz w:val="24"/>
          <w:szCs w:val="24"/>
          <w:lang w:val="en-US"/>
        </w:rPr>
        <w:t xml:space="preserve">important </w:t>
      </w:r>
      <w:r>
        <w:rPr>
          <w:sz w:val="24"/>
          <w:szCs w:val="24"/>
          <w:lang w:val="en-US"/>
        </w:rPr>
        <w:t xml:space="preserve">ministerial </w:t>
      </w:r>
      <w:r w:rsidRPr="00250BF4">
        <w:rPr>
          <w:sz w:val="24"/>
          <w:szCs w:val="24"/>
          <w:lang w:val="en-US"/>
        </w:rPr>
        <w:t>por</w:t>
      </w:r>
      <w:r>
        <w:rPr>
          <w:sz w:val="24"/>
          <w:szCs w:val="24"/>
          <w:lang w:val="en-US"/>
        </w:rPr>
        <w:t>t</w:t>
      </w:r>
      <w:r w:rsidRPr="00250BF4">
        <w:rPr>
          <w:sz w:val="24"/>
          <w:szCs w:val="24"/>
          <w:lang w:val="en-US"/>
        </w:rPr>
        <w:t>folios</w:t>
      </w:r>
      <w:r>
        <w:rPr>
          <w:sz w:val="24"/>
          <w:szCs w:val="24"/>
          <w:lang w:val="en-US"/>
        </w:rPr>
        <w:t xml:space="preserve"> of social development &amp; employment, and disability issues</w:t>
      </w:r>
      <w:r w:rsidRPr="00250BF4">
        <w:rPr>
          <w:sz w:val="24"/>
          <w:szCs w:val="24"/>
          <w:lang w:val="en-US"/>
        </w:rPr>
        <w:t>.</w:t>
      </w:r>
    </w:p>
    <w:p w14:paraId="35D71E00" w14:textId="77777777" w:rsidR="00E72FA3" w:rsidRPr="00250BF4" w:rsidRDefault="00E72FA3" w:rsidP="00E72FA3">
      <w:pPr>
        <w:spacing w:after="120"/>
        <w:rPr>
          <w:sz w:val="24"/>
          <w:szCs w:val="24"/>
          <w:lang w:val="en-US"/>
        </w:rPr>
      </w:pPr>
      <w:r>
        <w:rPr>
          <w:sz w:val="24"/>
          <w:szCs w:val="24"/>
          <w:lang w:val="en-US"/>
        </w:rPr>
        <w:t xml:space="preserve">Through these </w:t>
      </w:r>
      <w:r w:rsidRPr="00250BF4">
        <w:rPr>
          <w:sz w:val="24"/>
          <w:szCs w:val="24"/>
          <w:lang w:val="en-US"/>
        </w:rPr>
        <w:t xml:space="preserve">responsibilities, you have a key leadership role to play in freeing children from the burden of poverty and ensuring Aotearoa New Zealand is a good place to be a child. </w:t>
      </w:r>
    </w:p>
    <w:p w14:paraId="18A6BC3F" w14:textId="77777777" w:rsidR="00E72FA3" w:rsidRDefault="00E72FA3" w:rsidP="00E72FA3">
      <w:pPr>
        <w:spacing w:after="120"/>
        <w:rPr>
          <w:sz w:val="24"/>
          <w:szCs w:val="24"/>
          <w:lang w:val="en-US"/>
        </w:rPr>
      </w:pPr>
      <w:r w:rsidRPr="00250BF4">
        <w:rPr>
          <w:sz w:val="24"/>
          <w:szCs w:val="24"/>
          <w:lang w:val="en-US"/>
        </w:rPr>
        <w:t xml:space="preserve">In this briefing, we offer evidence-based recommendations for you and your team, indicating which policies and approaches in your portfolio will be the most effective and efficient in assisting in the reduction of child poverty in this term of government, </w:t>
      </w:r>
      <w:r>
        <w:rPr>
          <w:sz w:val="24"/>
          <w:szCs w:val="24"/>
          <w:lang w:val="en-US"/>
        </w:rPr>
        <w:t xml:space="preserve">in the difficult policy environment of </w:t>
      </w:r>
      <w:r w:rsidRPr="00250BF4">
        <w:rPr>
          <w:sz w:val="24"/>
          <w:szCs w:val="24"/>
          <w:lang w:val="en-US"/>
        </w:rPr>
        <w:t xml:space="preserve">the ongoing economic fallout and uncertainty of COVID-19. </w:t>
      </w:r>
    </w:p>
    <w:p w14:paraId="4F9072FC" w14:textId="77777777" w:rsidR="00E72FA3" w:rsidRDefault="00E72FA3" w:rsidP="00E72FA3">
      <w:pPr>
        <w:spacing w:before="120" w:after="0"/>
        <w:rPr>
          <w:sz w:val="24"/>
          <w:szCs w:val="24"/>
          <w:lang w:val="en-US"/>
        </w:rPr>
      </w:pPr>
      <w:r>
        <w:rPr>
          <w:sz w:val="24"/>
          <w:szCs w:val="24"/>
          <w:lang w:val="en-US"/>
        </w:rPr>
        <w:t>We hope you find them useful, and would be very happy to meet with your and/or your staff to discuss any of the points in further detail.</w:t>
      </w:r>
    </w:p>
    <w:p w14:paraId="73980CEE" w14:textId="77777777" w:rsidR="00E72FA3" w:rsidRDefault="00E72FA3" w:rsidP="00E72FA3">
      <w:pPr>
        <w:spacing w:before="120" w:after="0"/>
        <w:rPr>
          <w:sz w:val="24"/>
          <w:szCs w:val="24"/>
          <w:lang w:val="en-US"/>
        </w:rPr>
      </w:pPr>
      <w:proofErr w:type="spellStart"/>
      <w:r>
        <w:rPr>
          <w:sz w:val="24"/>
          <w:szCs w:val="24"/>
          <w:lang w:val="en-US"/>
        </w:rPr>
        <w:t>Nā</w:t>
      </w:r>
      <w:proofErr w:type="spellEnd"/>
      <w:r>
        <w:rPr>
          <w:sz w:val="24"/>
          <w:szCs w:val="24"/>
          <w:lang w:val="en-US"/>
        </w:rPr>
        <w:t xml:space="preserve"> </w:t>
      </w:r>
      <w:proofErr w:type="spellStart"/>
      <w:r>
        <w:rPr>
          <w:sz w:val="24"/>
          <w:szCs w:val="24"/>
          <w:lang w:val="en-US"/>
        </w:rPr>
        <w:t>mātou</w:t>
      </w:r>
      <w:proofErr w:type="spellEnd"/>
      <w:r>
        <w:rPr>
          <w:sz w:val="24"/>
          <w:szCs w:val="24"/>
          <w:lang w:val="en-US"/>
        </w:rPr>
        <w:t xml:space="preserve"> noa, </w:t>
      </w:r>
      <w:proofErr w:type="spellStart"/>
      <w:r>
        <w:rPr>
          <w:sz w:val="24"/>
          <w:szCs w:val="24"/>
          <w:lang w:val="en-US"/>
        </w:rPr>
        <w:t>nā</w:t>
      </w:r>
      <w:proofErr w:type="spellEnd"/>
    </w:p>
    <w:p w14:paraId="2B34E911" w14:textId="6C5ADEB4" w:rsidR="00E72FA3" w:rsidRPr="005808B1" w:rsidRDefault="00E72FA3" w:rsidP="00E72FA3">
      <w:pPr>
        <w:spacing w:before="120" w:after="0"/>
        <w:rPr>
          <w:color w:val="538135" w:themeColor="accent6" w:themeShade="BF"/>
          <w:sz w:val="28"/>
          <w:szCs w:val="28"/>
          <w:lang w:val="en-US"/>
        </w:rPr>
      </w:pPr>
      <w:r w:rsidRPr="005808B1">
        <w:rPr>
          <w:color w:val="538135" w:themeColor="accent6" w:themeShade="BF"/>
          <w:sz w:val="28"/>
          <w:szCs w:val="28"/>
          <w:lang w:val="en-US"/>
        </w:rPr>
        <w:t>Child Poverty Action Group</w:t>
      </w:r>
      <w:r w:rsidR="00271AF2">
        <w:rPr>
          <w:color w:val="538135" w:themeColor="accent6" w:themeShade="BF"/>
          <w:sz w:val="28"/>
          <w:szCs w:val="28"/>
          <w:lang w:val="en-US"/>
        </w:rPr>
        <w:br/>
      </w:r>
      <w:r w:rsidR="00271AF2" w:rsidRPr="00271AF2">
        <w:rPr>
          <w:color w:val="538135" w:themeColor="accent6" w:themeShade="BF"/>
          <w:sz w:val="24"/>
          <w:szCs w:val="24"/>
          <w:lang w:val="en-US"/>
        </w:rPr>
        <w:t>www.cpag.org.nz</w:t>
      </w:r>
    </w:p>
    <w:p w14:paraId="27DE0C84" w14:textId="77777777" w:rsidR="00E72FA3" w:rsidRPr="00250BF4" w:rsidRDefault="00E72FA3" w:rsidP="00E72FA3">
      <w:pPr>
        <w:rPr>
          <w:b/>
          <w:bCs/>
          <w:sz w:val="24"/>
          <w:szCs w:val="24"/>
          <w:lang w:val="en-US"/>
        </w:rPr>
      </w:pPr>
    </w:p>
    <w:p w14:paraId="319B905C" w14:textId="1E69DBC7" w:rsidR="00EF30D2" w:rsidRDefault="00EF30D2" w:rsidP="00EF30D2">
      <w:pPr>
        <w:pStyle w:val="Heading1"/>
        <w:rPr>
          <w:b/>
          <w:bCs/>
          <w:color w:val="538135" w:themeColor="accent6" w:themeShade="BF"/>
          <w:lang w:val="en-US"/>
        </w:rPr>
      </w:pPr>
      <w:r>
        <w:rPr>
          <w:b/>
          <w:bCs/>
          <w:color w:val="538135" w:themeColor="accent6" w:themeShade="BF"/>
          <w:lang w:val="en-US"/>
        </w:rPr>
        <w:t>Current context</w:t>
      </w:r>
      <w:r w:rsidR="00271AF2">
        <w:rPr>
          <w:b/>
          <w:bCs/>
          <w:color w:val="538135" w:themeColor="accent6" w:themeShade="BF"/>
          <w:lang w:val="en-US"/>
        </w:rPr>
        <w:t xml:space="preserve"> – December 2020</w:t>
      </w:r>
    </w:p>
    <w:p w14:paraId="501AA983" w14:textId="0AA3B532" w:rsidR="00473FAB" w:rsidRPr="00473FAB" w:rsidRDefault="00EF30D2" w:rsidP="00473FAB">
      <w:pPr>
        <w:pStyle w:val="ListParagraph"/>
        <w:numPr>
          <w:ilvl w:val="0"/>
          <w:numId w:val="27"/>
        </w:numPr>
        <w:spacing w:after="120"/>
        <w:ind w:left="714" w:hanging="357"/>
        <w:contextualSpacing w:val="0"/>
        <w:rPr>
          <w:sz w:val="24"/>
          <w:szCs w:val="24"/>
          <w:lang w:val="en-US"/>
        </w:rPr>
      </w:pPr>
      <w:r w:rsidRPr="00473FAB">
        <w:rPr>
          <w:sz w:val="24"/>
          <w:szCs w:val="24"/>
          <w:lang w:val="en-US"/>
        </w:rPr>
        <w:t>Since COVID-19 hit, rates of child poverty will have increased (estimates: ~ 30%</w:t>
      </w:r>
      <w:r w:rsidR="008B0F57" w:rsidRPr="00473FAB">
        <w:rPr>
          <w:sz w:val="24"/>
          <w:szCs w:val="24"/>
          <w:lang w:val="en-US"/>
        </w:rPr>
        <w:t xml:space="preserve"> for AHC income poverty</w:t>
      </w:r>
      <w:r w:rsidRPr="00473FAB">
        <w:rPr>
          <w:sz w:val="24"/>
          <w:szCs w:val="24"/>
          <w:lang w:val="en-US"/>
        </w:rPr>
        <w:t>)</w:t>
      </w:r>
      <w:r w:rsidR="008B0F57" w:rsidRPr="00473FAB">
        <w:rPr>
          <w:sz w:val="24"/>
          <w:szCs w:val="24"/>
          <w:lang w:val="en-US"/>
        </w:rPr>
        <w:t>, while</w:t>
      </w:r>
      <w:r w:rsidRPr="00473FAB">
        <w:rPr>
          <w:sz w:val="24"/>
          <w:szCs w:val="24"/>
          <w:lang w:val="en-US"/>
        </w:rPr>
        <w:t xml:space="preserve"> many who were already in poverty are in increasingly dire and desperate situations (for example youth homelessness)</w:t>
      </w:r>
      <w:r w:rsidR="00473FAB" w:rsidRPr="00473FAB">
        <w:rPr>
          <w:sz w:val="24"/>
          <w:szCs w:val="24"/>
          <w:lang w:val="en-US"/>
        </w:rPr>
        <w:t xml:space="preserve">. </w:t>
      </w:r>
      <w:r w:rsidR="00473FAB" w:rsidRPr="00473FAB">
        <w:rPr>
          <w:sz w:val="24"/>
          <w:szCs w:val="24"/>
        </w:rPr>
        <w:t xml:space="preserve">Details and evidence in </w:t>
      </w:r>
      <w:hyperlink w:anchor="_Appendix_3:_Since" w:history="1">
        <w:r w:rsidR="00473FAB" w:rsidRPr="00473FAB">
          <w:rPr>
            <w:rStyle w:val="Hyperlink"/>
            <w:sz w:val="24"/>
            <w:szCs w:val="24"/>
          </w:rPr>
          <w:t>Appendix 3</w:t>
        </w:r>
      </w:hyperlink>
      <w:r w:rsidR="00473FAB" w:rsidRPr="00473FAB">
        <w:rPr>
          <w:rStyle w:val="Hyperlink"/>
          <w:sz w:val="24"/>
          <w:szCs w:val="24"/>
        </w:rPr>
        <w:t>.</w:t>
      </w:r>
    </w:p>
    <w:p w14:paraId="0530F489" w14:textId="77777777" w:rsidR="0095168B" w:rsidRPr="0095168B" w:rsidRDefault="00EF30D2" w:rsidP="0095168B">
      <w:pPr>
        <w:pStyle w:val="ListParagraph"/>
        <w:numPr>
          <w:ilvl w:val="0"/>
          <w:numId w:val="27"/>
        </w:numPr>
        <w:ind w:left="714" w:hanging="357"/>
        <w:contextualSpacing w:val="0"/>
        <w:rPr>
          <w:rStyle w:val="Hyperlink"/>
          <w:color w:val="auto"/>
          <w:sz w:val="24"/>
          <w:szCs w:val="24"/>
          <w:u w:val="none"/>
          <w:lang w:val="en-US"/>
        </w:rPr>
      </w:pPr>
      <w:r w:rsidRPr="00473FAB">
        <w:rPr>
          <w:sz w:val="24"/>
          <w:szCs w:val="24"/>
          <w:lang w:val="en-US"/>
        </w:rPr>
        <w:t>Income support is woefully inadequate, despite 2018-2020 increases.</w:t>
      </w:r>
      <w:r w:rsidR="00473FAB" w:rsidRPr="00473FAB">
        <w:rPr>
          <w:sz w:val="24"/>
          <w:szCs w:val="24"/>
          <w:lang w:val="en-US"/>
        </w:rPr>
        <w:t xml:space="preserve"> (</w:t>
      </w:r>
      <w:hyperlink w:anchor="_Appendix_3:_Since" w:history="1">
        <w:r w:rsidR="00473FAB" w:rsidRPr="00473FAB">
          <w:rPr>
            <w:rStyle w:val="Hyperlink"/>
            <w:sz w:val="24"/>
            <w:szCs w:val="24"/>
          </w:rPr>
          <w:t>Appendix 3</w:t>
        </w:r>
      </w:hyperlink>
      <w:r w:rsidR="00473FAB" w:rsidRPr="00473FAB">
        <w:rPr>
          <w:rStyle w:val="Hyperlink"/>
          <w:sz w:val="24"/>
          <w:szCs w:val="24"/>
        </w:rPr>
        <w:t>)</w:t>
      </w:r>
    </w:p>
    <w:p w14:paraId="26BDD9BC" w14:textId="2EE148CA" w:rsidR="0095168B" w:rsidRPr="0095168B" w:rsidRDefault="0044408D" w:rsidP="0095168B">
      <w:pPr>
        <w:pStyle w:val="ListParagraph"/>
        <w:numPr>
          <w:ilvl w:val="0"/>
          <w:numId w:val="27"/>
        </w:numPr>
        <w:ind w:left="714" w:hanging="357"/>
        <w:contextualSpacing w:val="0"/>
        <w:rPr>
          <w:sz w:val="24"/>
          <w:szCs w:val="24"/>
          <w:lang w:val="en-US"/>
        </w:rPr>
      </w:pPr>
      <w:r w:rsidRPr="0095168B">
        <w:rPr>
          <w:color w:val="000000" w:themeColor="text1"/>
          <w:sz w:val="24"/>
          <w:szCs w:val="24"/>
        </w:rPr>
        <w:t xml:space="preserve">The Waitangi Tribunal </w:t>
      </w:r>
      <w:r w:rsidR="0095168B" w:rsidRPr="0095168B">
        <w:rPr>
          <w:color w:val="000000" w:themeColor="text1"/>
          <w:sz w:val="24"/>
          <w:szCs w:val="24"/>
        </w:rPr>
        <w:t>(</w:t>
      </w:r>
      <w:hyperlink r:id="rId10" w:history="1">
        <w:r w:rsidR="0095168B" w:rsidRPr="00305BFA">
          <w:rPr>
            <w:rStyle w:val="Hyperlink"/>
            <w:sz w:val="24"/>
            <w:szCs w:val="24"/>
          </w:rPr>
          <w:t>2019</w:t>
        </w:r>
      </w:hyperlink>
      <w:r w:rsidR="0095168B" w:rsidRPr="0095168B">
        <w:rPr>
          <w:color w:val="000000" w:themeColor="text1"/>
          <w:sz w:val="24"/>
          <w:szCs w:val="24"/>
        </w:rPr>
        <w:t xml:space="preserve">) recommends </w:t>
      </w:r>
      <w:r w:rsidRPr="0095168B">
        <w:rPr>
          <w:sz w:val="24"/>
          <w:szCs w:val="24"/>
        </w:rPr>
        <w:t>the Crown commit itself to achiev</w:t>
      </w:r>
      <w:r w:rsidR="0095168B" w:rsidRPr="0095168B">
        <w:rPr>
          <w:sz w:val="24"/>
          <w:szCs w:val="24"/>
        </w:rPr>
        <w:t>ing</w:t>
      </w:r>
      <w:r w:rsidRPr="0095168B">
        <w:rPr>
          <w:sz w:val="24"/>
          <w:szCs w:val="24"/>
        </w:rPr>
        <w:t xml:space="preserve"> equitable health outcomes for Māori</w:t>
      </w:r>
      <w:r w:rsidR="0095168B">
        <w:rPr>
          <w:sz w:val="24"/>
          <w:szCs w:val="24"/>
        </w:rPr>
        <w:t>.</w:t>
      </w:r>
      <w:r w:rsidR="0095168B" w:rsidRPr="0095168B">
        <w:rPr>
          <w:sz w:val="24"/>
          <w:szCs w:val="24"/>
        </w:rPr>
        <w:t xml:space="preserve"> </w:t>
      </w:r>
      <w:r w:rsidR="0095168B">
        <w:rPr>
          <w:sz w:val="24"/>
          <w:szCs w:val="24"/>
        </w:rPr>
        <w:t>I</w:t>
      </w:r>
      <w:r w:rsidR="0095168B" w:rsidRPr="0095168B">
        <w:rPr>
          <w:sz w:val="24"/>
          <w:szCs w:val="24"/>
        </w:rPr>
        <w:t>ncome is widely recognised as a</w:t>
      </w:r>
      <w:r w:rsidR="0095168B">
        <w:rPr>
          <w:sz w:val="24"/>
          <w:szCs w:val="24"/>
        </w:rPr>
        <w:t>n important</w:t>
      </w:r>
      <w:r w:rsidR="0095168B" w:rsidRPr="0095168B">
        <w:rPr>
          <w:sz w:val="24"/>
          <w:szCs w:val="24"/>
        </w:rPr>
        <w:t xml:space="preserve"> social determinant of health, particularly for children</w:t>
      </w:r>
      <w:r w:rsidR="0095168B">
        <w:t xml:space="preserve"> </w:t>
      </w:r>
      <w:r w:rsidR="0095168B" w:rsidRPr="0095168B">
        <w:rPr>
          <w:sz w:val="24"/>
          <w:szCs w:val="24"/>
          <w:lang w:val="en-US"/>
        </w:rPr>
        <w:t>(</w:t>
      </w:r>
      <w:hyperlink w:anchor="_Appendix_1:_The" w:history="1">
        <w:r w:rsidR="0095168B" w:rsidRPr="0095168B">
          <w:rPr>
            <w:rStyle w:val="Hyperlink"/>
            <w:sz w:val="24"/>
            <w:szCs w:val="24"/>
            <w:lang w:val="en-US"/>
          </w:rPr>
          <w:t>Appendix 1</w:t>
        </w:r>
      </w:hyperlink>
      <w:r w:rsidR="0095168B" w:rsidRPr="0095168B">
        <w:rPr>
          <w:sz w:val="24"/>
          <w:szCs w:val="24"/>
          <w:lang w:val="en-US"/>
        </w:rPr>
        <w:t>)</w:t>
      </w:r>
      <w:r w:rsidR="0095168B">
        <w:rPr>
          <w:sz w:val="24"/>
          <w:szCs w:val="24"/>
          <w:lang w:val="en-US"/>
        </w:rPr>
        <w:t xml:space="preserve">, and currently </w:t>
      </w:r>
      <w:proofErr w:type="spellStart"/>
      <w:r w:rsidR="0095168B">
        <w:rPr>
          <w:sz w:val="24"/>
          <w:szCs w:val="24"/>
          <w:lang w:val="en-US"/>
        </w:rPr>
        <w:t>tamariki</w:t>
      </w:r>
      <w:proofErr w:type="spellEnd"/>
      <w:r w:rsidR="0095168B">
        <w:rPr>
          <w:sz w:val="24"/>
          <w:szCs w:val="24"/>
          <w:lang w:val="en-US"/>
        </w:rPr>
        <w:t xml:space="preserve"> Māori experience high levels of poverty </w:t>
      </w:r>
      <w:r w:rsidR="0095168B">
        <w:rPr>
          <w:sz w:val="24"/>
          <w:szCs w:val="24"/>
          <w:lang w:val="en-US"/>
        </w:rPr>
        <w:t>(</w:t>
      </w:r>
      <w:hyperlink w:anchor="_Appendix_2:_Children" w:history="1">
        <w:r w:rsidR="0095168B" w:rsidRPr="00B3689B">
          <w:rPr>
            <w:rStyle w:val="Hyperlink"/>
            <w:sz w:val="24"/>
            <w:szCs w:val="24"/>
            <w:lang w:val="en-US"/>
          </w:rPr>
          <w:t>Appendix 2</w:t>
        </w:r>
      </w:hyperlink>
      <w:r w:rsidR="0095168B">
        <w:rPr>
          <w:sz w:val="24"/>
          <w:szCs w:val="24"/>
          <w:lang w:val="en-US"/>
        </w:rPr>
        <w:t>)</w:t>
      </w:r>
      <w:r w:rsidR="0095168B">
        <w:t xml:space="preserve">. </w:t>
      </w:r>
    </w:p>
    <w:p w14:paraId="7333B699" w14:textId="7C7A054E" w:rsidR="00E72FA3" w:rsidRPr="0095168B" w:rsidRDefault="00473FAB" w:rsidP="0095168B">
      <w:pPr>
        <w:pStyle w:val="ListParagraph"/>
        <w:numPr>
          <w:ilvl w:val="0"/>
          <w:numId w:val="27"/>
        </w:numPr>
        <w:ind w:left="714" w:hanging="357"/>
        <w:contextualSpacing w:val="0"/>
        <w:rPr>
          <w:sz w:val="24"/>
          <w:szCs w:val="24"/>
          <w:lang w:val="en-US"/>
        </w:rPr>
      </w:pPr>
      <w:r w:rsidRPr="0095168B">
        <w:rPr>
          <w:color w:val="000000" w:themeColor="text1"/>
          <w:sz w:val="24"/>
          <w:szCs w:val="24"/>
        </w:rPr>
        <w:t>The Health &amp; Disability System Review (</w:t>
      </w:r>
      <w:hyperlink r:id="rId11" w:history="1">
        <w:r w:rsidRPr="00305BFA">
          <w:rPr>
            <w:rStyle w:val="Hyperlink"/>
            <w:sz w:val="24"/>
            <w:szCs w:val="24"/>
          </w:rPr>
          <w:t>2020</w:t>
        </w:r>
      </w:hyperlink>
      <w:r w:rsidRPr="0095168B">
        <w:rPr>
          <w:color w:val="000000" w:themeColor="text1"/>
          <w:sz w:val="24"/>
          <w:szCs w:val="24"/>
        </w:rPr>
        <w:t>) found:  “</w:t>
      </w:r>
      <w:r w:rsidRPr="0095168B">
        <w:rPr>
          <w:color w:val="000000" w:themeColor="text1"/>
          <w:sz w:val="24"/>
          <w:szCs w:val="24"/>
        </w:rPr>
        <w:t xml:space="preserve">The health and disability system is not the main factor in determining health outcomes. </w:t>
      </w:r>
      <w:r w:rsidRPr="0095168B">
        <w:rPr>
          <w:b/>
          <w:bCs/>
          <w:color w:val="000000" w:themeColor="text1"/>
          <w:sz w:val="24"/>
          <w:szCs w:val="24"/>
        </w:rPr>
        <w:t>If New Zealand does not significantly reduce intergenerational poverty and act on the social determinants of health, little that happens in the health and disability system would have a lasting impact</w:t>
      </w:r>
      <w:r w:rsidRPr="0095168B">
        <w:rPr>
          <w:color w:val="000000" w:themeColor="text1"/>
          <w:sz w:val="24"/>
          <w:szCs w:val="24"/>
        </w:rPr>
        <w:t>.</w:t>
      </w:r>
      <w:r w:rsidRPr="0095168B">
        <w:rPr>
          <w:color w:val="000000" w:themeColor="text1"/>
          <w:sz w:val="24"/>
          <w:szCs w:val="24"/>
        </w:rPr>
        <w:t xml:space="preserve"> </w:t>
      </w:r>
      <w:r w:rsidRPr="0095168B">
        <w:rPr>
          <w:color w:val="000000" w:themeColor="text1"/>
          <w:sz w:val="24"/>
          <w:szCs w:val="24"/>
        </w:rPr>
        <w:t>Inherent in a population health approach is an explicit focus on equity</w:t>
      </w:r>
      <w:r w:rsidRPr="0095168B">
        <w:rPr>
          <w:color w:val="000000" w:themeColor="text1"/>
          <w:sz w:val="24"/>
          <w:szCs w:val="24"/>
        </w:rPr>
        <w:t xml:space="preserve">” (emphasis added). </w:t>
      </w:r>
      <w:r w:rsidR="0095168B" w:rsidRPr="0095168B">
        <w:rPr>
          <w:color w:val="000000" w:themeColor="text1"/>
          <w:sz w:val="24"/>
          <w:szCs w:val="24"/>
        </w:rPr>
        <w:t>The Review goes on to identify “</w:t>
      </w:r>
      <w:r w:rsidRPr="0095168B">
        <w:rPr>
          <w:color w:val="000000" w:themeColor="text1"/>
          <w:sz w:val="24"/>
          <w:szCs w:val="24"/>
        </w:rPr>
        <w:t>implementing comprehensive strategies to eliminate or ameliorate upstream factors</w:t>
      </w:r>
      <w:r w:rsidR="0095168B" w:rsidRPr="0095168B">
        <w:rPr>
          <w:color w:val="000000" w:themeColor="text1"/>
          <w:sz w:val="24"/>
          <w:szCs w:val="24"/>
        </w:rPr>
        <w:t xml:space="preserve">” – such as inadequate incomes – </w:t>
      </w:r>
      <w:r w:rsidR="0095168B">
        <w:rPr>
          <w:color w:val="000000" w:themeColor="text1"/>
          <w:sz w:val="24"/>
          <w:szCs w:val="24"/>
        </w:rPr>
        <w:t>is a requirement to eliminate systemic inequities.</w:t>
      </w:r>
      <w:r w:rsidR="0095168B" w:rsidRPr="0095168B">
        <w:rPr>
          <w:color w:val="000000" w:themeColor="text1"/>
          <w:sz w:val="24"/>
          <w:szCs w:val="24"/>
        </w:rPr>
        <w:t xml:space="preserve"> </w:t>
      </w:r>
      <w:r w:rsidR="00E72FA3" w:rsidRPr="0095168B">
        <w:rPr>
          <w:color w:val="538135" w:themeColor="accent6" w:themeShade="BF"/>
          <w:lang w:val="en-US"/>
        </w:rPr>
        <w:br w:type="page"/>
      </w:r>
    </w:p>
    <w:p w14:paraId="4E6696BC" w14:textId="6BF1630F" w:rsidR="00546F32" w:rsidRPr="00FC11FF" w:rsidRDefault="00DD02EC" w:rsidP="00031634">
      <w:pPr>
        <w:pStyle w:val="Heading1"/>
        <w:rPr>
          <w:color w:val="538135" w:themeColor="accent6" w:themeShade="BF"/>
          <w:lang w:val="en-US"/>
        </w:rPr>
      </w:pPr>
      <w:r w:rsidRPr="00FC11FF">
        <w:rPr>
          <w:color w:val="538135" w:themeColor="accent6" w:themeShade="BF"/>
          <w:lang w:val="en-US"/>
        </w:rPr>
        <w:lastRenderedPageBreak/>
        <w:t xml:space="preserve">CPAG </w:t>
      </w:r>
      <w:r w:rsidR="00031634" w:rsidRPr="00FC11FF">
        <w:rPr>
          <w:color w:val="538135" w:themeColor="accent6" w:themeShade="BF"/>
          <w:lang w:val="en-US"/>
        </w:rPr>
        <w:t xml:space="preserve">Policy </w:t>
      </w:r>
      <w:r w:rsidRPr="00FC11FF">
        <w:rPr>
          <w:color w:val="538135" w:themeColor="accent6" w:themeShade="BF"/>
          <w:lang w:val="en-US"/>
        </w:rPr>
        <w:t>R</w:t>
      </w:r>
      <w:r w:rsidR="00031634" w:rsidRPr="00FC11FF">
        <w:rPr>
          <w:color w:val="538135" w:themeColor="accent6" w:themeShade="BF"/>
          <w:lang w:val="en-US"/>
        </w:rPr>
        <w:t>ecommendations</w:t>
      </w:r>
      <w:r w:rsidR="00271AF2">
        <w:rPr>
          <w:color w:val="538135" w:themeColor="accent6" w:themeShade="BF"/>
          <w:lang w:val="en-US"/>
        </w:rPr>
        <w:t xml:space="preserve"> </w:t>
      </w:r>
    </w:p>
    <w:p w14:paraId="62290D92" w14:textId="61FDE6B4" w:rsidR="00A3717D" w:rsidRDefault="00A3717D" w:rsidP="00A3717D">
      <w:pPr>
        <w:rPr>
          <w:b/>
          <w:bCs/>
          <w:sz w:val="20"/>
          <w:szCs w:val="20"/>
          <w:lang w:val="en-US"/>
        </w:rPr>
      </w:pPr>
    </w:p>
    <w:p w14:paraId="1686A023" w14:textId="4244B921" w:rsidR="00E32BE8" w:rsidRPr="00E32BE8" w:rsidRDefault="00DD02EC" w:rsidP="00DD02EC">
      <w:pPr>
        <w:pStyle w:val="ListParagraph"/>
        <w:numPr>
          <w:ilvl w:val="0"/>
          <w:numId w:val="22"/>
        </w:numPr>
        <w:spacing w:line="240" w:lineRule="auto"/>
        <w:textAlignment w:val="baseline"/>
        <w:rPr>
          <w:rFonts w:ascii="Calibri" w:eastAsia="Times New Roman" w:hAnsi="Calibri" w:cs="Calibri"/>
          <w:b/>
          <w:bCs/>
          <w:color w:val="1D2129"/>
          <w:sz w:val="24"/>
          <w:szCs w:val="24"/>
          <w:lang w:val="en-US" w:eastAsia="en-NZ"/>
        </w:rPr>
      </w:pPr>
      <w:r w:rsidRPr="00E32BE8">
        <w:rPr>
          <w:rFonts w:ascii="Calibri" w:eastAsia="Times New Roman" w:hAnsi="Calibri" w:cs="Calibri"/>
          <w:b/>
          <w:bCs/>
          <w:color w:val="1D2129"/>
          <w:sz w:val="28"/>
          <w:szCs w:val="28"/>
          <w:lang w:eastAsia="en-NZ"/>
        </w:rPr>
        <w:t xml:space="preserve">The urgent, first priority is to offer permanent adequate income security to </w:t>
      </w:r>
      <w:r w:rsidR="00F96A80">
        <w:rPr>
          <w:rFonts w:ascii="Calibri" w:eastAsia="Times New Roman" w:hAnsi="Calibri" w:cs="Calibri"/>
          <w:b/>
          <w:bCs/>
          <w:color w:val="1D2129"/>
          <w:sz w:val="28"/>
          <w:szCs w:val="28"/>
          <w:lang w:eastAsia="en-NZ"/>
        </w:rPr>
        <w:t xml:space="preserve">all </w:t>
      </w:r>
      <w:r w:rsidRPr="00E32BE8">
        <w:rPr>
          <w:rFonts w:ascii="Calibri" w:eastAsia="Times New Roman" w:hAnsi="Calibri" w:cs="Calibri"/>
          <w:b/>
          <w:bCs/>
          <w:color w:val="1D2129"/>
          <w:sz w:val="28"/>
          <w:szCs w:val="28"/>
          <w:lang w:eastAsia="en-NZ"/>
        </w:rPr>
        <w:t xml:space="preserve">children and their </w:t>
      </w:r>
      <w:proofErr w:type="spellStart"/>
      <w:r w:rsidRPr="00E32BE8">
        <w:rPr>
          <w:rFonts w:ascii="Calibri" w:eastAsia="Times New Roman" w:hAnsi="Calibri" w:cs="Calibri"/>
          <w:b/>
          <w:bCs/>
          <w:color w:val="1D2129"/>
          <w:sz w:val="28"/>
          <w:szCs w:val="28"/>
          <w:lang w:eastAsia="en-NZ"/>
        </w:rPr>
        <w:t>wh</w:t>
      </w:r>
      <w:r w:rsidRPr="00E32BE8">
        <w:rPr>
          <w:rFonts w:ascii="Calibri" w:eastAsia="Times New Roman" w:hAnsi="Calibri" w:cs="Calibri"/>
          <w:b/>
          <w:bCs/>
          <w:color w:val="1D2129"/>
          <w:sz w:val="28"/>
          <w:szCs w:val="28"/>
          <w:lang w:val="en-US" w:eastAsia="en-NZ"/>
        </w:rPr>
        <w:t>ānau</w:t>
      </w:r>
      <w:proofErr w:type="spellEnd"/>
      <w:r w:rsidRPr="00E32BE8">
        <w:rPr>
          <w:rFonts w:ascii="Calibri" w:eastAsia="Times New Roman" w:hAnsi="Calibri" w:cs="Calibri"/>
          <w:b/>
          <w:bCs/>
          <w:color w:val="1D2129"/>
          <w:sz w:val="28"/>
          <w:szCs w:val="28"/>
          <w:lang w:val="en-US" w:eastAsia="en-NZ"/>
        </w:rPr>
        <w:t xml:space="preserve"> and families. </w:t>
      </w:r>
    </w:p>
    <w:p w14:paraId="0DFF977C" w14:textId="77777777" w:rsidR="00E32BE8" w:rsidRPr="00271AF2" w:rsidRDefault="00E32BE8" w:rsidP="00E32BE8">
      <w:pPr>
        <w:pStyle w:val="ListParagraph"/>
        <w:spacing w:line="240" w:lineRule="auto"/>
        <w:textAlignment w:val="baseline"/>
        <w:rPr>
          <w:rFonts w:ascii="Calibri" w:eastAsia="Times New Roman" w:hAnsi="Calibri" w:cs="Calibri"/>
          <w:color w:val="1D2129"/>
          <w:sz w:val="16"/>
          <w:szCs w:val="16"/>
          <w:lang w:val="en-US" w:eastAsia="en-NZ"/>
        </w:rPr>
      </w:pPr>
    </w:p>
    <w:p w14:paraId="47773D41" w14:textId="45BA0FDE" w:rsidR="00E1093E" w:rsidRDefault="00DD02EC" w:rsidP="006C211B">
      <w:pPr>
        <w:pStyle w:val="ListParagraph"/>
        <w:spacing w:line="240" w:lineRule="auto"/>
        <w:ind w:left="284"/>
        <w:textAlignment w:val="baseline"/>
        <w:rPr>
          <w:rFonts w:ascii="Calibri" w:eastAsia="Times New Roman" w:hAnsi="Calibri" w:cs="Calibri"/>
          <w:color w:val="1D2129"/>
          <w:sz w:val="24"/>
          <w:szCs w:val="24"/>
          <w:lang w:val="en-US" w:eastAsia="en-NZ"/>
        </w:rPr>
      </w:pPr>
      <w:r w:rsidRPr="00DD02EC">
        <w:rPr>
          <w:rFonts w:ascii="Calibri" w:eastAsia="Times New Roman" w:hAnsi="Calibri" w:cs="Calibri"/>
          <w:color w:val="1D2129"/>
          <w:sz w:val="24"/>
          <w:szCs w:val="24"/>
          <w:lang w:val="en-US" w:eastAsia="en-NZ"/>
        </w:rPr>
        <w:t xml:space="preserve">There are many ways to do this, but the most efficient would be </w:t>
      </w:r>
      <w:r w:rsidR="00DA7A34">
        <w:rPr>
          <w:rFonts w:ascii="Calibri" w:eastAsia="Times New Roman" w:hAnsi="Calibri" w:cs="Calibri"/>
          <w:color w:val="1D2129"/>
          <w:sz w:val="24"/>
          <w:szCs w:val="24"/>
          <w:lang w:val="en-US" w:eastAsia="en-NZ"/>
        </w:rPr>
        <w:t>to</w:t>
      </w:r>
      <w:r w:rsidR="00E1093E">
        <w:rPr>
          <w:rFonts w:ascii="Calibri" w:eastAsia="Times New Roman" w:hAnsi="Calibri" w:cs="Calibri"/>
          <w:color w:val="1D2129"/>
          <w:sz w:val="24"/>
          <w:szCs w:val="24"/>
          <w:lang w:val="en-US" w:eastAsia="en-NZ"/>
        </w:rPr>
        <w:t>:</w:t>
      </w:r>
    </w:p>
    <w:p w14:paraId="72BE342E" w14:textId="5B66F20B" w:rsidR="00E1093E" w:rsidRDefault="00E1093E" w:rsidP="00E1093E">
      <w:pPr>
        <w:pStyle w:val="ListParagraph"/>
        <w:numPr>
          <w:ilvl w:val="1"/>
          <w:numId w:val="23"/>
        </w:numPr>
        <w:spacing w:line="240" w:lineRule="auto"/>
        <w:textAlignment w:val="baseline"/>
        <w:rPr>
          <w:rFonts w:ascii="Calibri" w:eastAsia="Times New Roman" w:hAnsi="Calibri" w:cs="Calibri"/>
          <w:color w:val="1D2129"/>
          <w:sz w:val="24"/>
          <w:szCs w:val="24"/>
          <w:lang w:val="en-US" w:eastAsia="en-NZ"/>
        </w:rPr>
      </w:pPr>
      <w:r>
        <w:rPr>
          <w:rFonts w:ascii="Calibri" w:eastAsia="Times New Roman" w:hAnsi="Calibri" w:cs="Calibri"/>
          <w:color w:val="1D2129"/>
          <w:sz w:val="24"/>
          <w:szCs w:val="24"/>
          <w:lang w:val="en-US" w:eastAsia="en-NZ"/>
        </w:rPr>
        <w:t xml:space="preserve">Extend </w:t>
      </w:r>
      <w:r w:rsidR="00763AC8">
        <w:rPr>
          <w:rFonts w:ascii="Calibri" w:eastAsia="Times New Roman" w:hAnsi="Calibri" w:cs="Calibri"/>
          <w:color w:val="1D2129"/>
          <w:sz w:val="24"/>
          <w:szCs w:val="24"/>
          <w:lang w:val="en-US" w:eastAsia="en-NZ"/>
        </w:rPr>
        <w:t>full</w:t>
      </w:r>
      <w:r w:rsidR="00E00469">
        <w:rPr>
          <w:rFonts w:ascii="Calibri" w:eastAsia="Times New Roman" w:hAnsi="Calibri" w:cs="Calibri"/>
          <w:color w:val="1D2129"/>
          <w:sz w:val="24"/>
          <w:szCs w:val="24"/>
          <w:lang w:val="en-US" w:eastAsia="en-NZ"/>
        </w:rPr>
        <w:t xml:space="preserve"> </w:t>
      </w:r>
      <w:r>
        <w:rPr>
          <w:rFonts w:ascii="Calibri" w:eastAsia="Times New Roman" w:hAnsi="Calibri" w:cs="Calibri"/>
          <w:color w:val="1D2129"/>
          <w:sz w:val="24"/>
          <w:szCs w:val="24"/>
          <w:lang w:val="en-US" w:eastAsia="en-NZ"/>
        </w:rPr>
        <w:t xml:space="preserve">Working For Families assistance to </w:t>
      </w:r>
      <w:r w:rsidR="00DD02EC" w:rsidRPr="00DD02EC">
        <w:rPr>
          <w:rFonts w:ascii="Calibri" w:eastAsia="Times New Roman" w:hAnsi="Calibri" w:cs="Calibri"/>
          <w:color w:val="1D2129"/>
          <w:sz w:val="24"/>
          <w:szCs w:val="24"/>
          <w:lang w:val="en-US" w:eastAsia="en-NZ"/>
        </w:rPr>
        <w:t>families receiving benefits, most notably the In-Work Tax Credit</w:t>
      </w:r>
      <w:r w:rsidR="00A66C25">
        <w:rPr>
          <w:rFonts w:ascii="Calibri" w:eastAsia="Times New Roman" w:hAnsi="Calibri" w:cs="Calibri"/>
          <w:color w:val="1D2129"/>
          <w:sz w:val="24"/>
          <w:szCs w:val="24"/>
          <w:lang w:val="en-US" w:eastAsia="en-NZ"/>
        </w:rPr>
        <w:t xml:space="preserve"> (</w:t>
      </w:r>
      <w:r w:rsidR="00EF30D2">
        <w:rPr>
          <w:rFonts w:ascii="Calibri" w:eastAsia="Times New Roman" w:hAnsi="Calibri" w:cs="Calibri"/>
          <w:color w:val="1D2129"/>
          <w:sz w:val="24"/>
          <w:szCs w:val="24"/>
          <w:lang w:val="en-US" w:eastAsia="en-NZ"/>
        </w:rPr>
        <w:t xml:space="preserve">IWTC, </w:t>
      </w:r>
      <w:r w:rsidR="00A66C25">
        <w:rPr>
          <w:rFonts w:ascii="Calibri" w:eastAsia="Times New Roman" w:hAnsi="Calibri" w:cs="Calibri"/>
          <w:color w:val="1D2129"/>
          <w:sz w:val="24"/>
          <w:szCs w:val="24"/>
          <w:lang w:val="en-US" w:eastAsia="en-NZ"/>
        </w:rPr>
        <w:t>current minimum $72.50pw)</w:t>
      </w:r>
      <w:r w:rsidR="00EF30D2">
        <w:rPr>
          <w:rFonts w:ascii="Calibri" w:eastAsia="Times New Roman" w:hAnsi="Calibri" w:cs="Calibri"/>
          <w:color w:val="1D2129"/>
          <w:sz w:val="24"/>
          <w:szCs w:val="24"/>
          <w:lang w:val="en-US" w:eastAsia="en-NZ"/>
        </w:rPr>
        <w:t xml:space="preserve">; </w:t>
      </w:r>
      <w:r w:rsidR="00F96A80" w:rsidRPr="00F96A80">
        <w:rPr>
          <w:rFonts w:ascii="Calibri" w:eastAsia="Times New Roman" w:hAnsi="Calibri" w:cs="Calibri"/>
          <w:b/>
          <w:bCs/>
          <w:color w:val="1D2129"/>
          <w:sz w:val="24"/>
          <w:szCs w:val="24"/>
          <w:lang w:val="en-US" w:eastAsia="en-NZ"/>
        </w:rPr>
        <w:t>and</w:t>
      </w:r>
    </w:p>
    <w:p w14:paraId="2CC325B3" w14:textId="3F28A6CE" w:rsidR="00A66C25" w:rsidRPr="00E1093E" w:rsidRDefault="00E1093E" w:rsidP="00E1093E">
      <w:pPr>
        <w:pStyle w:val="ListParagraph"/>
        <w:numPr>
          <w:ilvl w:val="1"/>
          <w:numId w:val="23"/>
        </w:numPr>
        <w:spacing w:line="240" w:lineRule="auto"/>
        <w:textAlignment w:val="baseline"/>
        <w:rPr>
          <w:rFonts w:ascii="Calibri" w:eastAsia="Times New Roman" w:hAnsi="Calibri" w:cs="Calibri"/>
          <w:color w:val="1D2129"/>
          <w:sz w:val="24"/>
          <w:szCs w:val="24"/>
          <w:lang w:val="en-US" w:eastAsia="en-NZ"/>
        </w:rPr>
      </w:pPr>
      <w:r>
        <w:rPr>
          <w:rFonts w:ascii="Calibri" w:eastAsia="Times New Roman" w:hAnsi="Calibri" w:cs="Calibri"/>
          <w:color w:val="1D2129"/>
          <w:sz w:val="24"/>
          <w:szCs w:val="24"/>
          <w:lang w:val="en-US" w:eastAsia="en-NZ"/>
        </w:rPr>
        <w:t>I</w:t>
      </w:r>
      <w:r w:rsidR="00DA7A34">
        <w:rPr>
          <w:rFonts w:ascii="Calibri" w:eastAsia="Times New Roman" w:hAnsi="Calibri" w:cs="Calibri"/>
          <w:color w:val="1D2129"/>
          <w:sz w:val="24"/>
          <w:szCs w:val="24"/>
          <w:lang w:val="en-US" w:eastAsia="en-NZ"/>
        </w:rPr>
        <w:t>ncrease benefits where required</w:t>
      </w:r>
      <w:r>
        <w:rPr>
          <w:rFonts w:ascii="Calibri" w:eastAsia="Times New Roman" w:hAnsi="Calibri" w:cs="Calibri"/>
          <w:color w:val="1D2129"/>
          <w:sz w:val="24"/>
          <w:szCs w:val="24"/>
          <w:lang w:val="en-US" w:eastAsia="en-NZ"/>
        </w:rPr>
        <w:t xml:space="preserve">, so that the incomes for all families </w:t>
      </w:r>
      <w:r w:rsidR="008B0F57">
        <w:rPr>
          <w:rFonts w:ascii="Calibri" w:eastAsia="Times New Roman" w:hAnsi="Calibri" w:cs="Calibri"/>
          <w:color w:val="1D2129"/>
          <w:sz w:val="24"/>
          <w:szCs w:val="24"/>
          <w:lang w:val="en-US" w:eastAsia="en-NZ"/>
        </w:rPr>
        <w:t>who (</w:t>
      </w:r>
      <w:proofErr w:type="spellStart"/>
      <w:r w:rsidR="008B0F57">
        <w:rPr>
          <w:rFonts w:ascii="Calibri" w:eastAsia="Times New Roman" w:hAnsi="Calibri" w:cs="Calibri"/>
          <w:color w:val="1D2129"/>
          <w:sz w:val="24"/>
          <w:szCs w:val="24"/>
          <w:lang w:val="en-US" w:eastAsia="en-NZ"/>
        </w:rPr>
        <w:t>i</w:t>
      </w:r>
      <w:proofErr w:type="spellEnd"/>
      <w:r w:rsidR="008B0F57">
        <w:rPr>
          <w:rFonts w:ascii="Calibri" w:eastAsia="Times New Roman" w:hAnsi="Calibri" w:cs="Calibri"/>
          <w:color w:val="1D2129"/>
          <w:sz w:val="24"/>
          <w:szCs w:val="24"/>
          <w:lang w:val="en-US" w:eastAsia="en-NZ"/>
        </w:rPr>
        <w:t xml:space="preserve">) receive benefits and Accommodation Supplement and (ii) who are </w:t>
      </w:r>
      <w:r>
        <w:rPr>
          <w:rFonts w:ascii="Calibri" w:eastAsia="Times New Roman" w:hAnsi="Calibri" w:cs="Calibri"/>
          <w:color w:val="1D2129"/>
          <w:sz w:val="24"/>
          <w:szCs w:val="24"/>
          <w:lang w:val="en-US" w:eastAsia="en-NZ"/>
        </w:rPr>
        <w:t>paying lower-quartile rent</w:t>
      </w:r>
      <w:r w:rsidR="008B0F57">
        <w:rPr>
          <w:rFonts w:ascii="Calibri" w:eastAsia="Times New Roman" w:hAnsi="Calibri" w:cs="Calibri"/>
          <w:color w:val="1D2129"/>
          <w:sz w:val="24"/>
          <w:szCs w:val="24"/>
          <w:lang w:val="en-US" w:eastAsia="en-NZ"/>
        </w:rPr>
        <w:t>,</w:t>
      </w:r>
      <w:r>
        <w:rPr>
          <w:rFonts w:ascii="Calibri" w:eastAsia="Times New Roman" w:hAnsi="Calibri" w:cs="Calibri"/>
          <w:color w:val="1D2129"/>
          <w:sz w:val="24"/>
          <w:szCs w:val="24"/>
          <w:lang w:val="en-US" w:eastAsia="en-NZ"/>
        </w:rPr>
        <w:t xml:space="preserve"> for appropriate accommodation</w:t>
      </w:r>
      <w:r w:rsidR="008B0F57">
        <w:rPr>
          <w:rFonts w:ascii="Calibri" w:eastAsia="Times New Roman" w:hAnsi="Calibri" w:cs="Calibri"/>
          <w:color w:val="1D2129"/>
          <w:sz w:val="24"/>
          <w:szCs w:val="24"/>
          <w:lang w:val="en-US" w:eastAsia="en-NZ"/>
        </w:rPr>
        <w:t>,</w:t>
      </w:r>
      <w:r>
        <w:rPr>
          <w:rFonts w:ascii="Calibri" w:eastAsia="Times New Roman" w:hAnsi="Calibri" w:cs="Calibri"/>
          <w:color w:val="1D2129"/>
          <w:sz w:val="24"/>
          <w:szCs w:val="24"/>
          <w:lang w:val="en-US" w:eastAsia="en-NZ"/>
        </w:rPr>
        <w:t xml:space="preserve"> are </w:t>
      </w:r>
      <w:r w:rsidRPr="00E1093E">
        <w:rPr>
          <w:rFonts w:ascii="Calibri" w:eastAsia="Times New Roman" w:hAnsi="Calibri" w:cs="Calibri"/>
          <w:color w:val="1D2129"/>
          <w:sz w:val="24"/>
          <w:szCs w:val="24"/>
          <w:lang w:val="en-US" w:eastAsia="en-NZ"/>
        </w:rPr>
        <w:t>at or above the primary AHC (50,</w:t>
      </w:r>
      <w:r w:rsidR="00BC4570">
        <w:rPr>
          <w:rFonts w:ascii="Calibri" w:eastAsia="Times New Roman" w:hAnsi="Calibri" w:cs="Calibri"/>
          <w:color w:val="1D2129"/>
          <w:sz w:val="24"/>
          <w:szCs w:val="24"/>
          <w:lang w:val="en-US" w:eastAsia="en-NZ"/>
        </w:rPr>
        <w:t xml:space="preserve"> </w:t>
      </w:r>
      <w:r w:rsidRPr="00E1093E">
        <w:rPr>
          <w:rFonts w:ascii="Calibri" w:eastAsia="Times New Roman" w:hAnsi="Calibri" w:cs="Calibri"/>
          <w:color w:val="1D2129"/>
          <w:sz w:val="24"/>
          <w:szCs w:val="24"/>
          <w:lang w:val="en-US" w:eastAsia="en-NZ"/>
        </w:rPr>
        <w:t>fixed) poverty line</w:t>
      </w:r>
      <w:r w:rsidR="00EF30D2">
        <w:rPr>
          <w:rFonts w:ascii="Calibri" w:eastAsia="Times New Roman" w:hAnsi="Calibri" w:cs="Calibri"/>
          <w:color w:val="1D2129"/>
          <w:sz w:val="24"/>
          <w:szCs w:val="24"/>
          <w:lang w:val="en-US" w:eastAsia="en-NZ"/>
        </w:rPr>
        <w:t xml:space="preserve">; </w:t>
      </w:r>
      <w:r w:rsidR="00F96A80" w:rsidRPr="00F96A80">
        <w:rPr>
          <w:rFonts w:ascii="Calibri" w:eastAsia="Times New Roman" w:hAnsi="Calibri" w:cs="Calibri"/>
          <w:b/>
          <w:bCs/>
          <w:color w:val="1D2129"/>
          <w:sz w:val="24"/>
          <w:szCs w:val="24"/>
          <w:lang w:val="en-US" w:eastAsia="en-NZ"/>
        </w:rPr>
        <w:t>and</w:t>
      </w:r>
    </w:p>
    <w:p w14:paraId="490D5BF6" w14:textId="134D525A" w:rsidR="00E1093E" w:rsidRPr="00E1093E" w:rsidRDefault="00E1093E" w:rsidP="00E1093E">
      <w:pPr>
        <w:pStyle w:val="ListParagraph"/>
        <w:numPr>
          <w:ilvl w:val="1"/>
          <w:numId w:val="23"/>
        </w:numPr>
        <w:spacing w:line="240" w:lineRule="auto"/>
        <w:ind w:left="1434" w:hanging="357"/>
        <w:contextualSpacing w:val="0"/>
        <w:textAlignment w:val="baseline"/>
        <w:rPr>
          <w:rFonts w:ascii="Calibri" w:eastAsia="Times New Roman" w:hAnsi="Calibri" w:cs="Calibri"/>
          <w:color w:val="1D2129"/>
          <w:sz w:val="24"/>
          <w:szCs w:val="24"/>
          <w:lang w:val="en-US" w:eastAsia="en-NZ"/>
        </w:rPr>
      </w:pPr>
      <w:r w:rsidRPr="00E1093E">
        <w:rPr>
          <w:rFonts w:ascii="Calibri" w:eastAsia="Times New Roman" w:hAnsi="Calibri" w:cs="Calibri"/>
          <w:color w:val="1D2129"/>
          <w:sz w:val="24"/>
          <w:szCs w:val="24"/>
          <w:lang w:val="en-US" w:eastAsia="en-NZ"/>
        </w:rPr>
        <w:t xml:space="preserve">Increase </w:t>
      </w:r>
      <w:r w:rsidRPr="00E1093E">
        <w:rPr>
          <w:sz w:val="24"/>
          <w:szCs w:val="24"/>
        </w:rPr>
        <w:t xml:space="preserve">income support for </w:t>
      </w:r>
      <w:proofErr w:type="spellStart"/>
      <w:r w:rsidRPr="00E1093E">
        <w:rPr>
          <w:sz w:val="24"/>
          <w:szCs w:val="24"/>
        </w:rPr>
        <w:t>whānau</w:t>
      </w:r>
      <w:proofErr w:type="spellEnd"/>
      <w:r w:rsidRPr="00E1093E">
        <w:rPr>
          <w:sz w:val="24"/>
          <w:szCs w:val="24"/>
        </w:rPr>
        <w:t xml:space="preserve"> with disabilities so that children with disability are no longer more likely to live in </w:t>
      </w:r>
      <w:r w:rsidR="00881624">
        <w:rPr>
          <w:sz w:val="24"/>
          <w:szCs w:val="24"/>
        </w:rPr>
        <w:t xml:space="preserve">material hardship </w:t>
      </w:r>
      <w:r w:rsidRPr="00E1093E">
        <w:rPr>
          <w:sz w:val="24"/>
          <w:szCs w:val="24"/>
        </w:rPr>
        <w:t>than other children (</w:t>
      </w:r>
      <w:proofErr w:type="spellStart"/>
      <w:r w:rsidR="00903155">
        <w:fldChar w:fldCharType="begin"/>
      </w:r>
      <w:r w:rsidR="00903155">
        <w:instrText xml:space="preserve"> HYPERLINK "https://www.cpag.org.nz/assets/Living%20Well%20Children%20with%20disability%20need%20far%20greater%20income%20support%20in%20Aotearoa%20Sept%202020%20%281%29.pdf" </w:instrText>
      </w:r>
      <w:r w:rsidR="00903155">
        <w:fldChar w:fldCharType="separate"/>
      </w:r>
      <w:r w:rsidR="008B0F57">
        <w:rPr>
          <w:rStyle w:val="Hyperlink"/>
          <w:sz w:val="24"/>
          <w:szCs w:val="24"/>
        </w:rPr>
        <w:t>Ne</w:t>
      </w:r>
      <w:r w:rsidR="0044404D">
        <w:rPr>
          <w:rStyle w:val="Hyperlink"/>
          <w:sz w:val="24"/>
          <w:szCs w:val="24"/>
        </w:rPr>
        <w:t>u</w:t>
      </w:r>
      <w:r w:rsidR="008B0F57">
        <w:rPr>
          <w:rStyle w:val="Hyperlink"/>
          <w:sz w:val="24"/>
          <w:szCs w:val="24"/>
        </w:rPr>
        <w:t>welt</w:t>
      </w:r>
      <w:proofErr w:type="spellEnd"/>
      <w:r w:rsidR="008B0F57">
        <w:rPr>
          <w:rStyle w:val="Hyperlink"/>
          <w:sz w:val="24"/>
          <w:szCs w:val="24"/>
        </w:rPr>
        <w:t>-Kearns, Murray, Russell &amp; Lee</w:t>
      </w:r>
      <w:r w:rsidRPr="00E1093E">
        <w:rPr>
          <w:rStyle w:val="Hyperlink"/>
          <w:sz w:val="24"/>
          <w:szCs w:val="24"/>
        </w:rPr>
        <w:t>, 2020</w:t>
      </w:r>
      <w:r w:rsidR="00903155">
        <w:rPr>
          <w:rStyle w:val="Hyperlink"/>
          <w:sz w:val="24"/>
          <w:szCs w:val="24"/>
        </w:rPr>
        <w:fldChar w:fldCharType="end"/>
      </w:r>
      <w:r w:rsidRPr="00E1093E">
        <w:rPr>
          <w:sz w:val="24"/>
          <w:szCs w:val="24"/>
        </w:rPr>
        <w:t>).</w:t>
      </w:r>
    </w:p>
    <w:p w14:paraId="0D862458" w14:textId="14167A3D" w:rsidR="00F96A80" w:rsidRDefault="00EF30D2" w:rsidP="00EF30D2">
      <w:pPr>
        <w:pStyle w:val="ListParagraph"/>
        <w:spacing w:line="240" w:lineRule="auto"/>
        <w:ind w:left="284"/>
        <w:textAlignment w:val="baseline"/>
        <w:rPr>
          <w:rFonts w:ascii="Calibri" w:eastAsia="Times New Roman" w:hAnsi="Calibri" w:cs="Calibri"/>
          <w:color w:val="1D2129"/>
          <w:sz w:val="24"/>
          <w:szCs w:val="24"/>
          <w:lang w:val="en-US" w:eastAsia="en-NZ"/>
        </w:rPr>
      </w:pPr>
      <w:r w:rsidRPr="00595FC8">
        <w:rPr>
          <w:rFonts w:ascii="Calibri" w:eastAsia="Times New Roman" w:hAnsi="Calibri" w:cs="Calibri"/>
          <w:b/>
          <w:bCs/>
          <w:color w:val="1D2129"/>
          <w:sz w:val="24"/>
          <w:szCs w:val="24"/>
          <w:lang w:val="en-US" w:eastAsia="en-NZ"/>
        </w:rPr>
        <w:t>Re 1i:</w:t>
      </w:r>
      <w:r>
        <w:rPr>
          <w:rFonts w:ascii="Calibri" w:eastAsia="Times New Roman" w:hAnsi="Calibri" w:cs="Calibri"/>
          <w:color w:val="1D2129"/>
          <w:sz w:val="24"/>
          <w:szCs w:val="24"/>
          <w:lang w:val="en-US" w:eastAsia="en-NZ"/>
        </w:rPr>
        <w:t xml:space="preserve"> </w:t>
      </w:r>
      <w:r w:rsidR="00FB3C2D">
        <w:rPr>
          <w:rFonts w:ascii="Calibri" w:eastAsia="Times New Roman" w:hAnsi="Calibri" w:cs="Calibri"/>
          <w:color w:val="1D2129"/>
          <w:sz w:val="24"/>
          <w:szCs w:val="24"/>
          <w:lang w:val="en-US" w:eastAsia="en-NZ"/>
        </w:rPr>
        <w:t>Add</w:t>
      </w:r>
      <w:r w:rsidR="00204B47">
        <w:rPr>
          <w:rFonts w:ascii="Calibri" w:eastAsia="Times New Roman" w:hAnsi="Calibri" w:cs="Calibri"/>
          <w:color w:val="1D2129"/>
          <w:sz w:val="24"/>
          <w:szCs w:val="24"/>
          <w:lang w:val="en-US" w:eastAsia="en-NZ"/>
        </w:rPr>
        <w:t>ing</w:t>
      </w:r>
      <w:r w:rsidR="00F96A80">
        <w:rPr>
          <w:rFonts w:ascii="Calibri" w:eastAsia="Times New Roman" w:hAnsi="Calibri" w:cs="Calibri"/>
          <w:color w:val="1D2129"/>
          <w:sz w:val="24"/>
          <w:szCs w:val="24"/>
          <w:lang w:val="en-US" w:eastAsia="en-NZ"/>
        </w:rPr>
        <w:t xml:space="preserve"> the IWTC to </w:t>
      </w:r>
      <w:r w:rsidR="00FB3C2D">
        <w:rPr>
          <w:rFonts w:ascii="Calibri" w:eastAsia="Times New Roman" w:hAnsi="Calibri" w:cs="Calibri"/>
          <w:color w:val="1D2129"/>
          <w:sz w:val="24"/>
          <w:szCs w:val="24"/>
          <w:lang w:val="en-US" w:eastAsia="en-NZ"/>
        </w:rPr>
        <w:t xml:space="preserve">the </w:t>
      </w:r>
      <w:r w:rsidR="00204B47">
        <w:rPr>
          <w:rFonts w:ascii="Calibri" w:eastAsia="Times New Roman" w:hAnsi="Calibri" w:cs="Calibri"/>
          <w:color w:val="1D2129"/>
          <w:sz w:val="24"/>
          <w:szCs w:val="24"/>
          <w:lang w:val="en-US" w:eastAsia="en-NZ"/>
        </w:rPr>
        <w:t>Family Tax Credit (</w:t>
      </w:r>
      <w:r w:rsidR="00FB3C2D">
        <w:rPr>
          <w:rFonts w:ascii="Calibri" w:eastAsia="Times New Roman" w:hAnsi="Calibri" w:cs="Calibri"/>
          <w:color w:val="1D2129"/>
          <w:sz w:val="24"/>
          <w:szCs w:val="24"/>
          <w:lang w:val="en-US" w:eastAsia="en-NZ"/>
        </w:rPr>
        <w:t>FTC</w:t>
      </w:r>
      <w:r w:rsidR="00204B47">
        <w:rPr>
          <w:rFonts w:ascii="Calibri" w:eastAsia="Times New Roman" w:hAnsi="Calibri" w:cs="Calibri"/>
          <w:color w:val="1D2129"/>
          <w:sz w:val="24"/>
          <w:szCs w:val="24"/>
          <w:lang w:val="en-US" w:eastAsia="en-NZ"/>
        </w:rPr>
        <w:t>)</w:t>
      </w:r>
      <w:r w:rsidR="00FB3C2D">
        <w:rPr>
          <w:rFonts w:ascii="Calibri" w:eastAsia="Times New Roman" w:hAnsi="Calibri" w:cs="Calibri"/>
          <w:color w:val="1D2129"/>
          <w:sz w:val="24"/>
          <w:szCs w:val="24"/>
          <w:lang w:val="en-US" w:eastAsia="en-NZ"/>
        </w:rPr>
        <w:t xml:space="preserve"> </w:t>
      </w:r>
      <w:r w:rsidR="00714E15">
        <w:rPr>
          <w:rFonts w:ascii="Calibri" w:eastAsia="Times New Roman" w:hAnsi="Calibri" w:cs="Calibri"/>
          <w:color w:val="1D2129"/>
          <w:sz w:val="24"/>
          <w:szCs w:val="24"/>
          <w:lang w:val="en-US" w:eastAsia="en-NZ"/>
        </w:rPr>
        <w:t>i</w:t>
      </w:r>
      <w:r w:rsidR="00FB3C2D">
        <w:rPr>
          <w:rFonts w:ascii="Calibri" w:eastAsia="Times New Roman" w:hAnsi="Calibri" w:cs="Calibri"/>
          <w:color w:val="1D2129"/>
          <w:sz w:val="24"/>
          <w:szCs w:val="24"/>
          <w:lang w:val="en-US" w:eastAsia="en-NZ"/>
        </w:rPr>
        <w:t xml:space="preserve">s </w:t>
      </w:r>
      <w:r w:rsidR="00F96A80">
        <w:rPr>
          <w:rFonts w:ascii="Calibri" w:eastAsia="Times New Roman" w:hAnsi="Calibri" w:cs="Calibri"/>
          <w:color w:val="1D2129"/>
          <w:sz w:val="24"/>
          <w:szCs w:val="24"/>
          <w:lang w:val="en-US" w:eastAsia="en-NZ"/>
        </w:rPr>
        <w:t>the most efficient, cost-effective way of reducing the numbers of children in severest poverty:</w:t>
      </w:r>
    </w:p>
    <w:p w14:paraId="0D1F5D2F" w14:textId="5086700A" w:rsidR="00F96A80" w:rsidRDefault="00F96A80" w:rsidP="00F96A80">
      <w:pPr>
        <w:pStyle w:val="ListParagraph"/>
        <w:numPr>
          <w:ilvl w:val="0"/>
          <w:numId w:val="28"/>
        </w:numPr>
        <w:spacing w:line="240" w:lineRule="auto"/>
        <w:textAlignment w:val="baseline"/>
        <w:rPr>
          <w:rFonts w:ascii="Calibri" w:eastAsia="Times New Roman" w:hAnsi="Calibri" w:cs="Calibri"/>
          <w:color w:val="1D2129"/>
          <w:sz w:val="24"/>
          <w:szCs w:val="24"/>
          <w:lang w:val="en-US" w:eastAsia="en-NZ"/>
        </w:rPr>
      </w:pPr>
      <w:r>
        <w:rPr>
          <w:rFonts w:ascii="Calibri" w:eastAsia="Times New Roman" w:hAnsi="Calibri" w:cs="Calibri"/>
          <w:color w:val="1D2129"/>
          <w:sz w:val="24"/>
          <w:szCs w:val="24"/>
          <w:lang w:val="en-US" w:eastAsia="en-NZ"/>
        </w:rPr>
        <w:t xml:space="preserve">It is </w:t>
      </w:r>
      <w:r w:rsidR="00714E15">
        <w:rPr>
          <w:rFonts w:ascii="Calibri" w:eastAsia="Times New Roman" w:hAnsi="Calibri" w:cs="Calibri"/>
          <w:color w:val="1D2129"/>
          <w:sz w:val="24"/>
          <w:szCs w:val="24"/>
          <w:lang w:val="en-US" w:eastAsia="en-NZ"/>
        </w:rPr>
        <w:t xml:space="preserve">tightly </w:t>
      </w:r>
      <w:r>
        <w:rPr>
          <w:rFonts w:ascii="Calibri" w:eastAsia="Times New Roman" w:hAnsi="Calibri" w:cs="Calibri"/>
          <w:color w:val="1D2129"/>
          <w:sz w:val="24"/>
          <w:szCs w:val="24"/>
          <w:lang w:val="en-US" w:eastAsia="en-NZ"/>
        </w:rPr>
        <w:t xml:space="preserve">targeted </w:t>
      </w:r>
      <w:r w:rsidR="000E1ABB">
        <w:rPr>
          <w:rFonts w:ascii="Calibri" w:eastAsia="Times New Roman" w:hAnsi="Calibri" w:cs="Calibri"/>
          <w:color w:val="1D2129"/>
          <w:sz w:val="24"/>
          <w:szCs w:val="24"/>
          <w:lang w:val="en-US" w:eastAsia="en-NZ"/>
        </w:rPr>
        <w:t>to</w:t>
      </w:r>
      <w:r w:rsidR="001F5607">
        <w:rPr>
          <w:rFonts w:ascii="Calibri" w:eastAsia="Times New Roman" w:hAnsi="Calibri" w:cs="Calibri"/>
          <w:color w:val="1D2129"/>
          <w:sz w:val="24"/>
          <w:szCs w:val="24"/>
          <w:lang w:val="en-US" w:eastAsia="en-NZ"/>
        </w:rPr>
        <w:t xml:space="preserve"> the worst</w:t>
      </w:r>
      <w:r w:rsidR="00714E15">
        <w:rPr>
          <w:rFonts w:ascii="Calibri" w:eastAsia="Times New Roman" w:hAnsi="Calibri" w:cs="Calibri"/>
          <w:color w:val="1D2129"/>
          <w:sz w:val="24"/>
          <w:szCs w:val="24"/>
          <w:lang w:val="en-US" w:eastAsia="en-NZ"/>
        </w:rPr>
        <w:t>-</w:t>
      </w:r>
      <w:r w:rsidR="001F5607">
        <w:rPr>
          <w:rFonts w:ascii="Calibri" w:eastAsia="Times New Roman" w:hAnsi="Calibri" w:cs="Calibri"/>
          <w:color w:val="1D2129"/>
          <w:sz w:val="24"/>
          <w:szCs w:val="24"/>
          <w:lang w:val="en-US" w:eastAsia="en-NZ"/>
        </w:rPr>
        <w:t xml:space="preserve">off </w:t>
      </w:r>
      <w:r w:rsidR="00FB3C2D">
        <w:rPr>
          <w:rFonts w:ascii="Calibri" w:eastAsia="Times New Roman" w:hAnsi="Calibri" w:cs="Calibri"/>
          <w:color w:val="1D2129"/>
          <w:sz w:val="24"/>
          <w:szCs w:val="24"/>
          <w:lang w:val="en-US" w:eastAsia="en-NZ"/>
        </w:rPr>
        <w:t>who currently are excluded from the IWTC</w:t>
      </w:r>
      <w:r w:rsidR="00C47459">
        <w:rPr>
          <w:rFonts w:ascii="Calibri" w:eastAsia="Times New Roman" w:hAnsi="Calibri" w:cs="Calibri"/>
          <w:color w:val="1D2129"/>
          <w:sz w:val="24"/>
          <w:szCs w:val="24"/>
          <w:lang w:val="en-US" w:eastAsia="en-NZ"/>
        </w:rPr>
        <w:t xml:space="preserve">. This means </w:t>
      </w:r>
      <w:r w:rsidR="00714E15">
        <w:rPr>
          <w:rFonts w:ascii="Calibri" w:eastAsia="Times New Roman" w:hAnsi="Calibri" w:cs="Calibri"/>
          <w:color w:val="1D2129"/>
          <w:sz w:val="24"/>
          <w:szCs w:val="24"/>
          <w:lang w:val="en-US" w:eastAsia="en-NZ"/>
        </w:rPr>
        <w:t xml:space="preserve">it </w:t>
      </w:r>
      <w:r w:rsidR="00C47459">
        <w:rPr>
          <w:rFonts w:ascii="Calibri" w:eastAsia="Times New Roman" w:hAnsi="Calibri" w:cs="Calibri"/>
          <w:color w:val="1D2129"/>
          <w:sz w:val="24"/>
          <w:szCs w:val="24"/>
          <w:lang w:val="en-US" w:eastAsia="en-NZ"/>
        </w:rPr>
        <w:t xml:space="preserve">will </w:t>
      </w:r>
      <w:r w:rsidR="00714E15">
        <w:rPr>
          <w:rFonts w:ascii="Calibri" w:eastAsia="Times New Roman" w:hAnsi="Calibri" w:cs="Calibri"/>
          <w:color w:val="1D2129"/>
          <w:sz w:val="24"/>
          <w:szCs w:val="24"/>
          <w:lang w:val="en-US" w:eastAsia="en-NZ"/>
        </w:rPr>
        <w:t>not incur increased expense</w:t>
      </w:r>
      <w:r w:rsidR="00C47459">
        <w:rPr>
          <w:rFonts w:ascii="Calibri" w:eastAsia="Times New Roman" w:hAnsi="Calibri" w:cs="Calibri"/>
          <w:color w:val="1D2129"/>
          <w:sz w:val="24"/>
          <w:szCs w:val="24"/>
          <w:lang w:val="en-US" w:eastAsia="en-NZ"/>
        </w:rPr>
        <w:t>s</w:t>
      </w:r>
      <w:r w:rsidR="00714E15">
        <w:rPr>
          <w:rFonts w:ascii="Calibri" w:eastAsia="Times New Roman" w:hAnsi="Calibri" w:cs="Calibri"/>
          <w:color w:val="1D2129"/>
          <w:sz w:val="24"/>
          <w:szCs w:val="24"/>
          <w:lang w:val="en-US" w:eastAsia="en-NZ"/>
        </w:rPr>
        <w:t xml:space="preserve"> </w:t>
      </w:r>
      <w:r w:rsidR="001F5607">
        <w:rPr>
          <w:rFonts w:ascii="Calibri" w:eastAsia="Times New Roman" w:hAnsi="Calibri" w:cs="Calibri"/>
          <w:color w:val="1D2129"/>
          <w:sz w:val="24"/>
          <w:szCs w:val="24"/>
          <w:lang w:val="en-US" w:eastAsia="en-NZ"/>
        </w:rPr>
        <w:t xml:space="preserve">further up </w:t>
      </w:r>
      <w:r>
        <w:rPr>
          <w:rFonts w:ascii="Calibri" w:eastAsia="Times New Roman" w:hAnsi="Calibri" w:cs="Calibri"/>
          <w:color w:val="1D2129"/>
          <w:sz w:val="24"/>
          <w:szCs w:val="24"/>
          <w:lang w:val="en-US" w:eastAsia="en-NZ"/>
        </w:rPr>
        <w:t>the income ladder</w:t>
      </w:r>
      <w:r w:rsidR="008B0F57">
        <w:rPr>
          <w:rFonts w:ascii="Calibri" w:eastAsia="Times New Roman" w:hAnsi="Calibri" w:cs="Calibri"/>
          <w:color w:val="1D2129"/>
          <w:sz w:val="24"/>
          <w:szCs w:val="24"/>
          <w:lang w:val="en-US" w:eastAsia="en-NZ"/>
        </w:rPr>
        <w:t>; there won’t be a “knock-on” effect for those on high incomes</w:t>
      </w:r>
      <w:r>
        <w:rPr>
          <w:rFonts w:ascii="Calibri" w:eastAsia="Times New Roman" w:hAnsi="Calibri" w:cs="Calibri"/>
          <w:color w:val="1D2129"/>
          <w:sz w:val="24"/>
          <w:szCs w:val="24"/>
          <w:lang w:val="en-US" w:eastAsia="en-NZ"/>
        </w:rPr>
        <w:t xml:space="preserve">. </w:t>
      </w:r>
    </w:p>
    <w:p w14:paraId="39BC4786" w14:textId="74A0296A" w:rsidR="00F96A80" w:rsidRDefault="00F96A80" w:rsidP="00F96A80">
      <w:pPr>
        <w:pStyle w:val="ListParagraph"/>
        <w:numPr>
          <w:ilvl w:val="0"/>
          <w:numId w:val="28"/>
        </w:numPr>
        <w:spacing w:line="240" w:lineRule="auto"/>
        <w:textAlignment w:val="baseline"/>
        <w:rPr>
          <w:rFonts w:ascii="Calibri" w:eastAsia="Times New Roman" w:hAnsi="Calibri" w:cs="Calibri"/>
          <w:color w:val="1D2129"/>
          <w:sz w:val="24"/>
          <w:szCs w:val="24"/>
          <w:lang w:val="en-US" w:eastAsia="en-NZ"/>
        </w:rPr>
      </w:pPr>
      <w:r>
        <w:rPr>
          <w:rFonts w:ascii="Calibri" w:eastAsia="Times New Roman" w:hAnsi="Calibri" w:cs="Calibri"/>
          <w:color w:val="1D2129"/>
          <w:sz w:val="24"/>
          <w:szCs w:val="24"/>
          <w:lang w:val="en-US" w:eastAsia="en-NZ"/>
        </w:rPr>
        <w:t>It would reduce the (record high) numbers of families relying on Temporary Additional Support (TAS</w:t>
      </w:r>
      <w:r w:rsidR="00714E15">
        <w:rPr>
          <w:rFonts w:ascii="Calibri" w:eastAsia="Times New Roman" w:hAnsi="Calibri" w:cs="Calibri"/>
          <w:color w:val="1D2129"/>
          <w:sz w:val="24"/>
          <w:szCs w:val="24"/>
          <w:lang w:val="en-US" w:eastAsia="en-NZ"/>
        </w:rPr>
        <w:t>)</w:t>
      </w:r>
      <w:r w:rsidR="00C47459">
        <w:rPr>
          <w:rFonts w:ascii="Calibri" w:eastAsia="Times New Roman" w:hAnsi="Calibri" w:cs="Calibri"/>
          <w:color w:val="1D2129"/>
          <w:sz w:val="24"/>
          <w:szCs w:val="24"/>
          <w:lang w:val="en-US" w:eastAsia="en-NZ"/>
        </w:rPr>
        <w:t xml:space="preserve">, and remove a barrier to paid work for those caregivers </w:t>
      </w:r>
      <w:r w:rsidR="008B0F57">
        <w:rPr>
          <w:rFonts w:ascii="Calibri" w:eastAsia="Times New Roman" w:hAnsi="Calibri" w:cs="Calibri"/>
          <w:color w:val="1D2129"/>
          <w:sz w:val="24"/>
          <w:szCs w:val="24"/>
          <w:lang w:val="en-US" w:eastAsia="en-NZ"/>
        </w:rPr>
        <w:t xml:space="preserve">for whom </w:t>
      </w:r>
      <w:r w:rsidR="00A23D16">
        <w:rPr>
          <w:rFonts w:ascii="Calibri" w:eastAsia="Times New Roman" w:hAnsi="Calibri" w:cs="Calibri"/>
          <w:color w:val="1D2129"/>
          <w:sz w:val="24"/>
          <w:szCs w:val="24"/>
          <w:lang w:val="en-US" w:eastAsia="en-NZ"/>
        </w:rPr>
        <w:t xml:space="preserve">the </w:t>
      </w:r>
      <w:r w:rsidR="00714E15">
        <w:rPr>
          <w:rFonts w:ascii="Calibri" w:eastAsia="Times New Roman" w:hAnsi="Calibri" w:cs="Calibri"/>
          <w:color w:val="1D2129"/>
          <w:sz w:val="24"/>
          <w:szCs w:val="24"/>
          <w:lang w:val="en-US" w:eastAsia="en-NZ"/>
        </w:rPr>
        <w:t>combined IWTC</w:t>
      </w:r>
      <w:r w:rsidR="00C47459">
        <w:rPr>
          <w:rFonts w:ascii="Calibri" w:eastAsia="Times New Roman" w:hAnsi="Calibri" w:cs="Calibri"/>
          <w:color w:val="1D2129"/>
          <w:sz w:val="24"/>
          <w:szCs w:val="24"/>
          <w:lang w:val="en-US" w:eastAsia="en-NZ"/>
        </w:rPr>
        <w:t>/</w:t>
      </w:r>
      <w:r w:rsidR="00A23D16">
        <w:rPr>
          <w:rFonts w:ascii="Calibri" w:eastAsia="Times New Roman" w:hAnsi="Calibri" w:cs="Calibri"/>
          <w:color w:val="1D2129"/>
          <w:sz w:val="24"/>
          <w:szCs w:val="24"/>
          <w:lang w:val="en-US" w:eastAsia="en-NZ"/>
        </w:rPr>
        <w:t>FTC</w:t>
      </w:r>
      <w:r w:rsidR="006E4A92">
        <w:rPr>
          <w:rFonts w:ascii="Calibri" w:eastAsia="Times New Roman" w:hAnsi="Calibri" w:cs="Calibri"/>
          <w:color w:val="1D2129"/>
          <w:sz w:val="24"/>
          <w:szCs w:val="24"/>
          <w:lang w:val="en-US" w:eastAsia="en-NZ"/>
        </w:rPr>
        <w:t xml:space="preserve"> </w:t>
      </w:r>
      <w:r w:rsidR="008B0F57">
        <w:rPr>
          <w:rFonts w:ascii="Calibri" w:eastAsia="Times New Roman" w:hAnsi="Calibri" w:cs="Calibri"/>
          <w:color w:val="1D2129"/>
          <w:sz w:val="24"/>
          <w:szCs w:val="24"/>
          <w:lang w:val="en-US" w:eastAsia="en-NZ"/>
        </w:rPr>
        <w:t xml:space="preserve">would replace </w:t>
      </w:r>
      <w:r w:rsidR="006E4A92">
        <w:rPr>
          <w:rFonts w:ascii="Calibri" w:eastAsia="Times New Roman" w:hAnsi="Calibri" w:cs="Calibri"/>
          <w:color w:val="1D2129"/>
          <w:sz w:val="24"/>
          <w:szCs w:val="24"/>
          <w:lang w:val="en-US" w:eastAsia="en-NZ"/>
        </w:rPr>
        <w:t xml:space="preserve">TAS </w:t>
      </w:r>
      <w:r w:rsidR="00C47459">
        <w:rPr>
          <w:rFonts w:ascii="Calibri" w:eastAsia="Times New Roman" w:hAnsi="Calibri" w:cs="Calibri"/>
          <w:color w:val="1D2129"/>
          <w:sz w:val="24"/>
          <w:szCs w:val="24"/>
          <w:lang w:val="en-US" w:eastAsia="en-NZ"/>
        </w:rPr>
        <w:t xml:space="preserve">(as currently </w:t>
      </w:r>
      <w:r w:rsidR="006E4A92">
        <w:rPr>
          <w:rFonts w:ascii="Calibri" w:eastAsia="Times New Roman" w:hAnsi="Calibri" w:cs="Calibri"/>
          <w:color w:val="1D2129"/>
          <w:sz w:val="24"/>
          <w:szCs w:val="24"/>
          <w:lang w:val="en-US" w:eastAsia="en-NZ"/>
        </w:rPr>
        <w:t>their income abate</w:t>
      </w:r>
      <w:r w:rsidR="00C47459">
        <w:rPr>
          <w:rFonts w:ascii="Calibri" w:eastAsia="Times New Roman" w:hAnsi="Calibri" w:cs="Calibri"/>
          <w:color w:val="1D2129"/>
          <w:sz w:val="24"/>
          <w:szCs w:val="24"/>
          <w:lang w:val="en-US" w:eastAsia="en-NZ"/>
        </w:rPr>
        <w:t>s</w:t>
      </w:r>
      <w:r w:rsidR="006E4A92">
        <w:rPr>
          <w:rFonts w:ascii="Calibri" w:eastAsia="Times New Roman" w:hAnsi="Calibri" w:cs="Calibri"/>
          <w:color w:val="1D2129"/>
          <w:sz w:val="24"/>
          <w:szCs w:val="24"/>
          <w:lang w:val="en-US" w:eastAsia="en-NZ"/>
        </w:rPr>
        <w:t xml:space="preserve"> by 100% as soon as they start earning</w:t>
      </w:r>
      <w:r w:rsidR="00C47459">
        <w:rPr>
          <w:rFonts w:ascii="Calibri" w:eastAsia="Times New Roman" w:hAnsi="Calibri" w:cs="Calibri"/>
          <w:color w:val="1D2129"/>
          <w:sz w:val="24"/>
          <w:szCs w:val="24"/>
          <w:lang w:val="en-US" w:eastAsia="en-NZ"/>
        </w:rPr>
        <w:t>)</w:t>
      </w:r>
      <w:r w:rsidR="006E4A92">
        <w:rPr>
          <w:rFonts w:ascii="Calibri" w:eastAsia="Times New Roman" w:hAnsi="Calibri" w:cs="Calibri"/>
          <w:color w:val="1D2129"/>
          <w:sz w:val="24"/>
          <w:szCs w:val="24"/>
          <w:lang w:val="en-US" w:eastAsia="en-NZ"/>
        </w:rPr>
        <w:t>.</w:t>
      </w:r>
      <w:r w:rsidR="005B04C2">
        <w:rPr>
          <w:rFonts w:ascii="Calibri" w:eastAsia="Times New Roman" w:hAnsi="Calibri" w:cs="Calibri"/>
          <w:color w:val="1D2129"/>
          <w:sz w:val="24"/>
          <w:szCs w:val="24"/>
          <w:lang w:val="en-US" w:eastAsia="en-NZ"/>
        </w:rPr>
        <w:t xml:space="preserve"> </w:t>
      </w:r>
    </w:p>
    <w:p w14:paraId="2F8E7E71" w14:textId="6016BB04" w:rsidR="00F96A80" w:rsidRDefault="00F96A80" w:rsidP="00F96A80">
      <w:pPr>
        <w:pStyle w:val="ListParagraph"/>
        <w:numPr>
          <w:ilvl w:val="0"/>
          <w:numId w:val="28"/>
        </w:numPr>
        <w:spacing w:line="240" w:lineRule="auto"/>
        <w:textAlignment w:val="baseline"/>
        <w:rPr>
          <w:rFonts w:ascii="Calibri" w:eastAsia="Times New Roman" w:hAnsi="Calibri" w:cs="Calibri"/>
          <w:color w:val="1D2129"/>
          <w:sz w:val="24"/>
          <w:szCs w:val="24"/>
          <w:lang w:val="en-US" w:eastAsia="en-NZ"/>
        </w:rPr>
      </w:pPr>
      <w:r>
        <w:rPr>
          <w:rFonts w:ascii="Calibri" w:eastAsia="Times New Roman" w:hAnsi="Calibri" w:cs="Calibri"/>
          <w:color w:val="1D2129"/>
          <w:sz w:val="24"/>
          <w:szCs w:val="24"/>
          <w:lang w:val="en-US" w:eastAsia="en-NZ"/>
        </w:rPr>
        <w:t>It would ensure that families for whom paid work disappears in the current recession don’t also lose vital government income assistance</w:t>
      </w:r>
      <w:r w:rsidR="00A66B44">
        <w:rPr>
          <w:rFonts w:ascii="Calibri" w:eastAsia="Times New Roman" w:hAnsi="Calibri" w:cs="Calibri"/>
          <w:color w:val="1D2129"/>
          <w:sz w:val="24"/>
          <w:szCs w:val="24"/>
          <w:lang w:val="en-US" w:eastAsia="en-NZ"/>
        </w:rPr>
        <w:t xml:space="preserve"> for their </w:t>
      </w:r>
      <w:r w:rsidR="005B04C2">
        <w:rPr>
          <w:rFonts w:ascii="Calibri" w:eastAsia="Times New Roman" w:hAnsi="Calibri" w:cs="Calibri"/>
          <w:color w:val="1D2129"/>
          <w:sz w:val="24"/>
          <w:szCs w:val="24"/>
          <w:lang w:val="en-US" w:eastAsia="en-NZ"/>
        </w:rPr>
        <w:t>children</w:t>
      </w:r>
      <w:r>
        <w:rPr>
          <w:rFonts w:ascii="Calibri" w:eastAsia="Times New Roman" w:hAnsi="Calibri" w:cs="Calibri"/>
          <w:color w:val="1D2129"/>
          <w:sz w:val="24"/>
          <w:szCs w:val="24"/>
          <w:lang w:val="en-US" w:eastAsia="en-NZ"/>
        </w:rPr>
        <w:t xml:space="preserve"> at the same time</w:t>
      </w:r>
      <w:r w:rsidR="00714E15">
        <w:rPr>
          <w:rFonts w:ascii="Calibri" w:eastAsia="Times New Roman" w:hAnsi="Calibri" w:cs="Calibri"/>
          <w:color w:val="1D2129"/>
          <w:sz w:val="24"/>
          <w:szCs w:val="24"/>
          <w:lang w:val="en-US" w:eastAsia="en-NZ"/>
        </w:rPr>
        <w:t xml:space="preserve"> as their </w:t>
      </w:r>
      <w:r w:rsidR="00C47459">
        <w:rPr>
          <w:rFonts w:ascii="Calibri" w:eastAsia="Times New Roman" w:hAnsi="Calibri" w:cs="Calibri"/>
          <w:color w:val="1D2129"/>
          <w:sz w:val="24"/>
          <w:szCs w:val="24"/>
          <w:lang w:val="en-US" w:eastAsia="en-NZ"/>
        </w:rPr>
        <w:t>paid-work earnings reduce</w:t>
      </w:r>
      <w:r>
        <w:rPr>
          <w:rFonts w:ascii="Calibri" w:eastAsia="Times New Roman" w:hAnsi="Calibri" w:cs="Calibri"/>
          <w:color w:val="1D2129"/>
          <w:sz w:val="24"/>
          <w:szCs w:val="24"/>
          <w:lang w:val="en-US" w:eastAsia="en-NZ"/>
        </w:rPr>
        <w:t xml:space="preserve">. </w:t>
      </w:r>
    </w:p>
    <w:p w14:paraId="010E92AE" w14:textId="79CC57B7" w:rsidR="006E4A92" w:rsidRPr="00D86119" w:rsidRDefault="00EF30D2" w:rsidP="00EF692C">
      <w:pPr>
        <w:spacing w:line="240" w:lineRule="auto"/>
        <w:ind w:left="284"/>
        <w:textAlignment w:val="baseline"/>
        <w:rPr>
          <w:rFonts w:ascii="Calibri" w:eastAsia="Times New Roman" w:hAnsi="Calibri" w:cs="Calibri"/>
          <w:b/>
          <w:bCs/>
          <w:color w:val="1D2129"/>
          <w:sz w:val="24"/>
          <w:szCs w:val="24"/>
          <w:lang w:val="en-US" w:eastAsia="en-NZ"/>
        </w:rPr>
      </w:pPr>
      <w:r w:rsidRPr="00F96A80">
        <w:rPr>
          <w:rFonts w:ascii="Calibri" w:eastAsia="Times New Roman" w:hAnsi="Calibri" w:cs="Calibri"/>
          <w:color w:val="1D2129"/>
          <w:sz w:val="24"/>
          <w:szCs w:val="24"/>
          <w:lang w:val="en-US" w:eastAsia="en-NZ"/>
        </w:rPr>
        <w:t xml:space="preserve">There has been reluctance in the past on behalf of governments to remove the </w:t>
      </w:r>
      <w:r w:rsidR="00196C3A">
        <w:rPr>
          <w:rFonts w:ascii="Calibri" w:eastAsia="Times New Roman" w:hAnsi="Calibri" w:cs="Calibri"/>
          <w:color w:val="1D2129"/>
          <w:sz w:val="24"/>
          <w:szCs w:val="24"/>
          <w:lang w:val="en-US" w:eastAsia="en-NZ"/>
        </w:rPr>
        <w:t>current</w:t>
      </w:r>
      <w:r w:rsidR="002B4B62">
        <w:rPr>
          <w:rFonts w:ascii="Calibri" w:eastAsia="Times New Roman" w:hAnsi="Calibri" w:cs="Calibri"/>
          <w:color w:val="1D2129"/>
          <w:sz w:val="24"/>
          <w:szCs w:val="24"/>
          <w:lang w:val="en-US" w:eastAsia="en-NZ"/>
        </w:rPr>
        <w:t xml:space="preserve"> </w:t>
      </w:r>
      <w:r w:rsidR="00510142">
        <w:rPr>
          <w:rFonts w:ascii="Calibri" w:eastAsia="Times New Roman" w:hAnsi="Calibri" w:cs="Calibri"/>
          <w:color w:val="1D2129"/>
          <w:sz w:val="24"/>
          <w:szCs w:val="24"/>
          <w:lang w:val="en-US" w:eastAsia="en-NZ"/>
        </w:rPr>
        <w:t xml:space="preserve">policy on </w:t>
      </w:r>
      <w:r w:rsidRPr="00F96A80">
        <w:rPr>
          <w:rFonts w:ascii="Calibri" w:eastAsia="Times New Roman" w:hAnsi="Calibri" w:cs="Calibri"/>
          <w:color w:val="1D2129"/>
          <w:sz w:val="24"/>
          <w:szCs w:val="24"/>
          <w:lang w:val="en-US" w:eastAsia="en-NZ"/>
        </w:rPr>
        <w:t xml:space="preserve">IWTC </w:t>
      </w:r>
      <w:r w:rsidR="00196C3A">
        <w:rPr>
          <w:rFonts w:ascii="Calibri" w:eastAsia="Times New Roman" w:hAnsi="Calibri" w:cs="Calibri"/>
          <w:color w:val="1D2129"/>
          <w:sz w:val="24"/>
          <w:szCs w:val="24"/>
          <w:lang w:val="en-US" w:eastAsia="en-NZ"/>
        </w:rPr>
        <w:t xml:space="preserve">because </w:t>
      </w:r>
      <w:r w:rsidR="0000707D">
        <w:rPr>
          <w:rFonts w:ascii="Calibri" w:eastAsia="Times New Roman" w:hAnsi="Calibri" w:cs="Calibri"/>
          <w:color w:val="1D2129"/>
          <w:sz w:val="24"/>
          <w:szCs w:val="24"/>
          <w:lang w:val="en-US" w:eastAsia="en-NZ"/>
        </w:rPr>
        <w:t xml:space="preserve">of a belief that </w:t>
      </w:r>
      <w:r w:rsidR="00C47459">
        <w:rPr>
          <w:rFonts w:ascii="Calibri" w:eastAsia="Times New Roman" w:hAnsi="Calibri" w:cs="Calibri"/>
          <w:color w:val="1D2129"/>
          <w:sz w:val="24"/>
          <w:szCs w:val="24"/>
          <w:lang w:val="en-US" w:eastAsia="en-NZ"/>
        </w:rPr>
        <w:t xml:space="preserve">the gap between paid-work income and benefit income </w:t>
      </w:r>
      <w:r w:rsidR="00196C3A">
        <w:rPr>
          <w:rFonts w:ascii="Calibri" w:eastAsia="Times New Roman" w:hAnsi="Calibri" w:cs="Calibri"/>
          <w:color w:val="1D2129"/>
          <w:sz w:val="24"/>
          <w:szCs w:val="24"/>
          <w:lang w:val="en-US" w:eastAsia="en-NZ"/>
        </w:rPr>
        <w:t>is necessary as</w:t>
      </w:r>
      <w:r w:rsidRPr="00F96A80">
        <w:rPr>
          <w:rFonts w:ascii="Calibri" w:eastAsia="Times New Roman" w:hAnsi="Calibri" w:cs="Calibri"/>
          <w:color w:val="1D2129"/>
          <w:sz w:val="24"/>
          <w:szCs w:val="24"/>
          <w:lang w:val="en-US" w:eastAsia="en-NZ"/>
        </w:rPr>
        <w:t xml:space="preserve"> a </w:t>
      </w:r>
      <w:r w:rsidR="00C47459">
        <w:rPr>
          <w:rFonts w:ascii="Calibri" w:eastAsia="Times New Roman" w:hAnsi="Calibri" w:cs="Calibri"/>
          <w:color w:val="1D2129"/>
          <w:sz w:val="24"/>
          <w:szCs w:val="24"/>
          <w:lang w:val="en-US" w:eastAsia="en-NZ"/>
        </w:rPr>
        <w:t>paid-</w:t>
      </w:r>
      <w:r w:rsidRPr="00F96A80">
        <w:rPr>
          <w:rFonts w:ascii="Calibri" w:eastAsia="Times New Roman" w:hAnsi="Calibri" w:cs="Calibri"/>
          <w:color w:val="1D2129"/>
          <w:sz w:val="24"/>
          <w:szCs w:val="24"/>
          <w:lang w:val="en-US" w:eastAsia="en-NZ"/>
        </w:rPr>
        <w:t xml:space="preserve">work incentive. </w:t>
      </w:r>
      <w:r w:rsidR="00C47459">
        <w:rPr>
          <w:rFonts w:ascii="Calibri" w:eastAsia="Times New Roman" w:hAnsi="Calibri" w:cs="Calibri"/>
          <w:color w:val="1D2129"/>
          <w:sz w:val="24"/>
          <w:szCs w:val="24"/>
          <w:lang w:val="en-US" w:eastAsia="en-NZ"/>
        </w:rPr>
        <w:t>But t</w:t>
      </w:r>
      <w:r>
        <w:rPr>
          <w:rFonts w:ascii="Calibri" w:eastAsia="Times New Roman" w:hAnsi="Calibri" w:cs="Calibri"/>
          <w:color w:val="1D2129"/>
          <w:sz w:val="24"/>
          <w:szCs w:val="24"/>
          <w:lang w:val="en-US" w:eastAsia="en-NZ"/>
        </w:rPr>
        <w:t xml:space="preserve">he Government’s </w:t>
      </w:r>
      <w:r w:rsidR="00C47459">
        <w:rPr>
          <w:rFonts w:ascii="Calibri" w:eastAsia="Times New Roman" w:hAnsi="Calibri" w:cs="Calibri"/>
          <w:color w:val="1D2129"/>
          <w:sz w:val="24"/>
          <w:szCs w:val="24"/>
          <w:lang w:val="en-US" w:eastAsia="en-NZ"/>
        </w:rPr>
        <w:t xml:space="preserve">commendable </w:t>
      </w:r>
      <w:r>
        <w:rPr>
          <w:rFonts w:ascii="Calibri" w:eastAsia="Times New Roman" w:hAnsi="Calibri" w:cs="Calibri"/>
          <w:color w:val="1D2129"/>
          <w:sz w:val="24"/>
          <w:szCs w:val="24"/>
          <w:lang w:val="en-US" w:eastAsia="en-NZ"/>
        </w:rPr>
        <w:t xml:space="preserve">minimum wage increases mean the financial gap between working </w:t>
      </w:r>
      <w:r w:rsidR="006E4A92">
        <w:rPr>
          <w:rFonts w:ascii="Calibri" w:eastAsia="Times New Roman" w:hAnsi="Calibri" w:cs="Calibri"/>
          <w:color w:val="1D2129"/>
          <w:sz w:val="24"/>
          <w:szCs w:val="24"/>
          <w:lang w:val="en-US" w:eastAsia="en-NZ"/>
        </w:rPr>
        <w:t xml:space="preserve">a paid job </w:t>
      </w:r>
      <w:r>
        <w:rPr>
          <w:rFonts w:ascii="Calibri" w:eastAsia="Times New Roman" w:hAnsi="Calibri" w:cs="Calibri"/>
          <w:color w:val="1D2129"/>
          <w:sz w:val="24"/>
          <w:szCs w:val="24"/>
          <w:lang w:val="en-US" w:eastAsia="en-NZ"/>
        </w:rPr>
        <w:t xml:space="preserve">and </w:t>
      </w:r>
      <w:r w:rsidR="00C47459">
        <w:rPr>
          <w:rFonts w:ascii="Calibri" w:eastAsia="Times New Roman" w:hAnsi="Calibri" w:cs="Calibri"/>
          <w:color w:val="1D2129"/>
          <w:sz w:val="24"/>
          <w:szCs w:val="24"/>
          <w:lang w:val="en-US" w:eastAsia="en-NZ"/>
        </w:rPr>
        <w:t xml:space="preserve">not doing so </w:t>
      </w:r>
      <w:r>
        <w:rPr>
          <w:rFonts w:ascii="Calibri" w:eastAsia="Times New Roman" w:hAnsi="Calibri" w:cs="Calibri"/>
          <w:color w:val="1D2129"/>
          <w:sz w:val="24"/>
          <w:szCs w:val="24"/>
          <w:lang w:val="en-US" w:eastAsia="en-NZ"/>
        </w:rPr>
        <w:t>has greatly increased</w:t>
      </w:r>
      <w:r w:rsidR="00D86119">
        <w:rPr>
          <w:rFonts w:ascii="Calibri" w:eastAsia="Times New Roman" w:hAnsi="Calibri" w:cs="Calibri"/>
          <w:color w:val="1D2129"/>
          <w:sz w:val="24"/>
          <w:szCs w:val="24"/>
          <w:lang w:val="en-US" w:eastAsia="en-NZ"/>
        </w:rPr>
        <w:t>.</w:t>
      </w:r>
      <w:r>
        <w:rPr>
          <w:rFonts w:ascii="Calibri" w:eastAsia="Times New Roman" w:hAnsi="Calibri" w:cs="Calibri"/>
          <w:color w:val="1D2129"/>
          <w:sz w:val="24"/>
          <w:szCs w:val="24"/>
          <w:lang w:val="en-US" w:eastAsia="en-NZ"/>
        </w:rPr>
        <w:t xml:space="preserve"> </w:t>
      </w:r>
      <w:r w:rsidR="00D86119">
        <w:rPr>
          <w:rFonts w:ascii="Calibri" w:eastAsia="Times New Roman" w:hAnsi="Calibri" w:cs="Calibri"/>
          <w:color w:val="1D2129"/>
          <w:sz w:val="24"/>
          <w:szCs w:val="24"/>
          <w:lang w:val="en-US" w:eastAsia="en-NZ"/>
        </w:rPr>
        <w:t>F</w:t>
      </w:r>
      <w:r>
        <w:rPr>
          <w:rFonts w:ascii="Calibri" w:eastAsia="Times New Roman" w:hAnsi="Calibri" w:cs="Calibri"/>
          <w:color w:val="1D2129"/>
          <w:sz w:val="24"/>
          <w:szCs w:val="24"/>
          <w:lang w:val="en-US" w:eastAsia="en-NZ"/>
        </w:rPr>
        <w:t xml:space="preserve">or example, </w:t>
      </w:r>
      <w:r w:rsidR="00D86119">
        <w:rPr>
          <w:rFonts w:ascii="Calibri" w:eastAsia="Times New Roman" w:hAnsi="Calibri" w:cs="Calibri"/>
          <w:color w:val="1D2129"/>
          <w:sz w:val="24"/>
          <w:szCs w:val="24"/>
          <w:lang w:val="en-US" w:eastAsia="en-NZ"/>
        </w:rPr>
        <w:t xml:space="preserve">our preliminary research indicates that </w:t>
      </w:r>
      <w:r>
        <w:rPr>
          <w:rFonts w:ascii="Calibri" w:eastAsia="Times New Roman" w:hAnsi="Calibri" w:cs="Calibri"/>
          <w:color w:val="1D2129"/>
          <w:sz w:val="24"/>
          <w:szCs w:val="24"/>
          <w:lang w:val="en-US" w:eastAsia="en-NZ"/>
        </w:rPr>
        <w:t xml:space="preserve">once the promised $20 minimum wage is implemented in 2021, the families of sole parents working 40 hours minimum wage </w:t>
      </w:r>
      <w:r w:rsidR="009671D8">
        <w:rPr>
          <w:rFonts w:ascii="Calibri" w:eastAsia="Times New Roman" w:hAnsi="Calibri" w:cs="Calibri"/>
          <w:color w:val="1D2129"/>
          <w:sz w:val="24"/>
          <w:szCs w:val="24"/>
          <w:lang w:val="en-US" w:eastAsia="en-NZ"/>
        </w:rPr>
        <w:t xml:space="preserve">would </w:t>
      </w:r>
      <w:r>
        <w:rPr>
          <w:rFonts w:ascii="Calibri" w:eastAsia="Times New Roman" w:hAnsi="Calibri" w:cs="Calibri"/>
          <w:color w:val="1D2129"/>
          <w:sz w:val="24"/>
          <w:szCs w:val="24"/>
          <w:lang w:val="en-US" w:eastAsia="en-NZ"/>
        </w:rPr>
        <w:t xml:space="preserve">be $279 better off a week than the families of sole parents would be were they to receive both their core benefit entitlements </w:t>
      </w:r>
      <w:r w:rsidRPr="003F3AF7">
        <w:rPr>
          <w:rFonts w:ascii="Calibri" w:eastAsia="Times New Roman" w:hAnsi="Calibri" w:cs="Calibri"/>
          <w:i/>
          <w:iCs/>
          <w:color w:val="1D2129"/>
          <w:sz w:val="24"/>
          <w:szCs w:val="24"/>
          <w:lang w:val="en-US" w:eastAsia="en-NZ"/>
        </w:rPr>
        <w:t>and</w:t>
      </w:r>
      <w:r>
        <w:rPr>
          <w:rFonts w:ascii="Calibri" w:eastAsia="Times New Roman" w:hAnsi="Calibri" w:cs="Calibri"/>
          <w:color w:val="1D2129"/>
          <w:sz w:val="24"/>
          <w:szCs w:val="24"/>
          <w:lang w:val="en-US" w:eastAsia="en-NZ"/>
        </w:rPr>
        <w:t xml:space="preserve"> the </w:t>
      </w:r>
      <w:r w:rsidR="009671D8">
        <w:rPr>
          <w:rFonts w:ascii="Calibri" w:eastAsia="Times New Roman" w:hAnsi="Calibri" w:cs="Calibri"/>
          <w:color w:val="1D2129"/>
          <w:sz w:val="24"/>
          <w:szCs w:val="24"/>
          <w:lang w:val="en-US" w:eastAsia="en-NZ"/>
        </w:rPr>
        <w:t xml:space="preserve">current </w:t>
      </w:r>
      <w:r>
        <w:rPr>
          <w:rFonts w:ascii="Calibri" w:eastAsia="Times New Roman" w:hAnsi="Calibri" w:cs="Calibri"/>
          <w:color w:val="1D2129"/>
          <w:sz w:val="24"/>
          <w:szCs w:val="24"/>
          <w:lang w:val="en-US" w:eastAsia="en-NZ"/>
        </w:rPr>
        <w:t>IWTC but not be undertaking paid work.</w:t>
      </w:r>
      <w:r w:rsidR="006E4A92">
        <w:rPr>
          <w:rFonts w:ascii="Calibri" w:eastAsia="Times New Roman" w:hAnsi="Calibri" w:cs="Calibri"/>
          <w:color w:val="1D2129"/>
          <w:sz w:val="24"/>
          <w:szCs w:val="24"/>
          <w:lang w:val="en-US" w:eastAsia="en-NZ"/>
        </w:rPr>
        <w:t xml:space="preserve"> </w:t>
      </w:r>
      <w:r w:rsidR="00D86119">
        <w:rPr>
          <w:rFonts w:ascii="Calibri" w:eastAsia="Times New Roman" w:hAnsi="Calibri" w:cs="Calibri"/>
          <w:color w:val="1D2129"/>
          <w:sz w:val="24"/>
          <w:szCs w:val="24"/>
          <w:lang w:val="en-US" w:eastAsia="en-NZ"/>
        </w:rPr>
        <w:br/>
      </w:r>
      <w:r w:rsidR="006E4A92" w:rsidRPr="00D86119">
        <w:rPr>
          <w:rFonts w:ascii="Calibri" w:eastAsia="Times New Roman" w:hAnsi="Calibri" w:cs="Calibri"/>
          <w:b/>
          <w:bCs/>
          <w:color w:val="1D2129"/>
          <w:sz w:val="24"/>
          <w:szCs w:val="24"/>
          <w:lang w:val="en-US" w:eastAsia="en-NZ"/>
        </w:rPr>
        <w:t xml:space="preserve">Child Poverty Action Group is planning a policy paper for you and your team on this point early in the New Year – </w:t>
      </w:r>
      <w:r w:rsidR="009671D8" w:rsidRPr="00D86119">
        <w:rPr>
          <w:rFonts w:ascii="Calibri" w:eastAsia="Times New Roman" w:hAnsi="Calibri" w:cs="Calibri"/>
          <w:b/>
          <w:bCs/>
          <w:color w:val="1D2129"/>
          <w:sz w:val="24"/>
          <w:szCs w:val="24"/>
          <w:lang w:val="en-US" w:eastAsia="en-NZ"/>
        </w:rPr>
        <w:t xml:space="preserve">and </w:t>
      </w:r>
      <w:r w:rsidR="006E4A92" w:rsidRPr="00D86119">
        <w:rPr>
          <w:rFonts w:ascii="Calibri" w:eastAsia="Times New Roman" w:hAnsi="Calibri" w:cs="Calibri"/>
          <w:b/>
          <w:bCs/>
          <w:color w:val="1D2129"/>
          <w:sz w:val="24"/>
          <w:szCs w:val="24"/>
          <w:lang w:val="en-US" w:eastAsia="en-NZ"/>
        </w:rPr>
        <w:t>we would heartily welcome any discussion with your team on this beforehand, about what points would be most useful.</w:t>
      </w:r>
    </w:p>
    <w:p w14:paraId="4308F4E2" w14:textId="03C552C7" w:rsidR="001270C0" w:rsidRDefault="00E1093E" w:rsidP="006C211B">
      <w:pPr>
        <w:pStyle w:val="ListParagraph"/>
        <w:spacing w:line="240" w:lineRule="auto"/>
        <w:ind w:left="284"/>
        <w:textAlignment w:val="baseline"/>
        <w:rPr>
          <w:rFonts w:ascii="Calibri" w:eastAsia="Times New Roman" w:hAnsi="Calibri" w:cs="Calibri"/>
          <w:color w:val="1D2129"/>
          <w:sz w:val="24"/>
          <w:szCs w:val="24"/>
          <w:lang w:val="en-US" w:eastAsia="en-NZ"/>
        </w:rPr>
      </w:pPr>
      <w:r w:rsidRPr="00E32BE8">
        <w:rPr>
          <w:rFonts w:ascii="Calibri" w:eastAsia="Times New Roman" w:hAnsi="Calibri" w:cs="Calibri"/>
          <w:b/>
          <w:bCs/>
          <w:color w:val="1D2129"/>
          <w:sz w:val="24"/>
          <w:szCs w:val="24"/>
          <w:lang w:val="en-US" w:eastAsia="en-NZ"/>
        </w:rPr>
        <w:t xml:space="preserve">Re </w:t>
      </w:r>
      <w:r w:rsidR="00E32BE8">
        <w:rPr>
          <w:rFonts w:ascii="Calibri" w:eastAsia="Times New Roman" w:hAnsi="Calibri" w:cs="Calibri"/>
          <w:b/>
          <w:bCs/>
          <w:color w:val="1D2129"/>
          <w:sz w:val="24"/>
          <w:szCs w:val="24"/>
          <w:lang w:val="en-US" w:eastAsia="en-NZ"/>
        </w:rPr>
        <w:t>1</w:t>
      </w:r>
      <w:r w:rsidRPr="00E32BE8">
        <w:rPr>
          <w:rFonts w:ascii="Calibri" w:eastAsia="Times New Roman" w:hAnsi="Calibri" w:cs="Calibri"/>
          <w:b/>
          <w:bCs/>
          <w:color w:val="1D2129"/>
          <w:sz w:val="24"/>
          <w:szCs w:val="24"/>
          <w:lang w:val="en-US" w:eastAsia="en-NZ"/>
        </w:rPr>
        <w:t>ii:</w:t>
      </w:r>
      <w:r>
        <w:rPr>
          <w:rFonts w:ascii="Calibri" w:eastAsia="Times New Roman" w:hAnsi="Calibri" w:cs="Calibri"/>
          <w:color w:val="1D2129"/>
          <w:sz w:val="24"/>
          <w:szCs w:val="24"/>
          <w:lang w:val="en-US" w:eastAsia="en-NZ"/>
        </w:rPr>
        <w:t xml:space="preserve"> </w:t>
      </w:r>
      <w:r w:rsidR="001270C0">
        <w:rPr>
          <w:rFonts w:ascii="Calibri" w:eastAsia="Times New Roman" w:hAnsi="Calibri" w:cs="Calibri"/>
          <w:color w:val="1D2129"/>
          <w:sz w:val="24"/>
          <w:szCs w:val="24"/>
          <w:lang w:val="en-US" w:eastAsia="en-NZ"/>
        </w:rPr>
        <w:t>Increa</w:t>
      </w:r>
      <w:r w:rsidR="009671D8">
        <w:rPr>
          <w:rFonts w:ascii="Calibri" w:eastAsia="Times New Roman" w:hAnsi="Calibri" w:cs="Calibri"/>
          <w:color w:val="1D2129"/>
          <w:sz w:val="24"/>
          <w:szCs w:val="24"/>
          <w:lang w:val="en-US" w:eastAsia="en-NZ"/>
        </w:rPr>
        <w:t>sing</w:t>
      </w:r>
      <w:r w:rsidR="001270C0">
        <w:rPr>
          <w:rFonts w:ascii="Calibri" w:eastAsia="Times New Roman" w:hAnsi="Calibri" w:cs="Calibri"/>
          <w:color w:val="1D2129"/>
          <w:sz w:val="24"/>
          <w:szCs w:val="24"/>
          <w:lang w:val="en-US" w:eastAsia="en-NZ"/>
        </w:rPr>
        <w:t xml:space="preserve"> core benefits</w:t>
      </w:r>
    </w:p>
    <w:p w14:paraId="24903BBE" w14:textId="51C0E947" w:rsidR="00A66C25" w:rsidRDefault="00F339D7" w:rsidP="006C211B">
      <w:pPr>
        <w:pStyle w:val="ListParagraph"/>
        <w:spacing w:line="240" w:lineRule="auto"/>
        <w:ind w:left="284"/>
        <w:textAlignment w:val="baseline"/>
        <w:rPr>
          <w:rFonts w:ascii="Calibri" w:eastAsia="Times New Roman" w:hAnsi="Calibri" w:cs="Calibri"/>
          <w:color w:val="1D2129"/>
          <w:sz w:val="24"/>
          <w:szCs w:val="24"/>
          <w:lang w:val="en-US" w:eastAsia="en-NZ"/>
        </w:rPr>
      </w:pPr>
      <w:r>
        <w:rPr>
          <w:rFonts w:ascii="Calibri" w:eastAsia="Times New Roman" w:hAnsi="Calibri" w:cs="Calibri"/>
          <w:color w:val="1D2129"/>
          <w:sz w:val="24"/>
          <w:szCs w:val="24"/>
          <w:lang w:val="en-US" w:eastAsia="en-NZ"/>
        </w:rPr>
        <w:t>The extension of the IWTC does not solve</w:t>
      </w:r>
      <w:r w:rsidR="004270F9">
        <w:rPr>
          <w:rFonts w:ascii="Calibri" w:eastAsia="Times New Roman" w:hAnsi="Calibri" w:cs="Calibri"/>
          <w:color w:val="1D2129"/>
          <w:sz w:val="24"/>
          <w:szCs w:val="24"/>
          <w:lang w:val="en-US" w:eastAsia="en-NZ"/>
        </w:rPr>
        <w:t xml:space="preserve"> the problem that adult benefits are too low</w:t>
      </w:r>
      <w:r w:rsidR="00E57B41">
        <w:rPr>
          <w:rFonts w:ascii="Calibri" w:eastAsia="Times New Roman" w:hAnsi="Calibri" w:cs="Calibri"/>
          <w:color w:val="1D2129"/>
          <w:sz w:val="24"/>
          <w:szCs w:val="24"/>
          <w:lang w:val="en-US" w:eastAsia="en-NZ"/>
        </w:rPr>
        <w:t xml:space="preserve">, especially adult couple rates. </w:t>
      </w:r>
      <w:r w:rsidR="00E2369A">
        <w:rPr>
          <w:rFonts w:ascii="Calibri" w:eastAsia="Times New Roman" w:hAnsi="Calibri" w:cs="Calibri"/>
          <w:color w:val="1D2129"/>
          <w:sz w:val="24"/>
          <w:szCs w:val="24"/>
          <w:lang w:val="en-US" w:eastAsia="en-NZ"/>
        </w:rPr>
        <w:t xml:space="preserve">As Figure </w:t>
      </w:r>
      <w:r w:rsidR="00FA6BB2">
        <w:rPr>
          <w:rFonts w:ascii="Calibri" w:eastAsia="Times New Roman" w:hAnsi="Calibri" w:cs="Calibri"/>
          <w:color w:val="1D2129"/>
          <w:sz w:val="24"/>
          <w:szCs w:val="24"/>
          <w:lang w:val="en-US" w:eastAsia="en-NZ"/>
        </w:rPr>
        <w:t>1</w:t>
      </w:r>
      <w:r w:rsidR="00A66C25">
        <w:rPr>
          <w:rFonts w:ascii="Calibri" w:eastAsia="Times New Roman" w:hAnsi="Calibri" w:cs="Calibri"/>
          <w:color w:val="1D2129"/>
          <w:sz w:val="24"/>
          <w:szCs w:val="24"/>
          <w:lang w:val="en-US" w:eastAsia="en-NZ"/>
        </w:rPr>
        <w:t xml:space="preserve"> shows, even with the IWTC, </w:t>
      </w:r>
      <w:r w:rsidR="00776655">
        <w:rPr>
          <w:rFonts w:ascii="Calibri" w:eastAsia="Times New Roman" w:hAnsi="Calibri" w:cs="Calibri"/>
          <w:color w:val="1D2129"/>
          <w:sz w:val="24"/>
          <w:szCs w:val="24"/>
          <w:lang w:val="en-US" w:eastAsia="en-NZ"/>
        </w:rPr>
        <w:t xml:space="preserve">all our eight model households of </w:t>
      </w:r>
      <w:r w:rsidR="00A66C25">
        <w:rPr>
          <w:rFonts w:ascii="Calibri" w:eastAsia="Times New Roman" w:hAnsi="Calibri" w:cs="Calibri"/>
          <w:color w:val="1D2129"/>
          <w:sz w:val="24"/>
          <w:szCs w:val="24"/>
          <w:lang w:val="en-US" w:eastAsia="en-NZ"/>
        </w:rPr>
        <w:t xml:space="preserve">couples on Jobseeker with children paying lower quartile rent would still </w:t>
      </w:r>
      <w:r w:rsidR="00D86119">
        <w:rPr>
          <w:rFonts w:ascii="Calibri" w:eastAsia="Times New Roman" w:hAnsi="Calibri" w:cs="Calibri"/>
          <w:color w:val="1D2129"/>
          <w:sz w:val="24"/>
          <w:szCs w:val="24"/>
          <w:lang w:val="en-US" w:eastAsia="en-NZ"/>
        </w:rPr>
        <w:t xml:space="preserve">be </w:t>
      </w:r>
      <w:r w:rsidR="00A66C25">
        <w:rPr>
          <w:rFonts w:ascii="Calibri" w:eastAsia="Times New Roman" w:hAnsi="Calibri" w:cs="Calibri"/>
          <w:color w:val="1D2129"/>
          <w:sz w:val="24"/>
          <w:szCs w:val="24"/>
          <w:lang w:val="en-US" w:eastAsia="en-NZ"/>
        </w:rPr>
        <w:t xml:space="preserve">between $54 and $132 a week below the </w:t>
      </w:r>
      <w:r w:rsidR="002C59A4">
        <w:rPr>
          <w:rFonts w:ascii="Calibri" w:eastAsia="Times New Roman" w:hAnsi="Calibri" w:cs="Calibri"/>
          <w:color w:val="1D2129"/>
          <w:sz w:val="24"/>
          <w:szCs w:val="24"/>
          <w:lang w:val="en-US" w:eastAsia="en-NZ"/>
        </w:rPr>
        <w:t>primary AHC poverty line (50% fixed).</w:t>
      </w:r>
      <w:r w:rsidR="00FE2304">
        <w:rPr>
          <w:rFonts w:ascii="Calibri" w:eastAsia="Times New Roman" w:hAnsi="Calibri" w:cs="Calibri"/>
          <w:color w:val="1D2129"/>
          <w:sz w:val="24"/>
          <w:szCs w:val="24"/>
          <w:lang w:val="en-US" w:eastAsia="en-NZ"/>
        </w:rPr>
        <w:t xml:space="preserve"> </w:t>
      </w:r>
      <w:r w:rsidR="009671D8">
        <w:rPr>
          <w:rFonts w:ascii="Calibri" w:eastAsia="Times New Roman" w:hAnsi="Calibri" w:cs="Calibri"/>
          <w:color w:val="1D2129"/>
          <w:sz w:val="24"/>
          <w:szCs w:val="24"/>
          <w:lang w:val="en-US" w:eastAsia="en-NZ"/>
        </w:rPr>
        <w:t xml:space="preserve">For example if the IWTC is extended to benefit recipients but core benefits are not raised, a </w:t>
      </w:r>
      <w:r w:rsidR="00FE2304">
        <w:rPr>
          <w:rFonts w:ascii="Calibri" w:eastAsia="Times New Roman" w:hAnsi="Calibri" w:cs="Calibri"/>
          <w:color w:val="1D2129"/>
          <w:sz w:val="24"/>
          <w:szCs w:val="24"/>
          <w:lang w:val="en-US" w:eastAsia="en-NZ"/>
        </w:rPr>
        <w:lastRenderedPageBreak/>
        <w:t>couple with one child renting a low-cost 2-bedroom house in Auckland</w:t>
      </w:r>
      <w:r w:rsidR="009671D8">
        <w:rPr>
          <w:rFonts w:ascii="Calibri" w:eastAsia="Times New Roman" w:hAnsi="Calibri" w:cs="Calibri"/>
          <w:color w:val="1D2129"/>
          <w:sz w:val="24"/>
          <w:szCs w:val="24"/>
          <w:lang w:val="en-US" w:eastAsia="en-NZ"/>
        </w:rPr>
        <w:t xml:space="preserve"> would see</w:t>
      </w:r>
      <w:r w:rsidR="00FE2304">
        <w:rPr>
          <w:rFonts w:ascii="Calibri" w:eastAsia="Times New Roman" w:hAnsi="Calibri" w:cs="Calibri"/>
          <w:color w:val="1D2129"/>
          <w:sz w:val="24"/>
          <w:szCs w:val="24"/>
          <w:lang w:val="en-US" w:eastAsia="en-NZ"/>
        </w:rPr>
        <w:t xml:space="preserve"> their income </w:t>
      </w:r>
      <w:r w:rsidR="00AF789C">
        <w:rPr>
          <w:rFonts w:ascii="Calibri" w:eastAsia="Times New Roman" w:hAnsi="Calibri" w:cs="Calibri"/>
          <w:color w:val="1D2129"/>
          <w:sz w:val="24"/>
          <w:szCs w:val="24"/>
          <w:lang w:val="en-US" w:eastAsia="en-NZ"/>
        </w:rPr>
        <w:t xml:space="preserve">increase </w:t>
      </w:r>
      <w:r w:rsidR="00FE2304">
        <w:rPr>
          <w:rFonts w:ascii="Calibri" w:eastAsia="Times New Roman" w:hAnsi="Calibri" w:cs="Calibri"/>
          <w:color w:val="1D2129"/>
          <w:sz w:val="24"/>
          <w:szCs w:val="24"/>
          <w:lang w:val="en-US" w:eastAsia="en-NZ"/>
        </w:rPr>
        <w:t xml:space="preserve">from 33% to </w:t>
      </w:r>
      <w:r w:rsidR="009671D8">
        <w:rPr>
          <w:rFonts w:ascii="Calibri" w:eastAsia="Times New Roman" w:hAnsi="Calibri" w:cs="Calibri"/>
          <w:color w:val="1D2129"/>
          <w:sz w:val="24"/>
          <w:szCs w:val="24"/>
          <w:lang w:val="en-US" w:eastAsia="en-NZ"/>
        </w:rPr>
        <w:t xml:space="preserve">only </w:t>
      </w:r>
      <w:r w:rsidR="00FE2304">
        <w:rPr>
          <w:rFonts w:ascii="Calibri" w:eastAsia="Times New Roman" w:hAnsi="Calibri" w:cs="Calibri"/>
          <w:color w:val="1D2129"/>
          <w:sz w:val="24"/>
          <w:szCs w:val="24"/>
          <w:lang w:val="en-US" w:eastAsia="en-NZ"/>
        </w:rPr>
        <w:t>39% of the fixed AHC measure</w:t>
      </w:r>
      <w:r w:rsidR="00DA7A34">
        <w:rPr>
          <w:rFonts w:ascii="Calibri" w:eastAsia="Times New Roman" w:hAnsi="Calibri" w:cs="Calibri"/>
          <w:color w:val="1D2129"/>
          <w:sz w:val="24"/>
          <w:szCs w:val="24"/>
          <w:lang w:val="en-US" w:eastAsia="en-NZ"/>
        </w:rPr>
        <w:t>, not getting them near the 50% poverty line</w:t>
      </w:r>
      <w:r w:rsidR="00FE2304">
        <w:rPr>
          <w:rFonts w:ascii="Calibri" w:eastAsia="Times New Roman" w:hAnsi="Calibri" w:cs="Calibri"/>
          <w:color w:val="1D2129"/>
          <w:sz w:val="24"/>
          <w:szCs w:val="24"/>
          <w:lang w:val="en-US" w:eastAsia="en-NZ"/>
        </w:rPr>
        <w:t>.</w:t>
      </w:r>
      <w:r w:rsidR="00262458">
        <w:rPr>
          <w:rFonts w:ascii="Calibri" w:eastAsia="Times New Roman" w:hAnsi="Calibri" w:cs="Calibri"/>
          <w:color w:val="1D2129"/>
          <w:sz w:val="24"/>
          <w:szCs w:val="24"/>
          <w:lang w:val="en-US" w:eastAsia="en-NZ"/>
        </w:rPr>
        <w:t xml:space="preserve">  </w:t>
      </w:r>
    </w:p>
    <w:p w14:paraId="332A6F7A" w14:textId="77777777" w:rsidR="00E65AEA" w:rsidRDefault="00E65AEA" w:rsidP="00E65AEA">
      <w:pPr>
        <w:pStyle w:val="ListParagraph"/>
        <w:ind w:left="284"/>
        <w:textAlignment w:val="baseline"/>
        <w:rPr>
          <w:rFonts w:ascii="Calibri" w:eastAsia="Times New Roman" w:hAnsi="Calibri" w:cs="Calibri"/>
          <w:i/>
          <w:iCs/>
          <w:color w:val="1D2129"/>
          <w:sz w:val="20"/>
          <w:szCs w:val="20"/>
          <w:lang w:eastAsia="en-NZ"/>
        </w:rPr>
      </w:pPr>
    </w:p>
    <w:p w14:paraId="0C776C43" w14:textId="2C1E9CED" w:rsidR="00E65AEA" w:rsidRPr="00E65AEA" w:rsidRDefault="00E65AEA" w:rsidP="00E65AEA">
      <w:pPr>
        <w:pStyle w:val="ListParagraph"/>
        <w:ind w:left="284"/>
        <w:textAlignment w:val="baseline"/>
        <w:rPr>
          <w:rFonts w:ascii="Calibri" w:eastAsia="Times New Roman" w:hAnsi="Calibri" w:cs="Calibri"/>
          <w:i/>
          <w:iCs/>
          <w:color w:val="1D2129"/>
          <w:sz w:val="20"/>
          <w:szCs w:val="20"/>
          <w:lang w:eastAsia="en-NZ"/>
        </w:rPr>
      </w:pPr>
      <w:r w:rsidRPr="00E65AEA">
        <w:rPr>
          <w:rFonts w:ascii="Calibri" w:eastAsia="Times New Roman" w:hAnsi="Calibri" w:cs="Calibri"/>
          <w:i/>
          <w:iCs/>
          <w:color w:val="1D2129"/>
          <w:sz w:val="20"/>
          <w:szCs w:val="20"/>
          <w:lang w:eastAsia="en-NZ"/>
        </w:rPr>
        <w:t xml:space="preserve">Fig 1: $ required to get to the </w:t>
      </w:r>
      <w:r w:rsidR="00787C5C">
        <w:rPr>
          <w:rFonts w:ascii="Calibri" w:eastAsia="Times New Roman" w:hAnsi="Calibri" w:cs="Calibri"/>
          <w:i/>
          <w:iCs/>
          <w:color w:val="1D2129"/>
          <w:sz w:val="20"/>
          <w:szCs w:val="20"/>
          <w:lang w:eastAsia="en-NZ"/>
        </w:rPr>
        <w:t xml:space="preserve">estimated current </w:t>
      </w:r>
      <w:r w:rsidRPr="00E65AEA">
        <w:rPr>
          <w:rFonts w:ascii="Calibri" w:eastAsia="Times New Roman" w:hAnsi="Calibri" w:cs="Calibri"/>
          <w:i/>
          <w:iCs/>
          <w:color w:val="1D2129"/>
          <w:sz w:val="20"/>
          <w:szCs w:val="20"/>
          <w:lang w:eastAsia="en-NZ"/>
        </w:rPr>
        <w:t>primary (50% fixed) AHC poverty line for couples with 1-3 children: current entitlements (with standard not doubled WEP) vs the same plus the IWTC (CPAG rec 1i)</w:t>
      </w:r>
    </w:p>
    <w:p w14:paraId="2D2D238E" w14:textId="38DC3DBD" w:rsidR="00A66C25" w:rsidRPr="00776655" w:rsidRDefault="00E2369A" w:rsidP="00776655">
      <w:pPr>
        <w:pStyle w:val="ListParagraph"/>
        <w:spacing w:line="240" w:lineRule="auto"/>
        <w:ind w:left="284"/>
        <w:textAlignment w:val="baseline"/>
        <w:rPr>
          <w:rFonts w:ascii="Calibri" w:eastAsia="Times New Roman" w:hAnsi="Calibri" w:cs="Calibri"/>
          <w:color w:val="1D2129"/>
          <w:sz w:val="24"/>
          <w:szCs w:val="24"/>
          <w:lang w:val="en-US" w:eastAsia="en-NZ"/>
        </w:rPr>
      </w:pPr>
      <w:r>
        <w:rPr>
          <w:noProof/>
        </w:rPr>
        <w:drawing>
          <wp:inline distT="0" distB="0" distL="0" distR="0" wp14:anchorId="1B92690D" wp14:editId="7DCDA613">
            <wp:extent cx="4581525" cy="2147776"/>
            <wp:effectExtent l="0" t="0" r="9525" b="5080"/>
            <wp:docPr id="2" name="Chart 2">
              <a:extLst xmlns:a="http://schemas.openxmlformats.org/drawingml/2006/main">
                <a:ext uri="{FF2B5EF4-FFF2-40B4-BE49-F238E27FC236}">
                  <a16:creationId xmlns:a16="http://schemas.microsoft.com/office/drawing/2014/main" id="{AFA71240-625E-428F-9B2E-C53F18E67E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EE0041" w14:textId="5A360A4B" w:rsidR="00D86119" w:rsidRPr="00D86119" w:rsidRDefault="00FE2304" w:rsidP="00D86119">
      <w:pPr>
        <w:pStyle w:val="ListParagraph"/>
        <w:spacing w:line="240" w:lineRule="auto"/>
        <w:ind w:left="270"/>
        <w:jc w:val="both"/>
        <w:textAlignment w:val="baseline"/>
        <w:rPr>
          <w:i/>
          <w:iCs/>
          <w:sz w:val="20"/>
          <w:szCs w:val="20"/>
        </w:rPr>
      </w:pPr>
      <w:r w:rsidRPr="00FE2304">
        <w:rPr>
          <w:i/>
          <w:iCs/>
          <w:sz w:val="20"/>
          <w:szCs w:val="20"/>
        </w:rPr>
        <w:t xml:space="preserve">*Annual </w:t>
      </w:r>
      <w:r>
        <w:rPr>
          <w:i/>
          <w:iCs/>
          <w:sz w:val="20"/>
          <w:szCs w:val="20"/>
        </w:rPr>
        <w:t>After Housing Costs</w:t>
      </w:r>
      <w:r w:rsidRPr="00FE2304">
        <w:rPr>
          <w:i/>
          <w:iCs/>
          <w:sz w:val="20"/>
          <w:szCs w:val="20"/>
        </w:rPr>
        <w:t xml:space="preserve"> income for model households receiving </w:t>
      </w:r>
      <w:proofErr w:type="spellStart"/>
      <w:r w:rsidRPr="00FE2304">
        <w:rPr>
          <w:i/>
          <w:iCs/>
          <w:sz w:val="20"/>
          <w:szCs w:val="20"/>
        </w:rPr>
        <w:t>JobSeeker</w:t>
      </w:r>
      <w:proofErr w:type="spellEnd"/>
      <w:r w:rsidRPr="00FE2304">
        <w:rPr>
          <w:i/>
          <w:iCs/>
          <w:sz w:val="20"/>
          <w:szCs w:val="20"/>
        </w:rPr>
        <w:t xml:space="preserve"> Couple (2A), plus AS,  FTC &amp; WEP entitlements</w:t>
      </w:r>
      <w:r>
        <w:rPr>
          <w:i/>
          <w:iCs/>
          <w:sz w:val="20"/>
          <w:szCs w:val="20"/>
        </w:rPr>
        <w:t xml:space="preserve"> </w:t>
      </w:r>
      <w:r w:rsidRPr="00FE2304">
        <w:rPr>
          <w:i/>
          <w:iCs/>
          <w:sz w:val="20"/>
          <w:szCs w:val="20"/>
        </w:rPr>
        <w:t>(</w:t>
      </w:r>
      <w:r>
        <w:rPr>
          <w:i/>
          <w:iCs/>
          <w:sz w:val="20"/>
          <w:szCs w:val="20"/>
        </w:rPr>
        <w:t>non-</w:t>
      </w:r>
      <w:r w:rsidRPr="00FE2304">
        <w:rPr>
          <w:i/>
          <w:iCs/>
          <w:sz w:val="20"/>
          <w:szCs w:val="20"/>
        </w:rPr>
        <w:t>doubled</w:t>
      </w:r>
      <w:r>
        <w:rPr>
          <w:i/>
          <w:iCs/>
          <w:sz w:val="20"/>
          <w:szCs w:val="20"/>
        </w:rPr>
        <w:t>, as doubling was COVID-related</w:t>
      </w:r>
      <w:r w:rsidRPr="00FE2304">
        <w:rPr>
          <w:i/>
          <w:iCs/>
          <w:sz w:val="20"/>
          <w:szCs w:val="20"/>
        </w:rPr>
        <w:t>), paying lower-quartile rent</w:t>
      </w:r>
      <w:r>
        <w:rPr>
          <w:i/>
          <w:iCs/>
          <w:sz w:val="20"/>
          <w:szCs w:val="20"/>
        </w:rPr>
        <w:t xml:space="preserve"> (Sep19-Feb20 rates)</w:t>
      </w:r>
      <w:r w:rsidRPr="00FE2304">
        <w:rPr>
          <w:i/>
          <w:iCs/>
          <w:sz w:val="20"/>
          <w:szCs w:val="20"/>
        </w:rPr>
        <w:t xml:space="preserve">, as % of estimated </w:t>
      </w:r>
      <w:r>
        <w:rPr>
          <w:i/>
          <w:iCs/>
          <w:sz w:val="20"/>
          <w:szCs w:val="20"/>
        </w:rPr>
        <w:t xml:space="preserve">2017/18 </w:t>
      </w:r>
      <w:r w:rsidRPr="00FE2304">
        <w:rPr>
          <w:i/>
          <w:iCs/>
          <w:sz w:val="20"/>
          <w:szCs w:val="20"/>
        </w:rPr>
        <w:t xml:space="preserve">equivalised median </w:t>
      </w:r>
      <w:r>
        <w:rPr>
          <w:i/>
          <w:iCs/>
          <w:sz w:val="20"/>
          <w:szCs w:val="20"/>
        </w:rPr>
        <w:t xml:space="preserve">fixed </w:t>
      </w:r>
      <w:r w:rsidRPr="00FE2304">
        <w:rPr>
          <w:i/>
          <w:iCs/>
          <w:sz w:val="20"/>
          <w:szCs w:val="20"/>
        </w:rPr>
        <w:t>line</w:t>
      </w:r>
      <w:r w:rsidR="00D86119">
        <w:rPr>
          <w:i/>
          <w:iCs/>
          <w:sz w:val="20"/>
          <w:szCs w:val="20"/>
        </w:rPr>
        <w:t xml:space="preserve"> (base year adjusted </w:t>
      </w:r>
      <w:r w:rsidR="00D86119" w:rsidRPr="00D86119">
        <w:rPr>
          <w:i/>
          <w:iCs/>
          <w:sz w:val="20"/>
          <w:szCs w:val="20"/>
        </w:rPr>
        <w:t>by the household</w:t>
      </w:r>
    </w:p>
    <w:p w14:paraId="6CCB00A2" w14:textId="00FF2E73" w:rsidR="00A66C25" w:rsidRPr="00FE2304" w:rsidRDefault="00D86119" w:rsidP="00D86119">
      <w:pPr>
        <w:pStyle w:val="ListParagraph"/>
        <w:spacing w:line="240" w:lineRule="auto"/>
        <w:ind w:left="270"/>
        <w:jc w:val="both"/>
        <w:textAlignment w:val="baseline"/>
        <w:rPr>
          <w:rFonts w:ascii="Calibri" w:eastAsia="Times New Roman" w:hAnsi="Calibri" w:cs="Calibri"/>
          <w:color w:val="1D2129"/>
          <w:sz w:val="20"/>
          <w:szCs w:val="20"/>
          <w:lang w:val="en-US" w:eastAsia="en-NZ"/>
        </w:rPr>
      </w:pPr>
      <w:r w:rsidRPr="00D86119">
        <w:rPr>
          <w:i/>
          <w:iCs/>
          <w:sz w:val="20"/>
          <w:szCs w:val="20"/>
        </w:rPr>
        <w:t>living-costs price index income quintile 1 (after removing housing costs)</w:t>
      </w:r>
      <w:r w:rsidR="00253B38">
        <w:rPr>
          <w:i/>
          <w:iCs/>
          <w:sz w:val="20"/>
          <w:szCs w:val="20"/>
        </w:rPr>
        <w:t>)</w:t>
      </w:r>
      <w:r w:rsidRPr="00D86119">
        <w:rPr>
          <w:i/>
          <w:iCs/>
          <w:sz w:val="20"/>
          <w:szCs w:val="20"/>
        </w:rPr>
        <w:t>.</w:t>
      </w:r>
      <w:r w:rsidR="00FE2304" w:rsidRPr="00FE2304">
        <w:rPr>
          <w:i/>
          <w:iCs/>
          <w:sz w:val="20"/>
          <w:szCs w:val="20"/>
        </w:rPr>
        <w:t xml:space="preserve"> C=Child/ren; B=Bedrooms</w:t>
      </w:r>
    </w:p>
    <w:p w14:paraId="48D1C97D" w14:textId="1383D50D" w:rsidR="00A66C25" w:rsidRDefault="00A66C25" w:rsidP="00A66C25">
      <w:pPr>
        <w:pStyle w:val="ListParagraph"/>
        <w:spacing w:line="240" w:lineRule="auto"/>
        <w:textAlignment w:val="baseline"/>
        <w:rPr>
          <w:rFonts w:ascii="Calibri" w:eastAsia="Times New Roman" w:hAnsi="Calibri" w:cs="Calibri"/>
          <w:color w:val="1D2129"/>
          <w:sz w:val="24"/>
          <w:szCs w:val="24"/>
          <w:lang w:val="en-US" w:eastAsia="en-NZ"/>
        </w:rPr>
      </w:pPr>
    </w:p>
    <w:p w14:paraId="1B9BABC1" w14:textId="7A74DEAF" w:rsidR="00E32BE8" w:rsidRDefault="00E32BE8" w:rsidP="006C211B">
      <w:pPr>
        <w:spacing w:line="240" w:lineRule="auto"/>
        <w:ind w:left="284"/>
        <w:textAlignment w:val="baseline"/>
        <w:rPr>
          <w:rFonts w:ascii="Calibri" w:eastAsia="Times New Roman" w:hAnsi="Calibri" w:cs="Calibri"/>
          <w:color w:val="1D2129"/>
          <w:sz w:val="24"/>
          <w:szCs w:val="24"/>
          <w:lang w:val="en-US" w:eastAsia="en-NZ"/>
        </w:rPr>
      </w:pPr>
      <w:r w:rsidRPr="00E32BE8">
        <w:rPr>
          <w:rFonts w:ascii="Calibri" w:eastAsia="Times New Roman" w:hAnsi="Calibri" w:cs="Calibri"/>
          <w:b/>
          <w:bCs/>
          <w:color w:val="1D2129"/>
          <w:sz w:val="24"/>
          <w:szCs w:val="24"/>
          <w:lang w:val="en-US" w:eastAsia="en-NZ"/>
        </w:rPr>
        <w:t xml:space="preserve">Re </w:t>
      </w:r>
      <w:r w:rsidR="00595FC8">
        <w:rPr>
          <w:rFonts w:ascii="Calibri" w:eastAsia="Times New Roman" w:hAnsi="Calibri" w:cs="Calibri"/>
          <w:b/>
          <w:bCs/>
          <w:color w:val="1D2129"/>
          <w:sz w:val="24"/>
          <w:szCs w:val="24"/>
          <w:lang w:val="en-US" w:eastAsia="en-NZ"/>
        </w:rPr>
        <w:t>1</w:t>
      </w:r>
      <w:r w:rsidRPr="00E32BE8">
        <w:rPr>
          <w:rFonts w:ascii="Calibri" w:eastAsia="Times New Roman" w:hAnsi="Calibri" w:cs="Calibri"/>
          <w:b/>
          <w:bCs/>
          <w:color w:val="1D2129"/>
          <w:sz w:val="24"/>
          <w:szCs w:val="24"/>
          <w:lang w:val="en-US" w:eastAsia="en-NZ"/>
        </w:rPr>
        <w:t>iii:</w:t>
      </w:r>
      <w:r>
        <w:rPr>
          <w:rFonts w:ascii="Calibri" w:eastAsia="Times New Roman" w:hAnsi="Calibri" w:cs="Calibri"/>
          <w:b/>
          <w:bCs/>
          <w:color w:val="1D2129"/>
          <w:sz w:val="24"/>
          <w:szCs w:val="24"/>
          <w:lang w:val="en-US" w:eastAsia="en-NZ"/>
        </w:rPr>
        <w:t xml:space="preserve"> </w:t>
      </w:r>
      <w:r>
        <w:rPr>
          <w:rFonts w:ascii="Calibri" w:eastAsia="Times New Roman" w:hAnsi="Calibri" w:cs="Calibri"/>
          <w:color w:val="1D2129"/>
          <w:sz w:val="24"/>
          <w:szCs w:val="24"/>
          <w:lang w:val="en-US" w:eastAsia="en-NZ"/>
        </w:rPr>
        <w:t xml:space="preserve">As detailed in </w:t>
      </w:r>
      <w:hyperlink r:id="rId13" w:history="1">
        <w:proofErr w:type="spellStart"/>
        <w:r w:rsidR="00D86119">
          <w:rPr>
            <w:rStyle w:val="Hyperlink"/>
            <w:sz w:val="24"/>
            <w:szCs w:val="24"/>
          </w:rPr>
          <w:t>Neu</w:t>
        </w:r>
        <w:r w:rsidR="0044404D">
          <w:rPr>
            <w:rStyle w:val="Hyperlink"/>
            <w:sz w:val="24"/>
            <w:szCs w:val="24"/>
          </w:rPr>
          <w:t>we</w:t>
        </w:r>
        <w:r w:rsidR="00D86119">
          <w:rPr>
            <w:rStyle w:val="Hyperlink"/>
            <w:sz w:val="24"/>
            <w:szCs w:val="24"/>
          </w:rPr>
          <w:t>lt</w:t>
        </w:r>
        <w:proofErr w:type="spellEnd"/>
        <w:r w:rsidR="00D86119">
          <w:rPr>
            <w:rStyle w:val="Hyperlink"/>
            <w:sz w:val="24"/>
            <w:szCs w:val="24"/>
          </w:rPr>
          <w:t>-Kearns, Murray, Russell &amp; Lee (2020</w:t>
        </w:r>
      </w:hyperlink>
      <w:r>
        <w:rPr>
          <w:rFonts w:ascii="Calibri" w:eastAsia="Times New Roman" w:hAnsi="Calibri" w:cs="Calibri"/>
          <w:color w:val="1D2129"/>
          <w:sz w:val="24"/>
          <w:szCs w:val="24"/>
          <w:lang w:val="en-US" w:eastAsia="en-NZ"/>
        </w:rPr>
        <w:t>), in order to alleviate the particularly egregious hardship faced by children with disability in Aotearoa New Zealand, we recommend you:</w:t>
      </w:r>
    </w:p>
    <w:p w14:paraId="5E812E64" w14:textId="1C44C97E" w:rsidR="00E32BE8" w:rsidRDefault="00E32BE8" w:rsidP="006C211B">
      <w:pPr>
        <w:pStyle w:val="ListParagraph"/>
        <w:numPr>
          <w:ilvl w:val="1"/>
          <w:numId w:val="24"/>
        </w:numPr>
        <w:spacing w:line="240" w:lineRule="auto"/>
        <w:ind w:left="851" w:hanging="284"/>
        <w:textAlignment w:val="baseline"/>
        <w:rPr>
          <w:rFonts w:ascii="Calibri" w:eastAsia="Times New Roman" w:hAnsi="Calibri" w:cs="Calibri"/>
          <w:color w:val="000000"/>
          <w:sz w:val="24"/>
          <w:szCs w:val="24"/>
          <w:lang w:eastAsia="en-NZ"/>
        </w:rPr>
      </w:pPr>
      <w:r>
        <w:rPr>
          <w:rFonts w:ascii="Calibri" w:eastAsia="Times New Roman" w:hAnsi="Calibri" w:cs="Calibri"/>
          <w:color w:val="000000"/>
          <w:sz w:val="24"/>
          <w:szCs w:val="24"/>
          <w:lang w:eastAsia="en-NZ"/>
        </w:rPr>
        <w:t>more than double the rate of the Child Disability Allowance</w:t>
      </w:r>
      <w:r w:rsidR="00AE1505">
        <w:rPr>
          <w:rFonts w:ascii="Calibri" w:eastAsia="Times New Roman" w:hAnsi="Calibri" w:cs="Calibri"/>
          <w:color w:val="000000"/>
          <w:sz w:val="24"/>
          <w:szCs w:val="24"/>
          <w:lang w:eastAsia="en-NZ"/>
        </w:rPr>
        <w:t xml:space="preserve"> </w:t>
      </w:r>
      <w:r>
        <w:rPr>
          <w:rFonts w:ascii="Calibri" w:eastAsia="Times New Roman" w:hAnsi="Calibri" w:cs="Calibri"/>
          <w:color w:val="000000"/>
          <w:sz w:val="24"/>
          <w:szCs w:val="24"/>
          <w:lang w:eastAsia="en-NZ"/>
        </w:rPr>
        <w:t>(CDA)</w:t>
      </w:r>
      <w:r w:rsidR="00AE1505" w:rsidRPr="00AE1505">
        <w:rPr>
          <w:rFonts w:ascii="Calibri" w:eastAsia="Times New Roman" w:hAnsi="Calibri" w:cs="Calibri"/>
          <w:color w:val="000000"/>
          <w:sz w:val="24"/>
          <w:szCs w:val="24"/>
          <w:lang w:eastAsia="en-NZ"/>
        </w:rPr>
        <w:t xml:space="preserve"> </w:t>
      </w:r>
      <w:r w:rsidR="00AE1505">
        <w:rPr>
          <w:rFonts w:ascii="Calibri" w:eastAsia="Times New Roman" w:hAnsi="Calibri" w:cs="Calibri"/>
          <w:color w:val="000000"/>
          <w:sz w:val="24"/>
          <w:szCs w:val="24"/>
          <w:lang w:eastAsia="en-NZ"/>
        </w:rPr>
        <w:t>and index it to wages</w:t>
      </w:r>
    </w:p>
    <w:p w14:paraId="1CDDAD5D" w14:textId="04C0AB55" w:rsidR="00E32BE8" w:rsidRDefault="00E32BE8" w:rsidP="006C211B">
      <w:pPr>
        <w:pStyle w:val="ListParagraph"/>
        <w:numPr>
          <w:ilvl w:val="1"/>
          <w:numId w:val="24"/>
        </w:numPr>
        <w:spacing w:line="240" w:lineRule="auto"/>
        <w:ind w:left="851" w:hanging="284"/>
        <w:textAlignment w:val="baseline"/>
        <w:rPr>
          <w:rFonts w:ascii="Calibri" w:eastAsia="Times New Roman" w:hAnsi="Calibri" w:cs="Calibri"/>
          <w:color w:val="000000"/>
          <w:sz w:val="24"/>
          <w:szCs w:val="24"/>
          <w:lang w:eastAsia="en-NZ"/>
        </w:rPr>
      </w:pPr>
      <w:r>
        <w:rPr>
          <w:rFonts w:ascii="Calibri" w:eastAsia="Times New Roman" w:hAnsi="Calibri" w:cs="Calibri"/>
          <w:bCs/>
          <w:color w:val="1D2129"/>
          <w:sz w:val="24"/>
          <w:szCs w:val="24"/>
          <w:lang w:eastAsia="en-NZ"/>
        </w:rPr>
        <w:t>simplify the Disability Allowance – which is a separate payment, also accessible by children –  by making it a</w:t>
      </w:r>
      <w:r w:rsidR="00022485">
        <w:rPr>
          <w:rFonts w:ascii="Calibri" w:eastAsia="Times New Roman" w:hAnsi="Calibri" w:cs="Calibri"/>
          <w:bCs/>
          <w:color w:val="1D2129"/>
          <w:sz w:val="24"/>
          <w:szCs w:val="24"/>
          <w:lang w:eastAsia="en-NZ"/>
        </w:rPr>
        <w:t>n indexed</w:t>
      </w:r>
      <w:r>
        <w:rPr>
          <w:rFonts w:ascii="Calibri" w:eastAsia="Times New Roman" w:hAnsi="Calibri" w:cs="Calibri"/>
          <w:bCs/>
          <w:color w:val="1D2129"/>
          <w:sz w:val="24"/>
          <w:szCs w:val="24"/>
          <w:lang w:eastAsia="en-NZ"/>
        </w:rPr>
        <w:t xml:space="preserve"> fixed-rate payment. The current system requires people to claim back expenses, which is particularly cumbersome and difficult, especially for people with disabilities. </w:t>
      </w:r>
    </w:p>
    <w:p w14:paraId="7F5085FF" w14:textId="77777777" w:rsidR="00E32BE8" w:rsidRDefault="00E32BE8" w:rsidP="006C211B">
      <w:pPr>
        <w:pStyle w:val="ListParagraph"/>
        <w:numPr>
          <w:ilvl w:val="0"/>
          <w:numId w:val="24"/>
        </w:numPr>
        <w:spacing w:line="256" w:lineRule="auto"/>
        <w:ind w:left="851" w:hanging="284"/>
        <w:rPr>
          <w:rFonts w:ascii="Calibri" w:hAnsi="Calibri" w:cs="Calibri"/>
          <w:sz w:val="24"/>
          <w:szCs w:val="24"/>
        </w:rPr>
      </w:pPr>
      <w:r>
        <w:rPr>
          <w:rFonts w:ascii="Calibri" w:hAnsi="Calibri" w:cs="Calibri"/>
          <w:sz w:val="24"/>
          <w:szCs w:val="24"/>
        </w:rPr>
        <w:t xml:space="preserve">promote the CDA to groups that are underrepresented, such as Pacific people. </w:t>
      </w:r>
    </w:p>
    <w:p w14:paraId="4F319733" w14:textId="77777777" w:rsidR="00E32BE8" w:rsidRDefault="00E32BE8" w:rsidP="006C211B">
      <w:pPr>
        <w:pStyle w:val="ListParagraph"/>
        <w:numPr>
          <w:ilvl w:val="0"/>
          <w:numId w:val="24"/>
        </w:numPr>
        <w:spacing w:line="256" w:lineRule="auto"/>
        <w:ind w:left="851" w:hanging="284"/>
        <w:rPr>
          <w:rFonts w:ascii="Calibri" w:hAnsi="Calibri" w:cs="Calibri"/>
          <w:sz w:val="24"/>
          <w:szCs w:val="24"/>
        </w:rPr>
      </w:pPr>
      <w:r>
        <w:rPr>
          <w:rFonts w:ascii="Calibri" w:hAnsi="Calibri" w:cs="Calibri"/>
          <w:sz w:val="24"/>
          <w:szCs w:val="24"/>
        </w:rPr>
        <w:t xml:space="preserve">Increase the Out of School Care and Recreations (OSCAR) subsidy rate for those children also receiving the CDA, and widen its uptake. </w:t>
      </w:r>
    </w:p>
    <w:p w14:paraId="7D946BB3" w14:textId="5AA701C8" w:rsidR="00E32BE8" w:rsidRPr="00E32BE8" w:rsidRDefault="00E32BE8" w:rsidP="006C211B">
      <w:pPr>
        <w:ind w:left="284"/>
        <w:rPr>
          <w:sz w:val="24"/>
          <w:szCs w:val="24"/>
        </w:rPr>
      </w:pPr>
      <w:r w:rsidRPr="00E32BE8">
        <w:rPr>
          <w:b/>
          <w:bCs/>
          <w:sz w:val="24"/>
          <w:szCs w:val="24"/>
        </w:rPr>
        <w:t xml:space="preserve">Increasing the 2021 Winter Energy Payment (WEP) instead of ensuring liveable incomes is </w:t>
      </w:r>
      <w:r w:rsidRPr="00E32BE8">
        <w:rPr>
          <w:b/>
          <w:bCs/>
          <w:i/>
          <w:iCs/>
          <w:sz w:val="24"/>
          <w:szCs w:val="24"/>
        </w:rPr>
        <w:t>not</w:t>
      </w:r>
      <w:r w:rsidRPr="00E32BE8">
        <w:rPr>
          <w:b/>
          <w:bCs/>
          <w:sz w:val="24"/>
          <w:szCs w:val="24"/>
        </w:rPr>
        <w:t xml:space="preserve"> the best option to relieve poverty</w:t>
      </w:r>
      <w:r w:rsidRPr="00E32BE8">
        <w:rPr>
          <w:sz w:val="24"/>
          <w:szCs w:val="24"/>
        </w:rPr>
        <w:t>.  WEP is helpful and appreciated – however:</w:t>
      </w:r>
    </w:p>
    <w:p w14:paraId="41F4BD65" w14:textId="14D82C7F" w:rsidR="00E32BE8" w:rsidRPr="00E32BE8" w:rsidRDefault="00E32BE8" w:rsidP="006C211B">
      <w:pPr>
        <w:pStyle w:val="ListParagraph"/>
        <w:numPr>
          <w:ilvl w:val="0"/>
          <w:numId w:val="25"/>
        </w:numPr>
        <w:ind w:left="993"/>
        <w:rPr>
          <w:sz w:val="24"/>
          <w:szCs w:val="24"/>
        </w:rPr>
      </w:pPr>
      <w:r>
        <w:rPr>
          <w:sz w:val="24"/>
          <w:szCs w:val="24"/>
        </w:rPr>
        <w:t>O</w:t>
      </w:r>
      <w:r w:rsidRPr="00E32BE8">
        <w:rPr>
          <w:sz w:val="24"/>
          <w:szCs w:val="24"/>
        </w:rPr>
        <w:t>n its own</w:t>
      </w:r>
      <w:r>
        <w:rPr>
          <w:sz w:val="24"/>
          <w:szCs w:val="24"/>
        </w:rPr>
        <w:t>,</w:t>
      </w:r>
      <w:r w:rsidRPr="00E32BE8">
        <w:rPr>
          <w:sz w:val="24"/>
          <w:szCs w:val="24"/>
        </w:rPr>
        <w:t xml:space="preserve"> WEP is not large enough to release most </w:t>
      </w:r>
      <w:proofErr w:type="spellStart"/>
      <w:r w:rsidRPr="00E32BE8">
        <w:rPr>
          <w:sz w:val="24"/>
          <w:szCs w:val="24"/>
        </w:rPr>
        <w:t>whānau</w:t>
      </w:r>
      <w:proofErr w:type="spellEnd"/>
      <w:r w:rsidRPr="00E32BE8">
        <w:rPr>
          <w:sz w:val="24"/>
          <w:szCs w:val="24"/>
        </w:rPr>
        <w:t xml:space="preserve"> and families from poverty (even when doubled); </w:t>
      </w:r>
    </w:p>
    <w:p w14:paraId="65129FD5" w14:textId="77777777" w:rsidR="00E32BE8" w:rsidRPr="00E32BE8" w:rsidRDefault="00E32BE8" w:rsidP="006C211B">
      <w:pPr>
        <w:pStyle w:val="ListParagraph"/>
        <w:numPr>
          <w:ilvl w:val="0"/>
          <w:numId w:val="25"/>
        </w:numPr>
        <w:ind w:left="993"/>
        <w:rPr>
          <w:sz w:val="24"/>
          <w:szCs w:val="24"/>
        </w:rPr>
      </w:pPr>
      <w:r w:rsidRPr="00E32BE8">
        <w:rPr>
          <w:sz w:val="24"/>
          <w:szCs w:val="24"/>
        </w:rPr>
        <w:t xml:space="preserve">WEP is temporary where people need permanent increases; </w:t>
      </w:r>
    </w:p>
    <w:p w14:paraId="168AADE9" w14:textId="7CC24761" w:rsidR="00E32BE8" w:rsidRPr="00E32BE8" w:rsidRDefault="00E32BE8" w:rsidP="006C211B">
      <w:pPr>
        <w:pStyle w:val="ListParagraph"/>
        <w:numPr>
          <w:ilvl w:val="0"/>
          <w:numId w:val="25"/>
        </w:numPr>
        <w:ind w:left="993"/>
        <w:rPr>
          <w:sz w:val="24"/>
          <w:szCs w:val="24"/>
        </w:rPr>
      </w:pPr>
      <w:r w:rsidRPr="00E32BE8">
        <w:rPr>
          <w:sz w:val="24"/>
          <w:szCs w:val="24"/>
        </w:rPr>
        <w:t xml:space="preserve">WEP is too blunt (a family of </w:t>
      </w:r>
      <w:r w:rsidR="006C211B">
        <w:rPr>
          <w:sz w:val="24"/>
          <w:szCs w:val="24"/>
        </w:rPr>
        <w:t>6</w:t>
      </w:r>
      <w:r w:rsidRPr="00E32BE8">
        <w:rPr>
          <w:sz w:val="24"/>
          <w:szCs w:val="24"/>
        </w:rPr>
        <w:t xml:space="preserve"> receive the same amount as a family of </w:t>
      </w:r>
      <w:r w:rsidR="006C211B">
        <w:rPr>
          <w:sz w:val="24"/>
          <w:szCs w:val="24"/>
        </w:rPr>
        <w:t>2</w:t>
      </w:r>
      <w:r w:rsidRPr="00E32BE8">
        <w:rPr>
          <w:sz w:val="24"/>
          <w:szCs w:val="24"/>
        </w:rPr>
        <w:t xml:space="preserve">); </w:t>
      </w:r>
    </w:p>
    <w:p w14:paraId="1D44440C" w14:textId="4D41DDBD" w:rsidR="00E32BE8" w:rsidRDefault="00E32BE8" w:rsidP="006C211B">
      <w:pPr>
        <w:pStyle w:val="ListParagraph"/>
        <w:numPr>
          <w:ilvl w:val="0"/>
          <w:numId w:val="26"/>
        </w:numPr>
        <w:ind w:left="993"/>
        <w:rPr>
          <w:sz w:val="24"/>
          <w:szCs w:val="24"/>
        </w:rPr>
      </w:pPr>
      <w:r w:rsidRPr="00E32BE8">
        <w:rPr>
          <w:sz w:val="24"/>
          <w:szCs w:val="24"/>
        </w:rPr>
        <w:t>WEP does not discern between people living in income poverty and those who are not</w:t>
      </w:r>
      <w:r>
        <w:rPr>
          <w:sz w:val="24"/>
          <w:szCs w:val="24"/>
        </w:rPr>
        <w:t xml:space="preserve"> (we recommend it becomes “opt-in” rather than “opt-out” for those receiving NZ Superannuation)</w:t>
      </w:r>
      <w:r w:rsidR="00787C5C">
        <w:rPr>
          <w:sz w:val="24"/>
          <w:szCs w:val="24"/>
        </w:rPr>
        <w:t>;</w:t>
      </w:r>
    </w:p>
    <w:p w14:paraId="613E7CF7" w14:textId="1F969FC7" w:rsidR="00E32BE8" w:rsidRPr="00E32BE8" w:rsidRDefault="00E32BE8" w:rsidP="006C211B">
      <w:pPr>
        <w:pStyle w:val="ListParagraph"/>
        <w:numPr>
          <w:ilvl w:val="0"/>
          <w:numId w:val="26"/>
        </w:numPr>
        <w:ind w:left="993"/>
        <w:rPr>
          <w:sz w:val="24"/>
          <w:szCs w:val="24"/>
        </w:rPr>
      </w:pPr>
      <w:r>
        <w:rPr>
          <w:sz w:val="24"/>
          <w:szCs w:val="24"/>
        </w:rPr>
        <w:t>An increased WEP poses a barrier to paid work, by suddenly cutting out once a benefit is fully abated.</w:t>
      </w:r>
      <w:r w:rsidRPr="00E32BE8">
        <w:rPr>
          <w:sz w:val="24"/>
          <w:szCs w:val="24"/>
        </w:rPr>
        <w:t xml:space="preserve"> </w:t>
      </w:r>
    </w:p>
    <w:p w14:paraId="5EFE51F5" w14:textId="4D2985A7" w:rsidR="00F865F9" w:rsidRPr="006C211B" w:rsidRDefault="00F865F9" w:rsidP="00F865F9">
      <w:pPr>
        <w:spacing w:line="240" w:lineRule="auto"/>
        <w:textAlignment w:val="baseline"/>
        <w:rPr>
          <w:rFonts w:ascii="Calibri" w:eastAsia="Times New Roman" w:hAnsi="Calibri" w:cs="Calibri"/>
          <w:b/>
          <w:bCs/>
          <w:color w:val="1D2129"/>
          <w:sz w:val="28"/>
          <w:szCs w:val="28"/>
          <w:lang w:eastAsia="en-NZ"/>
        </w:rPr>
      </w:pPr>
      <w:r w:rsidRPr="006C211B">
        <w:rPr>
          <w:rFonts w:ascii="Calibri" w:eastAsia="Times New Roman" w:hAnsi="Calibri" w:cs="Calibri"/>
          <w:b/>
          <w:bCs/>
          <w:color w:val="1D2129"/>
          <w:sz w:val="28"/>
          <w:szCs w:val="28"/>
          <w:lang w:eastAsia="en-NZ"/>
        </w:rPr>
        <w:lastRenderedPageBreak/>
        <w:t xml:space="preserve">We </w:t>
      </w:r>
      <w:r w:rsidR="00595FC8" w:rsidRPr="006C211B">
        <w:rPr>
          <w:rFonts w:ascii="Calibri" w:eastAsia="Times New Roman" w:hAnsi="Calibri" w:cs="Calibri"/>
          <w:b/>
          <w:bCs/>
          <w:color w:val="1D2129"/>
          <w:sz w:val="28"/>
          <w:szCs w:val="28"/>
          <w:lang w:eastAsia="en-NZ"/>
        </w:rPr>
        <w:t xml:space="preserve">also </w:t>
      </w:r>
      <w:r w:rsidRPr="006C211B">
        <w:rPr>
          <w:rFonts w:ascii="Calibri" w:eastAsia="Times New Roman" w:hAnsi="Calibri" w:cs="Calibri"/>
          <w:b/>
          <w:bCs/>
          <w:color w:val="1D2129"/>
          <w:sz w:val="28"/>
          <w:szCs w:val="28"/>
          <w:lang w:eastAsia="en-NZ"/>
        </w:rPr>
        <w:t>urge the government to:</w:t>
      </w:r>
    </w:p>
    <w:p w14:paraId="498CE7A2" w14:textId="4D655532" w:rsidR="00595FC8" w:rsidRDefault="00F865F9" w:rsidP="00271AF2">
      <w:pPr>
        <w:pStyle w:val="ListParagraph"/>
        <w:numPr>
          <w:ilvl w:val="0"/>
          <w:numId w:val="23"/>
        </w:numPr>
        <w:spacing w:line="240" w:lineRule="auto"/>
        <w:ind w:left="360" w:hanging="357"/>
        <w:contextualSpacing w:val="0"/>
        <w:textAlignment w:val="baseline"/>
        <w:rPr>
          <w:rFonts w:ascii="Calibri" w:eastAsia="Times New Roman" w:hAnsi="Calibri" w:cs="Calibri"/>
          <w:color w:val="000000"/>
          <w:sz w:val="24"/>
          <w:szCs w:val="24"/>
          <w:lang w:eastAsia="en-NZ"/>
        </w:rPr>
      </w:pPr>
      <w:r w:rsidRPr="00595FC8">
        <w:rPr>
          <w:rFonts w:ascii="Calibri" w:eastAsia="Times New Roman" w:hAnsi="Calibri" w:cs="Calibri"/>
          <w:b/>
          <w:bCs/>
          <w:color w:val="000000"/>
          <w:sz w:val="28"/>
          <w:szCs w:val="28"/>
          <w:lang w:eastAsia="en-NZ"/>
        </w:rPr>
        <w:t>Rewrite the purposes and principles of the Social Security Act</w:t>
      </w:r>
      <w:r w:rsidR="00595FC8">
        <w:rPr>
          <w:rFonts w:ascii="Calibri" w:eastAsia="Times New Roman" w:hAnsi="Calibri" w:cs="Calibri"/>
          <w:color w:val="000000"/>
          <w:sz w:val="24"/>
          <w:szCs w:val="24"/>
          <w:lang w:eastAsia="en-NZ"/>
        </w:rPr>
        <w:br/>
      </w:r>
      <w:r w:rsidRPr="00595FC8">
        <w:rPr>
          <w:rFonts w:ascii="Calibri" w:eastAsia="Times New Roman" w:hAnsi="Calibri" w:cs="Calibri"/>
          <w:color w:val="000000"/>
          <w:sz w:val="24"/>
          <w:szCs w:val="24"/>
          <w:lang w:eastAsia="en-NZ"/>
        </w:rPr>
        <w:t xml:space="preserve">to reflect the six values set out in the Welfare Expert Advisory Group’s </w:t>
      </w:r>
      <w:r w:rsidR="00787C5C">
        <w:rPr>
          <w:rFonts w:ascii="Calibri" w:eastAsia="Times New Roman" w:hAnsi="Calibri" w:cs="Calibri"/>
          <w:color w:val="000000"/>
          <w:sz w:val="24"/>
          <w:szCs w:val="24"/>
          <w:lang w:eastAsia="en-NZ"/>
        </w:rPr>
        <w:t xml:space="preserve">2019 </w:t>
      </w:r>
      <w:proofErr w:type="spellStart"/>
      <w:r w:rsidRPr="00595FC8">
        <w:rPr>
          <w:rFonts w:ascii="Calibri" w:eastAsia="Times New Roman" w:hAnsi="Calibri" w:cs="Calibri"/>
          <w:i/>
          <w:iCs/>
          <w:color w:val="000000"/>
          <w:sz w:val="24"/>
          <w:szCs w:val="24"/>
          <w:lang w:eastAsia="en-NZ"/>
        </w:rPr>
        <w:t>Whakamana</w:t>
      </w:r>
      <w:proofErr w:type="spellEnd"/>
      <w:r w:rsidRPr="00595FC8">
        <w:rPr>
          <w:rFonts w:ascii="Calibri" w:eastAsia="Times New Roman" w:hAnsi="Calibri" w:cs="Calibri"/>
          <w:i/>
          <w:iCs/>
          <w:color w:val="000000"/>
          <w:sz w:val="24"/>
          <w:szCs w:val="24"/>
          <w:lang w:eastAsia="en-NZ"/>
        </w:rPr>
        <w:t xml:space="preserve"> </w:t>
      </w:r>
      <w:proofErr w:type="spellStart"/>
      <w:r w:rsidRPr="00595FC8">
        <w:rPr>
          <w:rFonts w:ascii="Calibri" w:eastAsia="Times New Roman" w:hAnsi="Calibri" w:cs="Calibri"/>
          <w:i/>
          <w:iCs/>
          <w:color w:val="000000"/>
          <w:sz w:val="24"/>
          <w:szCs w:val="24"/>
          <w:lang w:eastAsia="en-NZ"/>
        </w:rPr>
        <w:t>Tangata</w:t>
      </w:r>
      <w:proofErr w:type="spellEnd"/>
      <w:r w:rsidRPr="00595FC8">
        <w:rPr>
          <w:rFonts w:ascii="Calibri" w:eastAsia="Times New Roman" w:hAnsi="Calibri" w:cs="Calibri"/>
          <w:color w:val="000000"/>
          <w:sz w:val="24"/>
          <w:szCs w:val="24"/>
          <w:lang w:eastAsia="en-NZ"/>
        </w:rPr>
        <w:t xml:space="preserve"> report: </w:t>
      </w:r>
      <w:proofErr w:type="spellStart"/>
      <w:r w:rsidRPr="00595FC8">
        <w:rPr>
          <w:rFonts w:ascii="Calibri" w:eastAsia="Times New Roman" w:hAnsi="Calibri" w:cs="Calibri"/>
          <w:color w:val="000000"/>
          <w:sz w:val="24"/>
          <w:szCs w:val="24"/>
          <w:lang w:eastAsia="en-NZ"/>
        </w:rPr>
        <w:t>manaakitanga</w:t>
      </w:r>
      <w:proofErr w:type="spellEnd"/>
      <w:r w:rsidRPr="00595FC8">
        <w:rPr>
          <w:rFonts w:ascii="Calibri" w:eastAsia="Times New Roman" w:hAnsi="Calibri" w:cs="Calibri"/>
          <w:color w:val="000000"/>
          <w:sz w:val="24"/>
          <w:szCs w:val="24"/>
          <w:lang w:eastAsia="en-NZ"/>
        </w:rPr>
        <w:t xml:space="preserve">, </w:t>
      </w:r>
      <w:proofErr w:type="spellStart"/>
      <w:r w:rsidRPr="00595FC8">
        <w:rPr>
          <w:rFonts w:ascii="Calibri" w:eastAsia="Times New Roman" w:hAnsi="Calibri" w:cs="Calibri"/>
          <w:color w:val="000000"/>
          <w:sz w:val="24"/>
          <w:szCs w:val="24"/>
          <w:lang w:eastAsia="en-NZ"/>
        </w:rPr>
        <w:t>ōhanga</w:t>
      </w:r>
      <w:proofErr w:type="spellEnd"/>
      <w:r w:rsidRPr="00595FC8">
        <w:rPr>
          <w:rFonts w:ascii="Calibri" w:eastAsia="Times New Roman" w:hAnsi="Calibri" w:cs="Calibri"/>
          <w:color w:val="000000"/>
          <w:sz w:val="24"/>
          <w:szCs w:val="24"/>
          <w:lang w:eastAsia="en-NZ"/>
        </w:rPr>
        <w:t xml:space="preserve">, whanaungatanga, </w:t>
      </w:r>
      <w:proofErr w:type="spellStart"/>
      <w:r w:rsidRPr="00595FC8">
        <w:rPr>
          <w:rFonts w:ascii="Calibri" w:eastAsia="Times New Roman" w:hAnsi="Calibri" w:cs="Calibri"/>
          <w:color w:val="000000"/>
          <w:sz w:val="24"/>
          <w:szCs w:val="24"/>
          <w:lang w:eastAsia="en-NZ"/>
        </w:rPr>
        <w:t>kotahitanga</w:t>
      </w:r>
      <w:proofErr w:type="spellEnd"/>
      <w:r w:rsidRPr="00595FC8">
        <w:rPr>
          <w:rFonts w:ascii="Calibri" w:eastAsia="Times New Roman" w:hAnsi="Calibri" w:cs="Calibri"/>
          <w:color w:val="000000"/>
          <w:sz w:val="24"/>
          <w:szCs w:val="24"/>
          <w:lang w:eastAsia="en-NZ"/>
        </w:rPr>
        <w:t xml:space="preserve">, </w:t>
      </w:r>
      <w:proofErr w:type="spellStart"/>
      <w:r w:rsidRPr="00595FC8">
        <w:rPr>
          <w:rFonts w:ascii="Calibri" w:eastAsia="Times New Roman" w:hAnsi="Calibri" w:cs="Calibri"/>
          <w:color w:val="000000"/>
          <w:sz w:val="24"/>
          <w:szCs w:val="24"/>
          <w:lang w:eastAsia="en-NZ"/>
        </w:rPr>
        <w:t>takatūtanga</w:t>
      </w:r>
      <w:proofErr w:type="spellEnd"/>
      <w:r w:rsidRPr="00595FC8">
        <w:rPr>
          <w:rFonts w:ascii="Calibri" w:eastAsia="Times New Roman" w:hAnsi="Calibri" w:cs="Calibri"/>
          <w:color w:val="000000"/>
          <w:sz w:val="24"/>
          <w:szCs w:val="24"/>
          <w:lang w:eastAsia="en-NZ"/>
        </w:rPr>
        <w:t xml:space="preserve">, and </w:t>
      </w:r>
      <w:proofErr w:type="spellStart"/>
      <w:r w:rsidRPr="00595FC8">
        <w:rPr>
          <w:rFonts w:ascii="Calibri" w:eastAsia="Times New Roman" w:hAnsi="Calibri" w:cs="Calibri"/>
          <w:color w:val="000000"/>
          <w:sz w:val="24"/>
          <w:szCs w:val="24"/>
          <w:lang w:eastAsia="en-NZ"/>
        </w:rPr>
        <w:t>kaitiakitanga</w:t>
      </w:r>
      <w:proofErr w:type="spellEnd"/>
      <w:r w:rsidRPr="00595FC8">
        <w:rPr>
          <w:rFonts w:ascii="Calibri" w:eastAsia="Times New Roman" w:hAnsi="Calibri" w:cs="Calibri"/>
          <w:color w:val="000000"/>
          <w:sz w:val="24"/>
          <w:szCs w:val="24"/>
          <w:lang w:eastAsia="en-NZ"/>
        </w:rPr>
        <w:t>.</w:t>
      </w:r>
    </w:p>
    <w:p w14:paraId="78BD5BAB" w14:textId="277EB0E8" w:rsidR="00E35A29" w:rsidRPr="00E35A29" w:rsidRDefault="00595FC8" w:rsidP="00271AF2">
      <w:pPr>
        <w:pStyle w:val="ListParagraph"/>
        <w:numPr>
          <w:ilvl w:val="0"/>
          <w:numId w:val="23"/>
        </w:numPr>
        <w:spacing w:line="240" w:lineRule="auto"/>
        <w:ind w:left="360" w:hanging="357"/>
        <w:contextualSpacing w:val="0"/>
        <w:textAlignment w:val="baseline"/>
        <w:rPr>
          <w:rFonts w:ascii="Calibri" w:eastAsia="Times New Roman" w:hAnsi="Calibri" w:cs="Calibri"/>
          <w:color w:val="000000"/>
          <w:sz w:val="24"/>
          <w:szCs w:val="24"/>
          <w:lang w:eastAsia="en-NZ"/>
        </w:rPr>
      </w:pPr>
      <w:r w:rsidRPr="00595FC8">
        <w:rPr>
          <w:rFonts w:ascii="Calibri" w:eastAsia="Times New Roman" w:hAnsi="Calibri" w:cs="Calibri"/>
          <w:b/>
          <w:bCs/>
          <w:color w:val="1D2129"/>
          <w:sz w:val="28"/>
          <w:szCs w:val="28"/>
          <w:lang w:eastAsia="en-NZ"/>
        </w:rPr>
        <w:t xml:space="preserve">Individualise </w:t>
      </w:r>
      <w:r w:rsidR="00F865F9" w:rsidRPr="00595FC8">
        <w:rPr>
          <w:rFonts w:ascii="Calibri" w:eastAsia="Times New Roman" w:hAnsi="Calibri" w:cs="Calibri"/>
          <w:b/>
          <w:bCs/>
          <w:color w:val="1D2129"/>
          <w:sz w:val="28"/>
          <w:szCs w:val="28"/>
          <w:lang w:eastAsia="en-NZ"/>
        </w:rPr>
        <w:t>benefits</w:t>
      </w:r>
      <w:r w:rsidR="00F865F9" w:rsidRPr="00595FC8">
        <w:rPr>
          <w:rFonts w:ascii="Calibri" w:eastAsia="Times New Roman" w:hAnsi="Calibri" w:cs="Calibri"/>
          <w:color w:val="1D2129"/>
          <w:sz w:val="28"/>
          <w:szCs w:val="28"/>
          <w:lang w:eastAsia="en-NZ"/>
        </w:rPr>
        <w:t xml:space="preserve"> </w:t>
      </w:r>
      <w:r>
        <w:rPr>
          <w:rFonts w:ascii="Calibri" w:eastAsia="Times New Roman" w:hAnsi="Calibri" w:cs="Calibri"/>
          <w:color w:val="1D2129"/>
          <w:sz w:val="24"/>
          <w:szCs w:val="24"/>
          <w:lang w:eastAsia="en-NZ"/>
        </w:rPr>
        <w:br/>
      </w:r>
      <w:r w:rsidR="00904D17">
        <w:rPr>
          <w:rFonts w:ascii="Calibri" w:eastAsia="Times New Roman" w:hAnsi="Calibri" w:cs="Calibri"/>
          <w:color w:val="1D2129"/>
          <w:sz w:val="24"/>
          <w:szCs w:val="24"/>
          <w:lang w:eastAsia="en-NZ"/>
        </w:rPr>
        <w:t>As a first step to much</w:t>
      </w:r>
      <w:r w:rsidR="009671D8">
        <w:rPr>
          <w:rFonts w:ascii="Calibri" w:eastAsia="Times New Roman" w:hAnsi="Calibri" w:cs="Calibri"/>
          <w:color w:val="1D2129"/>
          <w:sz w:val="24"/>
          <w:szCs w:val="24"/>
          <w:lang w:eastAsia="en-NZ"/>
        </w:rPr>
        <w:t>-</w:t>
      </w:r>
      <w:r w:rsidR="00904D17">
        <w:rPr>
          <w:rFonts w:ascii="Calibri" w:eastAsia="Times New Roman" w:hAnsi="Calibri" w:cs="Calibri"/>
          <w:color w:val="1D2129"/>
          <w:sz w:val="24"/>
          <w:szCs w:val="24"/>
          <w:lang w:eastAsia="en-NZ"/>
        </w:rPr>
        <w:t>needed individualisation</w:t>
      </w:r>
      <w:r w:rsidR="009671D8">
        <w:rPr>
          <w:rFonts w:ascii="Calibri" w:eastAsia="Times New Roman" w:hAnsi="Calibri" w:cs="Calibri"/>
          <w:color w:val="1D2129"/>
          <w:sz w:val="24"/>
          <w:szCs w:val="24"/>
          <w:lang w:eastAsia="en-NZ"/>
        </w:rPr>
        <w:t>,</w:t>
      </w:r>
      <w:r w:rsidR="00904D17">
        <w:rPr>
          <w:rFonts w:ascii="Calibri" w:eastAsia="Times New Roman" w:hAnsi="Calibri" w:cs="Calibri"/>
          <w:color w:val="1D2129"/>
          <w:sz w:val="24"/>
          <w:szCs w:val="24"/>
          <w:lang w:eastAsia="en-NZ"/>
        </w:rPr>
        <w:t xml:space="preserve"> </w:t>
      </w:r>
      <w:r w:rsidR="000B26B0">
        <w:rPr>
          <w:rFonts w:ascii="Calibri" w:eastAsia="Times New Roman" w:hAnsi="Calibri" w:cs="Calibri"/>
          <w:color w:val="1D2129"/>
          <w:sz w:val="24"/>
          <w:szCs w:val="24"/>
          <w:lang w:eastAsia="en-NZ"/>
        </w:rPr>
        <w:t xml:space="preserve">allow </w:t>
      </w:r>
      <w:r w:rsidR="00F865F9" w:rsidRPr="00595FC8">
        <w:rPr>
          <w:rFonts w:ascii="Calibri" w:eastAsia="Times New Roman" w:hAnsi="Calibri" w:cs="Calibri"/>
          <w:color w:val="1D2129"/>
          <w:sz w:val="24"/>
          <w:szCs w:val="24"/>
          <w:lang w:eastAsia="en-NZ"/>
        </w:rPr>
        <w:t>a partner</w:t>
      </w:r>
      <w:r w:rsidR="000B26B0">
        <w:rPr>
          <w:rFonts w:ascii="Calibri" w:eastAsia="Times New Roman" w:hAnsi="Calibri" w:cs="Calibri"/>
          <w:color w:val="1D2129"/>
          <w:sz w:val="24"/>
          <w:szCs w:val="24"/>
          <w:lang w:eastAsia="en-NZ"/>
        </w:rPr>
        <w:t>’s income of</w:t>
      </w:r>
      <w:r w:rsidR="00F6282F">
        <w:rPr>
          <w:rFonts w:ascii="Calibri" w:eastAsia="Times New Roman" w:hAnsi="Calibri" w:cs="Calibri"/>
          <w:color w:val="1D2129"/>
          <w:sz w:val="24"/>
          <w:szCs w:val="24"/>
          <w:lang w:eastAsia="en-NZ"/>
        </w:rPr>
        <w:t xml:space="preserve"> up to </w:t>
      </w:r>
      <w:r w:rsidR="004E3E41">
        <w:rPr>
          <w:rFonts w:ascii="Calibri" w:eastAsia="Times New Roman" w:hAnsi="Calibri" w:cs="Calibri"/>
          <w:color w:val="1D2129"/>
          <w:sz w:val="24"/>
          <w:szCs w:val="24"/>
          <w:lang w:eastAsia="en-NZ"/>
        </w:rPr>
        <w:t xml:space="preserve">at least </w:t>
      </w:r>
      <w:r w:rsidR="00F6282F">
        <w:rPr>
          <w:rFonts w:ascii="Calibri" w:eastAsia="Times New Roman" w:hAnsi="Calibri" w:cs="Calibri"/>
          <w:color w:val="1D2129"/>
          <w:sz w:val="24"/>
          <w:szCs w:val="24"/>
          <w:lang w:eastAsia="en-NZ"/>
        </w:rPr>
        <w:t xml:space="preserve">the average wage </w:t>
      </w:r>
      <w:r w:rsidR="009671D8">
        <w:rPr>
          <w:rFonts w:ascii="Calibri" w:eastAsia="Times New Roman" w:hAnsi="Calibri" w:cs="Calibri"/>
          <w:color w:val="1D2129"/>
          <w:sz w:val="24"/>
          <w:szCs w:val="24"/>
          <w:lang w:eastAsia="en-NZ"/>
        </w:rPr>
        <w:t xml:space="preserve">to </w:t>
      </w:r>
      <w:r w:rsidR="00F6282F">
        <w:rPr>
          <w:rFonts w:ascii="Calibri" w:eastAsia="Times New Roman" w:hAnsi="Calibri" w:cs="Calibri"/>
          <w:color w:val="1D2129"/>
          <w:sz w:val="24"/>
          <w:szCs w:val="24"/>
          <w:lang w:eastAsia="en-NZ"/>
        </w:rPr>
        <w:t>be disregarded</w:t>
      </w:r>
      <w:r w:rsidR="004E3E41">
        <w:rPr>
          <w:rFonts w:ascii="Calibri" w:eastAsia="Times New Roman" w:hAnsi="Calibri" w:cs="Calibri"/>
          <w:color w:val="1D2129"/>
          <w:sz w:val="24"/>
          <w:szCs w:val="24"/>
          <w:lang w:eastAsia="en-NZ"/>
        </w:rPr>
        <w:t xml:space="preserve">. </w:t>
      </w:r>
      <w:r w:rsidR="00F865F9" w:rsidRPr="00595FC8">
        <w:rPr>
          <w:rFonts w:ascii="Calibri" w:eastAsia="Times New Roman" w:hAnsi="Calibri" w:cs="Calibri"/>
          <w:color w:val="1D2129"/>
          <w:sz w:val="24"/>
          <w:szCs w:val="24"/>
          <w:lang w:eastAsia="en-NZ"/>
        </w:rPr>
        <w:t xml:space="preserve"> </w:t>
      </w:r>
      <w:r w:rsidR="009A0947">
        <w:rPr>
          <w:rFonts w:ascii="Calibri" w:hAnsi="Calibri" w:cs="Calibri"/>
          <w:sz w:val="24"/>
          <w:szCs w:val="24"/>
        </w:rPr>
        <w:t xml:space="preserve">Those on the </w:t>
      </w:r>
      <w:r w:rsidR="00F865F9" w:rsidRPr="00595FC8">
        <w:rPr>
          <w:rFonts w:ascii="Calibri" w:hAnsi="Calibri" w:cs="Calibri"/>
          <w:sz w:val="24"/>
          <w:szCs w:val="24"/>
        </w:rPr>
        <w:t xml:space="preserve">Supported Living Payment, </w:t>
      </w:r>
      <w:r w:rsidR="005167FF">
        <w:rPr>
          <w:rFonts w:ascii="Calibri" w:hAnsi="Calibri" w:cs="Calibri"/>
          <w:sz w:val="24"/>
          <w:szCs w:val="24"/>
        </w:rPr>
        <w:t xml:space="preserve">and full time carers should </w:t>
      </w:r>
      <w:r w:rsidR="00F865F9" w:rsidRPr="00595FC8">
        <w:rPr>
          <w:rFonts w:ascii="Calibri" w:hAnsi="Calibri" w:cs="Calibri"/>
          <w:sz w:val="24"/>
          <w:szCs w:val="24"/>
        </w:rPr>
        <w:t>retain their payments regardless of the working status of their partner</w:t>
      </w:r>
      <w:r w:rsidR="006C211B">
        <w:rPr>
          <w:rFonts w:ascii="Calibri" w:hAnsi="Calibri" w:cs="Calibri"/>
          <w:sz w:val="24"/>
          <w:szCs w:val="24"/>
        </w:rPr>
        <w:t>.</w:t>
      </w:r>
      <w:r w:rsidR="00F865F9" w:rsidRPr="00595FC8">
        <w:rPr>
          <w:rFonts w:ascii="Calibri" w:hAnsi="Calibri" w:cs="Calibri"/>
          <w:sz w:val="24"/>
          <w:szCs w:val="24"/>
        </w:rPr>
        <w:t xml:space="preserve"> </w:t>
      </w:r>
    </w:p>
    <w:p w14:paraId="0420D68F" w14:textId="489B1096" w:rsidR="00E35A29" w:rsidRPr="00E35A29" w:rsidRDefault="00E35A29" w:rsidP="00271AF2">
      <w:pPr>
        <w:pStyle w:val="ListParagraph"/>
        <w:numPr>
          <w:ilvl w:val="0"/>
          <w:numId w:val="23"/>
        </w:numPr>
        <w:spacing w:line="240" w:lineRule="auto"/>
        <w:ind w:left="360" w:hanging="357"/>
        <w:contextualSpacing w:val="0"/>
        <w:textAlignment w:val="baseline"/>
        <w:rPr>
          <w:rFonts w:ascii="Calibri" w:eastAsia="Times New Roman" w:hAnsi="Calibri" w:cs="Calibri"/>
          <w:color w:val="000000"/>
          <w:sz w:val="24"/>
          <w:szCs w:val="24"/>
          <w:lang w:eastAsia="en-NZ"/>
        </w:rPr>
      </w:pPr>
      <w:r w:rsidRPr="00E35A29">
        <w:rPr>
          <w:rFonts w:ascii="Calibri" w:eastAsia="Times New Roman" w:hAnsi="Calibri" w:cs="Calibri"/>
          <w:b/>
          <w:bCs/>
          <w:color w:val="1D2129"/>
          <w:sz w:val="28"/>
          <w:szCs w:val="28"/>
          <w:lang w:eastAsia="en-NZ"/>
        </w:rPr>
        <w:t xml:space="preserve">Index </w:t>
      </w:r>
      <w:r w:rsidR="00F865F9" w:rsidRPr="00E35A29">
        <w:rPr>
          <w:rFonts w:ascii="Calibri" w:eastAsia="Times New Roman" w:hAnsi="Calibri" w:cs="Calibri"/>
          <w:b/>
          <w:bCs/>
          <w:color w:val="1D2129"/>
          <w:sz w:val="28"/>
          <w:szCs w:val="28"/>
          <w:lang w:eastAsia="en-NZ"/>
        </w:rPr>
        <w:t>all Working for Families</w:t>
      </w:r>
      <w:r w:rsidR="00F865F9" w:rsidRPr="00E35A29">
        <w:rPr>
          <w:rFonts w:ascii="Calibri" w:eastAsia="Times New Roman" w:hAnsi="Calibri" w:cs="Calibri"/>
          <w:color w:val="1D2129"/>
          <w:sz w:val="28"/>
          <w:szCs w:val="28"/>
          <w:lang w:eastAsia="en-NZ"/>
        </w:rPr>
        <w:t xml:space="preserve"> </w:t>
      </w:r>
      <w:r>
        <w:rPr>
          <w:rFonts w:ascii="Calibri" w:eastAsia="Times New Roman" w:hAnsi="Calibri" w:cs="Calibri"/>
          <w:color w:val="1D2129"/>
          <w:sz w:val="24"/>
          <w:szCs w:val="24"/>
          <w:lang w:eastAsia="en-NZ"/>
        </w:rPr>
        <w:br/>
      </w:r>
      <w:r w:rsidR="00A05CE7">
        <w:rPr>
          <w:rFonts w:ascii="Calibri" w:eastAsia="Times New Roman" w:hAnsi="Calibri" w:cs="Calibri"/>
          <w:color w:val="1D2129"/>
          <w:sz w:val="24"/>
          <w:szCs w:val="24"/>
          <w:lang w:eastAsia="en-NZ"/>
        </w:rPr>
        <w:t xml:space="preserve">Link </w:t>
      </w:r>
      <w:r w:rsidR="00F865F9" w:rsidRPr="00E35A29">
        <w:rPr>
          <w:rFonts w:ascii="Calibri" w:eastAsia="Times New Roman" w:hAnsi="Calibri" w:cs="Calibri"/>
          <w:color w:val="1D2129"/>
          <w:sz w:val="24"/>
          <w:szCs w:val="24"/>
          <w:lang w:eastAsia="en-NZ"/>
        </w:rPr>
        <w:t xml:space="preserve">tax credits and abatement thresholds to wages annually, similar to </w:t>
      </w:r>
      <w:r w:rsidR="00A05CE7">
        <w:rPr>
          <w:rFonts w:ascii="Calibri" w:eastAsia="Times New Roman" w:hAnsi="Calibri" w:cs="Calibri"/>
          <w:color w:val="1D2129"/>
          <w:sz w:val="24"/>
          <w:szCs w:val="24"/>
          <w:lang w:eastAsia="en-NZ"/>
        </w:rPr>
        <w:t xml:space="preserve">the indexation of </w:t>
      </w:r>
      <w:r w:rsidR="00F865F9" w:rsidRPr="00E35A29">
        <w:rPr>
          <w:rFonts w:ascii="Calibri" w:eastAsia="Times New Roman" w:hAnsi="Calibri" w:cs="Calibri"/>
          <w:color w:val="1D2129"/>
          <w:sz w:val="24"/>
          <w:szCs w:val="24"/>
          <w:lang w:eastAsia="en-NZ"/>
        </w:rPr>
        <w:t>NZ Superannuation</w:t>
      </w:r>
    </w:p>
    <w:p w14:paraId="335448F2" w14:textId="2A84C006" w:rsidR="00E35A29" w:rsidRDefault="00E35A29" w:rsidP="00271AF2">
      <w:pPr>
        <w:pStyle w:val="ListParagraph"/>
        <w:numPr>
          <w:ilvl w:val="0"/>
          <w:numId w:val="23"/>
        </w:numPr>
        <w:spacing w:line="240" w:lineRule="auto"/>
        <w:ind w:left="360" w:hanging="357"/>
        <w:contextualSpacing w:val="0"/>
        <w:textAlignment w:val="baseline"/>
        <w:rPr>
          <w:rFonts w:ascii="Calibri" w:eastAsia="Times New Roman" w:hAnsi="Calibri" w:cs="Calibri"/>
          <w:color w:val="000000"/>
          <w:sz w:val="24"/>
          <w:szCs w:val="24"/>
          <w:lang w:eastAsia="en-NZ"/>
        </w:rPr>
      </w:pPr>
      <w:r w:rsidRPr="00E35A29">
        <w:rPr>
          <w:rFonts w:ascii="Calibri" w:eastAsia="Times New Roman" w:hAnsi="Calibri" w:cs="Calibri"/>
          <w:b/>
          <w:bCs/>
          <w:color w:val="000000"/>
          <w:sz w:val="28"/>
          <w:szCs w:val="28"/>
          <w:lang w:eastAsia="en-NZ"/>
        </w:rPr>
        <w:t xml:space="preserve">Reduce </w:t>
      </w:r>
      <w:r w:rsidR="00F865F9" w:rsidRPr="00E35A29">
        <w:rPr>
          <w:rFonts w:ascii="Calibri" w:eastAsia="Times New Roman" w:hAnsi="Calibri" w:cs="Calibri"/>
          <w:b/>
          <w:bCs/>
          <w:color w:val="000000"/>
          <w:sz w:val="28"/>
          <w:szCs w:val="28"/>
          <w:lang w:eastAsia="en-NZ"/>
        </w:rPr>
        <w:t>the rate of abatement of Working for Families</w:t>
      </w:r>
      <w:r w:rsidR="00F865F9" w:rsidRPr="00E35A29">
        <w:rPr>
          <w:rFonts w:ascii="Calibri" w:eastAsia="Times New Roman" w:hAnsi="Calibri" w:cs="Calibri"/>
          <w:color w:val="000000"/>
          <w:sz w:val="28"/>
          <w:szCs w:val="28"/>
          <w:lang w:eastAsia="en-NZ"/>
        </w:rPr>
        <w:t xml:space="preserve"> </w:t>
      </w:r>
      <w:r>
        <w:rPr>
          <w:rFonts w:ascii="Calibri" w:eastAsia="Times New Roman" w:hAnsi="Calibri" w:cs="Calibri"/>
          <w:color w:val="000000"/>
          <w:sz w:val="24"/>
          <w:szCs w:val="24"/>
          <w:lang w:eastAsia="en-NZ"/>
        </w:rPr>
        <w:br/>
      </w:r>
      <w:r w:rsidR="00E65AEA">
        <w:rPr>
          <w:rFonts w:ascii="Calibri" w:eastAsia="Times New Roman" w:hAnsi="Calibri" w:cs="Calibri"/>
          <w:color w:val="000000"/>
          <w:sz w:val="24"/>
          <w:szCs w:val="24"/>
          <w:lang w:eastAsia="en-NZ"/>
        </w:rPr>
        <w:t xml:space="preserve">Because the current rate of abatement for Working for Families is 25%, </w:t>
      </w:r>
      <w:r w:rsidR="00FA0DF5">
        <w:rPr>
          <w:rFonts w:ascii="Calibri" w:eastAsia="Times New Roman" w:hAnsi="Calibri" w:cs="Calibri"/>
          <w:color w:val="000000"/>
          <w:sz w:val="24"/>
          <w:szCs w:val="24"/>
          <w:lang w:eastAsia="en-NZ"/>
        </w:rPr>
        <w:t xml:space="preserve">once family income exceeds $42,700, </w:t>
      </w:r>
      <w:r w:rsidR="00266C64">
        <w:rPr>
          <w:rFonts w:ascii="Calibri" w:eastAsia="Times New Roman" w:hAnsi="Calibri" w:cs="Calibri"/>
          <w:color w:val="000000"/>
          <w:sz w:val="24"/>
          <w:szCs w:val="24"/>
          <w:lang w:eastAsia="en-NZ"/>
        </w:rPr>
        <w:t>t</w:t>
      </w:r>
      <w:r w:rsidR="00FA0DF5">
        <w:rPr>
          <w:rFonts w:ascii="Calibri" w:eastAsia="Times New Roman" w:hAnsi="Calibri" w:cs="Calibri"/>
          <w:color w:val="000000"/>
          <w:sz w:val="24"/>
          <w:szCs w:val="24"/>
          <w:lang w:eastAsia="en-NZ"/>
        </w:rPr>
        <w:t xml:space="preserve">he effective marginal tax rate rises to at least </w:t>
      </w:r>
      <w:r w:rsidR="00266C64">
        <w:rPr>
          <w:rFonts w:ascii="Calibri" w:eastAsia="Times New Roman" w:hAnsi="Calibri" w:cs="Calibri"/>
          <w:color w:val="000000"/>
          <w:sz w:val="24"/>
          <w:szCs w:val="24"/>
          <w:lang w:eastAsia="en-NZ"/>
        </w:rPr>
        <w:t>42.5</w:t>
      </w:r>
      <w:r w:rsidR="00C155E1">
        <w:rPr>
          <w:rFonts w:ascii="Calibri" w:eastAsia="Times New Roman" w:hAnsi="Calibri" w:cs="Calibri"/>
          <w:color w:val="000000"/>
          <w:sz w:val="24"/>
          <w:szCs w:val="24"/>
          <w:lang w:eastAsia="en-NZ"/>
        </w:rPr>
        <w:t>%</w:t>
      </w:r>
      <w:r w:rsidR="00253B38">
        <w:rPr>
          <w:rFonts w:ascii="Calibri" w:eastAsia="Times New Roman" w:hAnsi="Calibri" w:cs="Calibri"/>
          <w:color w:val="000000"/>
          <w:sz w:val="24"/>
          <w:szCs w:val="24"/>
          <w:lang w:eastAsia="en-NZ"/>
        </w:rPr>
        <w:t>,</w:t>
      </w:r>
      <w:r w:rsidR="00C155E1">
        <w:rPr>
          <w:rFonts w:ascii="Calibri" w:eastAsia="Times New Roman" w:hAnsi="Calibri" w:cs="Calibri"/>
          <w:color w:val="000000"/>
          <w:sz w:val="24"/>
          <w:szCs w:val="24"/>
          <w:lang w:eastAsia="en-NZ"/>
        </w:rPr>
        <w:t xml:space="preserve"> or 52.5% if there is a student loan repayment</w:t>
      </w:r>
      <w:r w:rsidR="006E5754">
        <w:rPr>
          <w:rFonts w:ascii="Calibri" w:eastAsia="Times New Roman" w:hAnsi="Calibri" w:cs="Calibri"/>
          <w:color w:val="000000"/>
          <w:sz w:val="24"/>
          <w:szCs w:val="24"/>
          <w:lang w:eastAsia="en-NZ"/>
        </w:rPr>
        <w:t xml:space="preserve">. </w:t>
      </w:r>
      <w:r w:rsidR="00266C64">
        <w:rPr>
          <w:rFonts w:ascii="Calibri" w:eastAsia="Times New Roman" w:hAnsi="Calibri" w:cs="Calibri"/>
          <w:color w:val="000000"/>
          <w:sz w:val="24"/>
          <w:szCs w:val="24"/>
          <w:lang w:eastAsia="en-NZ"/>
        </w:rPr>
        <w:t xml:space="preserve"> </w:t>
      </w:r>
      <w:r w:rsidR="004B4AC5">
        <w:rPr>
          <w:rFonts w:ascii="Calibri" w:eastAsia="Times New Roman" w:hAnsi="Calibri" w:cs="Calibri"/>
          <w:color w:val="000000"/>
          <w:sz w:val="24"/>
          <w:szCs w:val="24"/>
          <w:lang w:eastAsia="en-NZ"/>
        </w:rPr>
        <w:t xml:space="preserve">When </w:t>
      </w:r>
      <w:r w:rsidR="00F865F9" w:rsidRPr="00E35A29">
        <w:rPr>
          <w:rFonts w:ascii="Calibri" w:eastAsia="Times New Roman" w:hAnsi="Calibri" w:cs="Calibri"/>
          <w:color w:val="000000"/>
          <w:sz w:val="24"/>
          <w:szCs w:val="24"/>
          <w:lang w:eastAsia="en-NZ"/>
        </w:rPr>
        <w:t xml:space="preserve">families </w:t>
      </w:r>
      <w:r w:rsidR="004B4AC5">
        <w:rPr>
          <w:rFonts w:ascii="Calibri" w:eastAsia="Times New Roman" w:hAnsi="Calibri" w:cs="Calibri"/>
          <w:color w:val="000000"/>
          <w:sz w:val="24"/>
          <w:szCs w:val="24"/>
          <w:lang w:eastAsia="en-NZ"/>
        </w:rPr>
        <w:t>face</w:t>
      </w:r>
      <w:r w:rsidR="00F865F9" w:rsidRPr="00E35A29">
        <w:rPr>
          <w:rFonts w:ascii="Calibri" w:eastAsia="Times New Roman" w:hAnsi="Calibri" w:cs="Calibri"/>
          <w:color w:val="000000"/>
          <w:sz w:val="24"/>
          <w:szCs w:val="24"/>
          <w:lang w:eastAsia="en-NZ"/>
        </w:rPr>
        <w:t xml:space="preserve"> a</w:t>
      </w:r>
      <w:r w:rsidR="00E65AEA">
        <w:rPr>
          <w:rFonts w:ascii="Calibri" w:eastAsia="Times New Roman" w:hAnsi="Calibri" w:cs="Calibri"/>
          <w:color w:val="000000"/>
          <w:sz w:val="24"/>
          <w:szCs w:val="24"/>
          <w:lang w:eastAsia="en-NZ"/>
        </w:rPr>
        <w:t xml:space="preserve">n additional </w:t>
      </w:r>
      <w:r w:rsidR="00F865F9" w:rsidRPr="00E35A29">
        <w:rPr>
          <w:rFonts w:ascii="Calibri" w:eastAsia="Times New Roman" w:hAnsi="Calibri" w:cs="Calibri"/>
          <w:color w:val="000000"/>
          <w:sz w:val="24"/>
          <w:szCs w:val="24"/>
          <w:lang w:eastAsia="en-NZ"/>
        </w:rPr>
        <w:t xml:space="preserve">25% abatement rate for the Accommodation Supplement, </w:t>
      </w:r>
      <w:r w:rsidR="004B4AC5">
        <w:rPr>
          <w:rFonts w:ascii="Calibri" w:eastAsia="Times New Roman" w:hAnsi="Calibri" w:cs="Calibri"/>
          <w:color w:val="000000"/>
          <w:sz w:val="24"/>
          <w:szCs w:val="24"/>
          <w:lang w:eastAsia="en-NZ"/>
        </w:rPr>
        <w:t>their</w:t>
      </w:r>
      <w:r w:rsidR="00F865F9" w:rsidRPr="00E35A29">
        <w:rPr>
          <w:rFonts w:ascii="Calibri" w:eastAsia="Times New Roman" w:hAnsi="Calibri" w:cs="Calibri"/>
          <w:color w:val="000000"/>
          <w:sz w:val="24"/>
          <w:szCs w:val="24"/>
          <w:lang w:eastAsia="en-NZ"/>
        </w:rPr>
        <w:t xml:space="preserve"> effective marginal tax rate </w:t>
      </w:r>
      <w:r w:rsidR="00C155E1">
        <w:rPr>
          <w:rFonts w:ascii="Calibri" w:eastAsia="Times New Roman" w:hAnsi="Calibri" w:cs="Calibri"/>
          <w:color w:val="000000"/>
          <w:sz w:val="24"/>
          <w:szCs w:val="24"/>
          <w:lang w:eastAsia="en-NZ"/>
        </w:rPr>
        <w:t xml:space="preserve">can be </w:t>
      </w:r>
      <w:r w:rsidR="00F865F9" w:rsidRPr="00E35A29">
        <w:rPr>
          <w:rFonts w:ascii="Calibri" w:eastAsia="Times New Roman" w:hAnsi="Calibri" w:cs="Calibri"/>
          <w:color w:val="000000"/>
          <w:sz w:val="24"/>
          <w:szCs w:val="24"/>
          <w:lang w:eastAsia="en-NZ"/>
        </w:rPr>
        <w:t>around 80% for every additional dollar they earn</w:t>
      </w:r>
      <w:r w:rsidR="004B4AC5">
        <w:rPr>
          <w:rFonts w:ascii="Calibri" w:eastAsia="Times New Roman" w:hAnsi="Calibri" w:cs="Calibri"/>
          <w:color w:val="000000"/>
          <w:sz w:val="24"/>
          <w:szCs w:val="24"/>
          <w:lang w:eastAsia="en-NZ"/>
        </w:rPr>
        <w:t xml:space="preserve">. </w:t>
      </w:r>
      <w:r w:rsidR="00FD41E9">
        <w:rPr>
          <w:rFonts w:ascii="Calibri" w:eastAsia="Times New Roman" w:hAnsi="Calibri" w:cs="Calibri"/>
          <w:color w:val="000000"/>
          <w:sz w:val="24"/>
          <w:szCs w:val="24"/>
          <w:lang w:eastAsia="en-NZ"/>
        </w:rPr>
        <w:t xml:space="preserve"> </w:t>
      </w:r>
    </w:p>
    <w:p w14:paraId="2CE62596" w14:textId="71266770" w:rsidR="00E35A29" w:rsidRPr="00E35A29" w:rsidRDefault="00F865F9" w:rsidP="00271AF2">
      <w:pPr>
        <w:pStyle w:val="ListParagraph"/>
        <w:numPr>
          <w:ilvl w:val="0"/>
          <w:numId w:val="23"/>
        </w:numPr>
        <w:spacing w:line="240" w:lineRule="auto"/>
        <w:ind w:left="360" w:hanging="357"/>
        <w:contextualSpacing w:val="0"/>
        <w:textAlignment w:val="baseline"/>
        <w:rPr>
          <w:rFonts w:ascii="Calibri" w:eastAsia="Times New Roman" w:hAnsi="Calibri" w:cs="Calibri"/>
          <w:color w:val="000000"/>
          <w:sz w:val="24"/>
          <w:szCs w:val="24"/>
          <w:lang w:eastAsia="en-NZ"/>
        </w:rPr>
      </w:pPr>
      <w:r w:rsidRPr="00E35A29">
        <w:rPr>
          <w:rFonts w:ascii="Calibri" w:eastAsia="Times New Roman" w:hAnsi="Calibri" w:cs="Calibri"/>
          <w:b/>
          <w:bCs/>
          <w:color w:val="1D2129"/>
          <w:sz w:val="28"/>
          <w:szCs w:val="28"/>
          <w:lang w:eastAsia="en-NZ"/>
        </w:rPr>
        <w:t xml:space="preserve">Remove all sanctions for parents of dependent children </w:t>
      </w:r>
      <w:r w:rsidR="00E35A29">
        <w:rPr>
          <w:rFonts w:ascii="Calibri" w:eastAsia="Times New Roman" w:hAnsi="Calibri" w:cs="Calibri"/>
          <w:color w:val="1D2129"/>
          <w:sz w:val="24"/>
          <w:szCs w:val="24"/>
          <w:lang w:eastAsia="en-NZ"/>
        </w:rPr>
        <w:br/>
      </w:r>
      <w:r w:rsidR="00E65AEA">
        <w:rPr>
          <w:rFonts w:ascii="Calibri" w:eastAsia="Times New Roman" w:hAnsi="Calibri" w:cs="Calibri"/>
          <w:color w:val="1D2129"/>
          <w:sz w:val="24"/>
          <w:szCs w:val="24"/>
          <w:lang w:eastAsia="en-NZ"/>
        </w:rPr>
        <w:t xml:space="preserve">This is </w:t>
      </w:r>
      <w:r w:rsidRPr="00E35A29">
        <w:rPr>
          <w:rFonts w:ascii="Calibri" w:eastAsia="Times New Roman" w:hAnsi="Calibri" w:cs="Calibri"/>
          <w:color w:val="1D2129"/>
          <w:sz w:val="24"/>
          <w:szCs w:val="24"/>
          <w:lang w:eastAsia="en-NZ"/>
        </w:rPr>
        <w:t>in order to improve outcomes of affected children and halt the current punitive approach to social security.</w:t>
      </w:r>
    </w:p>
    <w:p w14:paraId="2254C919" w14:textId="5984927D" w:rsidR="00F865F9" w:rsidRPr="00E35A29" w:rsidRDefault="00F865F9" w:rsidP="00271AF2">
      <w:pPr>
        <w:pStyle w:val="ListParagraph"/>
        <w:numPr>
          <w:ilvl w:val="0"/>
          <w:numId w:val="23"/>
        </w:numPr>
        <w:spacing w:after="0" w:line="240" w:lineRule="auto"/>
        <w:ind w:left="360" w:hanging="357"/>
        <w:contextualSpacing w:val="0"/>
        <w:textAlignment w:val="baseline"/>
        <w:rPr>
          <w:rFonts w:ascii="Calibri" w:eastAsia="Times New Roman" w:hAnsi="Calibri" w:cs="Calibri"/>
          <w:color w:val="000000"/>
          <w:sz w:val="28"/>
          <w:szCs w:val="28"/>
          <w:lang w:eastAsia="en-NZ"/>
        </w:rPr>
      </w:pPr>
      <w:r w:rsidRPr="00E35A29">
        <w:rPr>
          <w:rFonts w:ascii="Calibri" w:eastAsia="Times New Roman" w:hAnsi="Calibri" w:cs="Calibri"/>
          <w:b/>
          <w:bCs/>
          <w:color w:val="1D2129"/>
          <w:sz w:val="28"/>
          <w:szCs w:val="28"/>
          <w:lang w:eastAsia="en-NZ"/>
        </w:rPr>
        <w:t>Ensure all low-income families</w:t>
      </w:r>
      <w:r w:rsidR="00E35A29">
        <w:rPr>
          <w:rFonts w:ascii="Calibri" w:eastAsia="Times New Roman" w:hAnsi="Calibri" w:cs="Calibri"/>
          <w:b/>
          <w:bCs/>
          <w:color w:val="1D2129"/>
          <w:sz w:val="28"/>
          <w:szCs w:val="28"/>
          <w:lang w:eastAsia="en-NZ"/>
        </w:rPr>
        <w:t xml:space="preserve"> </w:t>
      </w:r>
      <w:r w:rsidRPr="00E35A29">
        <w:rPr>
          <w:rFonts w:ascii="Calibri" w:eastAsia="Times New Roman" w:hAnsi="Calibri" w:cs="Calibri"/>
          <w:b/>
          <w:bCs/>
          <w:color w:val="1D2129"/>
          <w:sz w:val="28"/>
          <w:szCs w:val="28"/>
          <w:lang w:eastAsia="en-NZ"/>
        </w:rPr>
        <w:t>are made aware</w:t>
      </w:r>
    </w:p>
    <w:p w14:paraId="29B37F94" w14:textId="41C7754E" w:rsidR="00F865F9" w:rsidRPr="00A823E5" w:rsidRDefault="00E35A29" w:rsidP="006C211B">
      <w:pPr>
        <w:pStyle w:val="ListParagraph"/>
        <w:numPr>
          <w:ilvl w:val="1"/>
          <w:numId w:val="23"/>
        </w:numPr>
        <w:spacing w:after="0" w:line="240" w:lineRule="auto"/>
        <w:ind w:hanging="357"/>
        <w:contextualSpacing w:val="0"/>
        <w:textAlignment w:val="baseline"/>
        <w:rPr>
          <w:rFonts w:ascii="Calibri" w:eastAsia="Times New Roman" w:hAnsi="Calibri" w:cs="Calibri"/>
          <w:color w:val="000000"/>
          <w:sz w:val="24"/>
          <w:szCs w:val="24"/>
          <w:lang w:eastAsia="en-NZ"/>
        </w:rPr>
      </w:pPr>
      <w:r>
        <w:rPr>
          <w:rFonts w:ascii="Calibri" w:eastAsia="Times New Roman" w:hAnsi="Calibri" w:cs="Calibri"/>
          <w:bCs/>
          <w:color w:val="1D2129"/>
          <w:sz w:val="24"/>
          <w:szCs w:val="24"/>
          <w:lang w:eastAsia="en-NZ"/>
        </w:rPr>
        <w:t xml:space="preserve">of </w:t>
      </w:r>
      <w:r w:rsidR="00F865F9" w:rsidRPr="00A823E5">
        <w:rPr>
          <w:rFonts w:ascii="Calibri" w:eastAsia="Times New Roman" w:hAnsi="Calibri" w:cs="Calibri"/>
          <w:bCs/>
          <w:color w:val="1D2129"/>
          <w:sz w:val="24"/>
          <w:szCs w:val="24"/>
          <w:lang w:eastAsia="en-NZ"/>
        </w:rPr>
        <w:t>all the income support they are entitled to, and have ready access to it</w:t>
      </w:r>
      <w:r w:rsidR="00F865F9" w:rsidRPr="00A823E5">
        <w:rPr>
          <w:rFonts w:ascii="Calibri" w:eastAsia="Times New Roman" w:hAnsi="Calibri" w:cs="Calibri"/>
          <w:color w:val="1D2129"/>
          <w:sz w:val="24"/>
          <w:szCs w:val="24"/>
          <w:lang w:eastAsia="en-NZ"/>
        </w:rPr>
        <w:t xml:space="preserve"> </w:t>
      </w:r>
    </w:p>
    <w:p w14:paraId="66320CC8" w14:textId="630953F0" w:rsidR="00F865F9" w:rsidRPr="00A823E5" w:rsidRDefault="00E35A29" w:rsidP="00E35A29">
      <w:pPr>
        <w:pStyle w:val="ListParagraph"/>
        <w:numPr>
          <w:ilvl w:val="1"/>
          <w:numId w:val="23"/>
        </w:numPr>
        <w:spacing w:line="240" w:lineRule="auto"/>
        <w:ind w:hanging="357"/>
        <w:contextualSpacing w:val="0"/>
        <w:textAlignment w:val="baseline"/>
        <w:rPr>
          <w:rFonts w:ascii="Calibri" w:eastAsia="Times New Roman" w:hAnsi="Calibri" w:cs="Calibri"/>
          <w:color w:val="000000"/>
          <w:sz w:val="24"/>
          <w:szCs w:val="24"/>
          <w:lang w:eastAsia="en-NZ"/>
        </w:rPr>
      </w:pPr>
      <w:r>
        <w:rPr>
          <w:rFonts w:ascii="Calibri" w:eastAsia="Times New Roman" w:hAnsi="Calibri" w:cs="Calibri"/>
          <w:bCs/>
          <w:color w:val="1D2129"/>
          <w:sz w:val="24"/>
          <w:szCs w:val="24"/>
          <w:lang w:eastAsia="en-NZ"/>
        </w:rPr>
        <w:t xml:space="preserve">of </w:t>
      </w:r>
      <w:r w:rsidR="00F865F9" w:rsidRPr="00A823E5">
        <w:rPr>
          <w:rFonts w:ascii="Calibri" w:eastAsia="Times New Roman" w:hAnsi="Calibri" w:cs="Calibri"/>
          <w:bCs/>
          <w:color w:val="1D2129"/>
          <w:sz w:val="24"/>
          <w:szCs w:val="24"/>
          <w:lang w:eastAsia="en-NZ"/>
        </w:rPr>
        <w:t>free budgeting services and low- and no-interest credit options.</w:t>
      </w:r>
      <w:r w:rsidR="00F865F9" w:rsidRPr="00A823E5">
        <w:rPr>
          <w:rFonts w:ascii="Calibri" w:eastAsia="Times New Roman" w:hAnsi="Calibri" w:cs="Calibri"/>
          <w:color w:val="1D2129"/>
          <w:sz w:val="24"/>
          <w:szCs w:val="24"/>
          <w:lang w:eastAsia="en-NZ"/>
        </w:rPr>
        <w:t> </w:t>
      </w:r>
    </w:p>
    <w:p w14:paraId="6D684B12" w14:textId="54E0FBF6" w:rsidR="007F3971" w:rsidRPr="00E65AEA" w:rsidRDefault="00F865F9" w:rsidP="00271AF2">
      <w:pPr>
        <w:pStyle w:val="ListParagraph"/>
        <w:numPr>
          <w:ilvl w:val="0"/>
          <w:numId w:val="23"/>
        </w:numPr>
        <w:spacing w:line="240" w:lineRule="auto"/>
        <w:ind w:left="360" w:hanging="357"/>
        <w:contextualSpacing w:val="0"/>
        <w:textAlignment w:val="baseline"/>
        <w:rPr>
          <w:rFonts w:ascii="Calibri" w:eastAsia="Times New Roman" w:hAnsi="Calibri" w:cs="Calibri"/>
          <w:color w:val="000000"/>
          <w:sz w:val="24"/>
          <w:szCs w:val="24"/>
          <w:lang w:eastAsia="en-NZ"/>
        </w:rPr>
      </w:pPr>
      <w:r w:rsidRPr="00E35A29">
        <w:rPr>
          <w:rFonts w:ascii="Calibri" w:eastAsia="Times New Roman" w:hAnsi="Calibri" w:cs="Calibri"/>
          <w:b/>
          <w:bCs/>
          <w:color w:val="1D2129"/>
          <w:sz w:val="28"/>
          <w:szCs w:val="28"/>
          <w:lang w:eastAsia="en-NZ"/>
        </w:rPr>
        <w:t>Implement a process of forgiveness of existing MSD debt</w:t>
      </w:r>
      <w:r w:rsidR="00E35A29" w:rsidRPr="00E35A29">
        <w:rPr>
          <w:rFonts w:ascii="Calibri" w:eastAsia="Times New Roman" w:hAnsi="Calibri" w:cs="Calibri"/>
          <w:b/>
          <w:bCs/>
          <w:color w:val="1D2129"/>
          <w:sz w:val="28"/>
          <w:szCs w:val="28"/>
          <w:lang w:eastAsia="en-NZ"/>
        </w:rPr>
        <w:br/>
      </w:r>
      <w:r w:rsidR="00271416">
        <w:rPr>
          <w:rFonts w:ascii="Calibri" w:eastAsia="Times New Roman" w:hAnsi="Calibri" w:cs="Calibri"/>
          <w:color w:val="1D2129"/>
          <w:sz w:val="24"/>
          <w:szCs w:val="24"/>
          <w:lang w:eastAsia="en-NZ"/>
        </w:rPr>
        <w:t>The ove</w:t>
      </w:r>
      <w:r w:rsidR="00726E49">
        <w:rPr>
          <w:rFonts w:ascii="Calibri" w:eastAsia="Times New Roman" w:hAnsi="Calibri" w:cs="Calibri"/>
          <w:color w:val="1D2129"/>
          <w:sz w:val="24"/>
          <w:szCs w:val="24"/>
          <w:lang w:eastAsia="en-NZ"/>
        </w:rPr>
        <w:t>rhang of debt is keeping families impoverished and in large part is the result of inadequate state support</w:t>
      </w:r>
      <w:r w:rsidR="005A5E9F">
        <w:rPr>
          <w:rFonts w:ascii="Calibri" w:eastAsia="Times New Roman" w:hAnsi="Calibri" w:cs="Calibri"/>
          <w:color w:val="1D2129"/>
          <w:sz w:val="24"/>
          <w:szCs w:val="24"/>
          <w:lang w:eastAsia="en-NZ"/>
        </w:rPr>
        <w:t xml:space="preserve">. </w:t>
      </w:r>
    </w:p>
    <w:p w14:paraId="5A1B0302" w14:textId="08AAAB33" w:rsidR="00E35A29" w:rsidRPr="00E65AEA" w:rsidRDefault="007F3971" w:rsidP="00271AF2">
      <w:pPr>
        <w:pStyle w:val="ListParagraph"/>
        <w:numPr>
          <w:ilvl w:val="0"/>
          <w:numId w:val="23"/>
        </w:numPr>
        <w:spacing w:line="240" w:lineRule="auto"/>
        <w:ind w:left="360" w:hanging="357"/>
        <w:contextualSpacing w:val="0"/>
        <w:textAlignment w:val="baseline"/>
        <w:rPr>
          <w:rFonts w:ascii="Calibri" w:eastAsia="Times New Roman" w:hAnsi="Calibri" w:cs="Calibri"/>
          <w:color w:val="000000"/>
          <w:sz w:val="28"/>
          <w:szCs w:val="28"/>
          <w:lang w:eastAsia="en-NZ"/>
        </w:rPr>
      </w:pPr>
      <w:r w:rsidRPr="00E65AEA">
        <w:rPr>
          <w:rFonts w:ascii="Calibri" w:eastAsia="Times New Roman" w:hAnsi="Calibri" w:cs="Calibri"/>
          <w:b/>
          <w:bCs/>
          <w:color w:val="1D2129"/>
          <w:sz w:val="28"/>
          <w:szCs w:val="28"/>
          <w:lang w:eastAsia="en-NZ"/>
        </w:rPr>
        <w:t>I</w:t>
      </w:r>
      <w:r w:rsidR="00F865F9" w:rsidRPr="00E65AEA">
        <w:rPr>
          <w:rFonts w:ascii="Calibri" w:eastAsia="Times New Roman" w:hAnsi="Calibri" w:cs="Calibri"/>
          <w:b/>
          <w:bCs/>
          <w:color w:val="1D2129"/>
          <w:sz w:val="28"/>
          <w:szCs w:val="28"/>
          <w:lang w:eastAsia="en-NZ"/>
        </w:rPr>
        <w:t>ncrease hardship/special needs grants to an adequate level</w:t>
      </w:r>
      <w:r w:rsidR="00F865F9" w:rsidRPr="00E65AEA">
        <w:rPr>
          <w:rFonts w:ascii="Calibri" w:eastAsia="Times New Roman" w:hAnsi="Calibri" w:cs="Calibri"/>
          <w:color w:val="1D2129"/>
          <w:sz w:val="28"/>
          <w:szCs w:val="28"/>
          <w:lang w:eastAsia="en-NZ"/>
        </w:rPr>
        <w:t xml:space="preserve"> </w:t>
      </w:r>
      <w:r w:rsidR="00E65AEA">
        <w:rPr>
          <w:rFonts w:ascii="Calibri" w:eastAsia="Times New Roman" w:hAnsi="Calibri" w:cs="Calibri"/>
          <w:color w:val="1D2129"/>
          <w:sz w:val="28"/>
          <w:szCs w:val="28"/>
          <w:lang w:eastAsia="en-NZ"/>
        </w:rPr>
        <w:br/>
      </w:r>
      <w:r w:rsidR="00F865F9" w:rsidRPr="00E65AEA">
        <w:rPr>
          <w:rFonts w:ascii="Calibri" w:eastAsia="Times New Roman" w:hAnsi="Calibri" w:cs="Calibri"/>
          <w:color w:val="1D2129"/>
          <w:sz w:val="24"/>
          <w:szCs w:val="24"/>
          <w:lang w:eastAsia="en-NZ"/>
        </w:rPr>
        <w:t xml:space="preserve">We expect a </w:t>
      </w:r>
      <w:r w:rsidR="00E65AEA">
        <w:rPr>
          <w:rFonts w:ascii="Calibri" w:eastAsia="Times New Roman" w:hAnsi="Calibri" w:cs="Calibri"/>
          <w:color w:val="1D2129"/>
          <w:sz w:val="24"/>
          <w:szCs w:val="24"/>
          <w:lang w:eastAsia="en-NZ"/>
        </w:rPr>
        <w:t xml:space="preserve">welfare </w:t>
      </w:r>
      <w:r w:rsidR="00F865F9" w:rsidRPr="00E65AEA">
        <w:rPr>
          <w:rFonts w:ascii="Calibri" w:eastAsia="Times New Roman" w:hAnsi="Calibri" w:cs="Calibri"/>
          <w:color w:val="1D2129"/>
          <w:sz w:val="24"/>
          <w:szCs w:val="24"/>
          <w:lang w:eastAsia="en-NZ"/>
        </w:rPr>
        <w:t xml:space="preserve">system offering adequate incomes will sharply reduce the demand for hardship/special needs grants, but when families suddenly find themselves in extraordinary circumstances, hardship grants </w:t>
      </w:r>
      <w:r w:rsidR="00E35A29" w:rsidRPr="00E65AEA">
        <w:rPr>
          <w:rFonts w:ascii="Calibri" w:eastAsia="Times New Roman" w:hAnsi="Calibri" w:cs="Calibri"/>
          <w:color w:val="1D2129"/>
          <w:sz w:val="24"/>
          <w:szCs w:val="24"/>
          <w:lang w:eastAsia="en-NZ"/>
        </w:rPr>
        <w:t xml:space="preserve">(rather than recoverable advances) </w:t>
      </w:r>
      <w:r w:rsidR="00F865F9" w:rsidRPr="00E65AEA">
        <w:rPr>
          <w:rFonts w:ascii="Calibri" w:eastAsia="Times New Roman" w:hAnsi="Calibri" w:cs="Calibri"/>
          <w:color w:val="1D2129"/>
          <w:sz w:val="24"/>
          <w:szCs w:val="24"/>
          <w:lang w:eastAsia="en-NZ"/>
        </w:rPr>
        <w:t>appropriate to the level of need should be forthcoming.</w:t>
      </w:r>
    </w:p>
    <w:p w14:paraId="38D789D0" w14:textId="7CD286E7" w:rsidR="006C211B" w:rsidRPr="00271AF2" w:rsidRDefault="00271AF2" w:rsidP="001A2EA4">
      <w:pPr>
        <w:pStyle w:val="ListParagraph"/>
        <w:numPr>
          <w:ilvl w:val="0"/>
          <w:numId w:val="23"/>
        </w:numPr>
        <w:spacing w:line="240" w:lineRule="auto"/>
        <w:ind w:left="360" w:hanging="357"/>
        <w:contextualSpacing w:val="0"/>
        <w:textAlignment w:val="baseline"/>
        <w:rPr>
          <w:rFonts w:ascii="Calibri" w:eastAsia="Times New Roman" w:hAnsi="Calibri" w:cs="Calibri"/>
          <w:bCs/>
          <w:color w:val="1D2129"/>
          <w:sz w:val="24"/>
          <w:szCs w:val="24"/>
          <w:lang w:eastAsia="en-NZ"/>
        </w:rPr>
      </w:pPr>
      <w:r w:rsidRPr="00271AF2">
        <w:rPr>
          <w:rFonts w:ascii="Calibri" w:eastAsia="Times New Roman" w:hAnsi="Calibri" w:cs="Calibri"/>
          <w:b/>
          <w:bCs/>
          <w:color w:val="1D2129"/>
          <w:sz w:val="28"/>
          <w:szCs w:val="28"/>
          <w:lang w:eastAsia="en-NZ"/>
        </w:rPr>
        <w:t xml:space="preserve">Avoid </w:t>
      </w:r>
      <w:r w:rsidR="00595FC8" w:rsidRPr="00271AF2">
        <w:rPr>
          <w:rFonts w:ascii="Calibri" w:eastAsia="Times New Roman" w:hAnsi="Calibri" w:cs="Calibri"/>
          <w:b/>
          <w:bCs/>
          <w:color w:val="1D2129"/>
          <w:sz w:val="28"/>
          <w:szCs w:val="28"/>
          <w:lang w:eastAsia="en-NZ"/>
        </w:rPr>
        <w:t>social insurance</w:t>
      </w:r>
      <w:r w:rsidR="007F3971" w:rsidRPr="00271AF2">
        <w:rPr>
          <w:rFonts w:ascii="Calibri" w:eastAsia="Times New Roman" w:hAnsi="Calibri" w:cs="Calibri"/>
          <w:b/>
          <w:bCs/>
          <w:color w:val="1D2129"/>
          <w:sz w:val="28"/>
          <w:szCs w:val="28"/>
          <w:lang w:eastAsia="en-NZ"/>
        </w:rPr>
        <w:t xml:space="preserve"> </w:t>
      </w:r>
      <w:r w:rsidR="00253B38">
        <w:rPr>
          <w:rFonts w:ascii="Calibri" w:eastAsia="Times New Roman" w:hAnsi="Calibri" w:cs="Calibri"/>
          <w:b/>
          <w:bCs/>
          <w:color w:val="1D2129"/>
          <w:sz w:val="28"/>
          <w:szCs w:val="28"/>
          <w:lang w:eastAsia="en-NZ"/>
        </w:rPr>
        <w:t>approaches</w:t>
      </w:r>
      <w:r w:rsidR="00595FC8" w:rsidRPr="00271AF2">
        <w:rPr>
          <w:rFonts w:ascii="Calibri" w:eastAsia="Times New Roman" w:hAnsi="Calibri" w:cs="Calibri"/>
          <w:color w:val="1D2129"/>
          <w:sz w:val="28"/>
          <w:szCs w:val="28"/>
          <w:lang w:eastAsia="en-NZ"/>
        </w:rPr>
        <w:t xml:space="preserve"> </w:t>
      </w:r>
      <w:r w:rsidR="00E35A29" w:rsidRPr="00271AF2">
        <w:rPr>
          <w:rFonts w:ascii="Calibri" w:eastAsia="Times New Roman" w:hAnsi="Calibri" w:cs="Calibri"/>
          <w:color w:val="1D2129"/>
          <w:sz w:val="28"/>
          <w:szCs w:val="28"/>
          <w:lang w:eastAsia="en-NZ"/>
        </w:rPr>
        <w:br/>
      </w:r>
      <w:r w:rsidR="009121E7" w:rsidRPr="00271AF2">
        <w:rPr>
          <w:rFonts w:ascii="Calibri" w:eastAsia="Times New Roman" w:hAnsi="Calibri" w:cs="Calibri"/>
          <w:color w:val="1D2129"/>
          <w:sz w:val="24"/>
          <w:szCs w:val="24"/>
          <w:lang w:eastAsia="en-NZ"/>
        </w:rPr>
        <w:t>W</w:t>
      </w:r>
      <w:r w:rsidR="00E65AEA" w:rsidRPr="00271AF2">
        <w:rPr>
          <w:rFonts w:ascii="Calibri" w:eastAsia="Times New Roman" w:hAnsi="Calibri" w:cs="Calibri"/>
          <w:color w:val="1D2129"/>
          <w:sz w:val="24"/>
          <w:szCs w:val="24"/>
          <w:lang w:eastAsia="en-NZ"/>
        </w:rPr>
        <w:t>e</w:t>
      </w:r>
      <w:r w:rsidR="009121E7" w:rsidRPr="00271AF2">
        <w:rPr>
          <w:rFonts w:ascii="Calibri" w:eastAsia="Times New Roman" w:hAnsi="Calibri" w:cs="Calibri"/>
          <w:color w:val="1D2129"/>
          <w:sz w:val="24"/>
          <w:szCs w:val="24"/>
          <w:lang w:eastAsia="en-NZ"/>
        </w:rPr>
        <w:t xml:space="preserve"> strongly support reform of the current system rather than</w:t>
      </w:r>
      <w:r w:rsidR="00B03D0C" w:rsidRPr="00271AF2">
        <w:rPr>
          <w:rFonts w:ascii="Calibri" w:eastAsia="Times New Roman" w:hAnsi="Calibri" w:cs="Calibri"/>
          <w:color w:val="1D2129"/>
          <w:sz w:val="24"/>
          <w:szCs w:val="24"/>
          <w:lang w:eastAsia="en-NZ"/>
        </w:rPr>
        <w:t xml:space="preserve"> a</w:t>
      </w:r>
      <w:r w:rsidR="009121E7" w:rsidRPr="00271AF2">
        <w:rPr>
          <w:rFonts w:ascii="Calibri" w:eastAsia="Times New Roman" w:hAnsi="Calibri" w:cs="Calibri"/>
          <w:color w:val="1D2129"/>
          <w:sz w:val="24"/>
          <w:szCs w:val="24"/>
          <w:lang w:eastAsia="en-NZ"/>
        </w:rPr>
        <w:t xml:space="preserve"> new second</w:t>
      </w:r>
      <w:r w:rsidR="00E65AEA" w:rsidRPr="00271AF2">
        <w:rPr>
          <w:rFonts w:ascii="Calibri" w:eastAsia="Times New Roman" w:hAnsi="Calibri" w:cs="Calibri"/>
          <w:color w:val="1D2129"/>
          <w:sz w:val="24"/>
          <w:szCs w:val="24"/>
          <w:lang w:eastAsia="en-NZ"/>
        </w:rPr>
        <w:t>-tier</w:t>
      </w:r>
      <w:r w:rsidR="009121E7" w:rsidRPr="00271AF2">
        <w:rPr>
          <w:rFonts w:ascii="Calibri" w:eastAsia="Times New Roman" w:hAnsi="Calibri" w:cs="Calibri"/>
          <w:color w:val="1D2129"/>
          <w:sz w:val="24"/>
          <w:szCs w:val="24"/>
          <w:lang w:eastAsia="en-NZ"/>
        </w:rPr>
        <w:t xml:space="preserve"> arrangement </w:t>
      </w:r>
      <w:r w:rsidR="00595FC8" w:rsidRPr="00271AF2">
        <w:rPr>
          <w:rFonts w:ascii="Calibri" w:eastAsia="Times New Roman" w:hAnsi="Calibri" w:cs="Calibri"/>
          <w:color w:val="1D2129"/>
          <w:sz w:val="24"/>
          <w:szCs w:val="24"/>
          <w:lang w:eastAsia="en-NZ"/>
        </w:rPr>
        <w:t>that link</w:t>
      </w:r>
      <w:r w:rsidRPr="00271AF2">
        <w:rPr>
          <w:rFonts w:ascii="Calibri" w:eastAsia="Times New Roman" w:hAnsi="Calibri" w:cs="Calibri"/>
          <w:color w:val="1D2129"/>
          <w:sz w:val="24"/>
          <w:szCs w:val="24"/>
          <w:lang w:eastAsia="en-NZ"/>
        </w:rPr>
        <w:t>s</w:t>
      </w:r>
      <w:r w:rsidR="00595FC8" w:rsidRPr="00271AF2">
        <w:rPr>
          <w:rFonts w:ascii="Calibri" w:eastAsia="Times New Roman" w:hAnsi="Calibri" w:cs="Calibri"/>
          <w:color w:val="1D2129"/>
          <w:sz w:val="24"/>
          <w:szCs w:val="24"/>
          <w:lang w:eastAsia="en-NZ"/>
        </w:rPr>
        <w:t xml:space="preserve"> a user’s contributions to their level of support</w:t>
      </w:r>
      <w:r w:rsidR="00B03D0C" w:rsidRPr="00271AF2">
        <w:rPr>
          <w:rFonts w:ascii="Calibri" w:eastAsia="Times New Roman" w:hAnsi="Calibri" w:cs="Calibri"/>
          <w:color w:val="1D2129"/>
          <w:sz w:val="24"/>
          <w:szCs w:val="24"/>
          <w:lang w:eastAsia="en-NZ"/>
        </w:rPr>
        <w:t xml:space="preserve">. </w:t>
      </w:r>
      <w:r w:rsidR="00595FC8" w:rsidRPr="00271AF2">
        <w:rPr>
          <w:rFonts w:ascii="Calibri" w:eastAsia="Times New Roman" w:hAnsi="Calibri" w:cs="Calibri"/>
          <w:color w:val="1D2129"/>
          <w:sz w:val="24"/>
          <w:szCs w:val="24"/>
          <w:lang w:eastAsia="en-NZ"/>
        </w:rPr>
        <w:t xml:space="preserve"> </w:t>
      </w:r>
      <w:r w:rsidR="00B03D0C" w:rsidRPr="00271AF2">
        <w:rPr>
          <w:rFonts w:ascii="Calibri" w:eastAsia="Times New Roman" w:hAnsi="Calibri" w:cs="Calibri"/>
          <w:color w:val="1D2129"/>
          <w:sz w:val="24"/>
          <w:szCs w:val="24"/>
          <w:lang w:eastAsia="en-NZ"/>
        </w:rPr>
        <w:t xml:space="preserve">We do not see how </w:t>
      </w:r>
      <w:r w:rsidR="00595FC8" w:rsidRPr="00271AF2">
        <w:rPr>
          <w:rFonts w:ascii="Calibri" w:eastAsia="Times New Roman" w:hAnsi="Calibri" w:cs="Calibri"/>
          <w:color w:val="1D2129"/>
          <w:sz w:val="24"/>
          <w:szCs w:val="24"/>
          <w:lang w:eastAsia="en-NZ"/>
        </w:rPr>
        <w:t>equitable outcomes and income adequacy can be guaranteed for all</w:t>
      </w:r>
      <w:r w:rsidR="00E35A29" w:rsidRPr="00271AF2">
        <w:rPr>
          <w:rFonts w:ascii="Calibri" w:eastAsia="Times New Roman" w:hAnsi="Calibri" w:cs="Calibri"/>
          <w:color w:val="1D2129"/>
          <w:sz w:val="24"/>
          <w:szCs w:val="24"/>
          <w:lang w:eastAsia="en-NZ"/>
        </w:rPr>
        <w:t xml:space="preserve"> (</w:t>
      </w:r>
      <w:r w:rsidR="00EF692C">
        <w:rPr>
          <w:rFonts w:ascii="Calibri" w:eastAsia="Times New Roman" w:hAnsi="Calibri" w:cs="Calibri"/>
          <w:color w:val="1D2129"/>
          <w:sz w:val="24"/>
          <w:szCs w:val="24"/>
          <w:lang w:eastAsia="en-NZ"/>
        </w:rPr>
        <w:t xml:space="preserve">including those excluded from any such </w:t>
      </w:r>
      <w:r w:rsidR="00E35A29" w:rsidRPr="00271AF2">
        <w:rPr>
          <w:rFonts w:ascii="Calibri" w:eastAsia="Times New Roman" w:hAnsi="Calibri" w:cs="Calibri"/>
          <w:color w:val="1D2129"/>
          <w:sz w:val="24"/>
          <w:szCs w:val="24"/>
          <w:lang w:eastAsia="en-NZ"/>
        </w:rPr>
        <w:t>scheme)</w:t>
      </w:r>
      <w:r w:rsidR="00595FC8" w:rsidRPr="00271AF2">
        <w:rPr>
          <w:rFonts w:ascii="Calibri" w:eastAsia="Times New Roman" w:hAnsi="Calibri" w:cs="Calibri"/>
          <w:color w:val="1D2129"/>
          <w:sz w:val="24"/>
          <w:szCs w:val="24"/>
          <w:lang w:eastAsia="en-NZ"/>
        </w:rPr>
        <w:t xml:space="preserve">, </w:t>
      </w:r>
      <w:r w:rsidR="007D7D45" w:rsidRPr="00271AF2">
        <w:rPr>
          <w:rFonts w:ascii="Calibri" w:eastAsia="Times New Roman" w:hAnsi="Calibri" w:cs="Calibri"/>
          <w:color w:val="1D2129"/>
          <w:sz w:val="24"/>
          <w:szCs w:val="24"/>
          <w:lang w:eastAsia="en-NZ"/>
        </w:rPr>
        <w:t xml:space="preserve">and we are fearful that </w:t>
      </w:r>
      <w:r w:rsidR="00595FC8" w:rsidRPr="00271AF2">
        <w:rPr>
          <w:rFonts w:ascii="Calibri" w:eastAsia="Times New Roman" w:hAnsi="Calibri" w:cs="Calibri"/>
          <w:color w:val="1D2129"/>
          <w:sz w:val="24"/>
          <w:szCs w:val="24"/>
          <w:lang w:eastAsia="en-NZ"/>
        </w:rPr>
        <w:t>children, Māori, Pacific peoples, women and low income workers</w:t>
      </w:r>
      <w:r w:rsidR="007D7D45" w:rsidRPr="00271AF2">
        <w:rPr>
          <w:rFonts w:ascii="Calibri" w:eastAsia="Times New Roman" w:hAnsi="Calibri" w:cs="Calibri"/>
          <w:color w:val="1D2129"/>
          <w:sz w:val="24"/>
          <w:szCs w:val="24"/>
          <w:lang w:eastAsia="en-NZ"/>
        </w:rPr>
        <w:t xml:space="preserve"> </w:t>
      </w:r>
      <w:r w:rsidR="00E65AEA" w:rsidRPr="00271AF2">
        <w:rPr>
          <w:rFonts w:ascii="Calibri" w:eastAsia="Times New Roman" w:hAnsi="Calibri" w:cs="Calibri"/>
          <w:color w:val="1D2129"/>
          <w:sz w:val="24"/>
          <w:szCs w:val="24"/>
          <w:lang w:eastAsia="en-NZ"/>
        </w:rPr>
        <w:t>will</w:t>
      </w:r>
      <w:r w:rsidR="007D7D45" w:rsidRPr="00271AF2">
        <w:rPr>
          <w:rFonts w:ascii="Calibri" w:eastAsia="Times New Roman" w:hAnsi="Calibri" w:cs="Calibri"/>
          <w:color w:val="1D2129"/>
          <w:sz w:val="24"/>
          <w:szCs w:val="24"/>
          <w:lang w:eastAsia="en-NZ"/>
        </w:rPr>
        <w:t xml:space="preserve"> become even less visible and supported</w:t>
      </w:r>
      <w:r w:rsidR="00595FC8" w:rsidRPr="00271AF2">
        <w:rPr>
          <w:rFonts w:ascii="Calibri" w:eastAsia="Times New Roman" w:hAnsi="Calibri" w:cs="Calibri"/>
          <w:bCs/>
          <w:color w:val="1D2129"/>
          <w:sz w:val="24"/>
          <w:szCs w:val="24"/>
          <w:lang w:eastAsia="en-NZ"/>
        </w:rPr>
        <w:t>.</w:t>
      </w:r>
      <w:r w:rsidR="00E35A29" w:rsidRPr="00271AF2">
        <w:rPr>
          <w:rFonts w:ascii="Calibri" w:eastAsia="Times New Roman" w:hAnsi="Calibri" w:cs="Calibri"/>
          <w:bCs/>
          <w:color w:val="1D2129"/>
          <w:sz w:val="24"/>
          <w:szCs w:val="24"/>
          <w:lang w:eastAsia="en-NZ"/>
        </w:rPr>
        <w:t xml:space="preserve"> CPAG is concerned that </w:t>
      </w:r>
      <w:r w:rsidR="00970AE5" w:rsidRPr="00271AF2">
        <w:rPr>
          <w:rFonts w:ascii="Calibri" w:eastAsia="Times New Roman" w:hAnsi="Calibri" w:cs="Calibri"/>
          <w:bCs/>
          <w:color w:val="1D2129"/>
          <w:sz w:val="24"/>
          <w:szCs w:val="24"/>
          <w:lang w:eastAsia="en-NZ"/>
        </w:rPr>
        <w:t xml:space="preserve">such schemes carry a high risk of increasing </w:t>
      </w:r>
      <w:r w:rsidR="007D7D45" w:rsidRPr="00271AF2">
        <w:rPr>
          <w:rFonts w:ascii="Calibri" w:eastAsia="Times New Roman" w:hAnsi="Calibri" w:cs="Calibri"/>
          <w:bCs/>
          <w:color w:val="1D2129"/>
          <w:sz w:val="24"/>
          <w:szCs w:val="24"/>
          <w:lang w:eastAsia="en-NZ"/>
        </w:rPr>
        <w:t>inequality</w:t>
      </w:r>
      <w:r w:rsidR="00D43928" w:rsidRPr="00271AF2">
        <w:rPr>
          <w:rFonts w:ascii="Calibri" w:eastAsia="Times New Roman" w:hAnsi="Calibri" w:cs="Calibri"/>
          <w:bCs/>
          <w:color w:val="1D2129"/>
          <w:sz w:val="24"/>
          <w:szCs w:val="24"/>
          <w:lang w:eastAsia="en-NZ"/>
        </w:rPr>
        <w:t>: they</w:t>
      </w:r>
      <w:r w:rsidR="00970AE5" w:rsidRPr="00271AF2">
        <w:rPr>
          <w:rFonts w:ascii="Calibri" w:eastAsia="Times New Roman" w:hAnsi="Calibri" w:cs="Calibri"/>
          <w:bCs/>
          <w:color w:val="1D2129"/>
          <w:sz w:val="24"/>
          <w:szCs w:val="24"/>
          <w:lang w:eastAsia="en-NZ"/>
        </w:rPr>
        <w:t xml:space="preserve"> can quickly become complex and cumbersome, with </w:t>
      </w:r>
      <w:r w:rsidR="00D43928" w:rsidRPr="00271AF2">
        <w:rPr>
          <w:rFonts w:ascii="Calibri" w:eastAsia="Times New Roman" w:hAnsi="Calibri" w:cs="Calibri"/>
          <w:bCs/>
          <w:color w:val="1D2129"/>
          <w:sz w:val="24"/>
          <w:szCs w:val="24"/>
          <w:lang w:eastAsia="en-NZ"/>
        </w:rPr>
        <w:t xml:space="preserve">the risk </w:t>
      </w:r>
      <w:r w:rsidR="00E65AEA" w:rsidRPr="00271AF2">
        <w:rPr>
          <w:rFonts w:ascii="Calibri" w:eastAsia="Times New Roman" w:hAnsi="Calibri" w:cs="Calibri"/>
          <w:bCs/>
          <w:color w:val="1D2129"/>
          <w:sz w:val="24"/>
          <w:szCs w:val="24"/>
          <w:lang w:eastAsia="en-NZ"/>
        </w:rPr>
        <w:t xml:space="preserve">that </w:t>
      </w:r>
      <w:r w:rsidR="00D43928" w:rsidRPr="00271AF2">
        <w:rPr>
          <w:rFonts w:ascii="Calibri" w:eastAsia="Times New Roman" w:hAnsi="Calibri" w:cs="Calibri"/>
          <w:bCs/>
          <w:color w:val="1D2129"/>
          <w:sz w:val="24"/>
          <w:szCs w:val="24"/>
          <w:lang w:eastAsia="en-NZ"/>
        </w:rPr>
        <w:t xml:space="preserve">those </w:t>
      </w:r>
      <w:r w:rsidR="00EF692C">
        <w:rPr>
          <w:rFonts w:ascii="Calibri" w:eastAsia="Times New Roman" w:hAnsi="Calibri" w:cs="Calibri"/>
          <w:bCs/>
          <w:color w:val="1D2129"/>
          <w:sz w:val="24"/>
          <w:szCs w:val="24"/>
          <w:lang w:eastAsia="en-NZ"/>
        </w:rPr>
        <w:t xml:space="preserve">most affected by </w:t>
      </w:r>
      <w:r w:rsidR="00D43928" w:rsidRPr="00271AF2">
        <w:rPr>
          <w:rFonts w:ascii="Calibri" w:eastAsia="Times New Roman" w:hAnsi="Calibri" w:cs="Calibri"/>
          <w:bCs/>
          <w:color w:val="1D2129"/>
          <w:sz w:val="24"/>
          <w:szCs w:val="24"/>
          <w:lang w:eastAsia="en-NZ"/>
        </w:rPr>
        <w:t xml:space="preserve">poverty </w:t>
      </w:r>
      <w:r w:rsidR="00E65AEA" w:rsidRPr="00271AF2">
        <w:rPr>
          <w:rFonts w:ascii="Calibri" w:eastAsia="Times New Roman" w:hAnsi="Calibri" w:cs="Calibri"/>
          <w:bCs/>
          <w:color w:val="1D2129"/>
          <w:sz w:val="24"/>
          <w:szCs w:val="24"/>
          <w:lang w:eastAsia="en-NZ"/>
        </w:rPr>
        <w:t xml:space="preserve">will </w:t>
      </w:r>
      <w:r w:rsidR="00F203E4" w:rsidRPr="00271AF2">
        <w:rPr>
          <w:rFonts w:ascii="Calibri" w:eastAsia="Times New Roman" w:hAnsi="Calibri" w:cs="Calibri"/>
          <w:bCs/>
          <w:color w:val="1D2129"/>
          <w:sz w:val="24"/>
          <w:szCs w:val="24"/>
          <w:lang w:eastAsia="en-NZ"/>
        </w:rPr>
        <w:t xml:space="preserve">implicitly </w:t>
      </w:r>
      <w:r w:rsidR="00E65AEA" w:rsidRPr="00271AF2">
        <w:rPr>
          <w:rFonts w:ascii="Calibri" w:eastAsia="Times New Roman" w:hAnsi="Calibri" w:cs="Calibri"/>
          <w:bCs/>
          <w:color w:val="1D2129"/>
          <w:sz w:val="24"/>
          <w:szCs w:val="24"/>
          <w:lang w:eastAsia="en-NZ"/>
        </w:rPr>
        <w:t xml:space="preserve">be </w:t>
      </w:r>
      <w:r w:rsidR="00F203E4" w:rsidRPr="00271AF2">
        <w:rPr>
          <w:rFonts w:ascii="Calibri" w:eastAsia="Times New Roman" w:hAnsi="Calibri" w:cs="Calibri"/>
          <w:bCs/>
          <w:color w:val="1D2129"/>
          <w:sz w:val="24"/>
          <w:szCs w:val="24"/>
          <w:lang w:eastAsia="en-NZ"/>
        </w:rPr>
        <w:t xml:space="preserve">treated as less deserving and </w:t>
      </w:r>
      <w:r w:rsidR="00D43928" w:rsidRPr="00271AF2">
        <w:rPr>
          <w:rFonts w:ascii="Calibri" w:eastAsia="Times New Roman" w:hAnsi="Calibri" w:cs="Calibri"/>
          <w:bCs/>
          <w:color w:val="1D2129"/>
          <w:sz w:val="24"/>
          <w:szCs w:val="24"/>
          <w:lang w:eastAsia="en-NZ"/>
        </w:rPr>
        <w:t>forced to fall further behind</w:t>
      </w:r>
      <w:r w:rsidR="00970AE5" w:rsidRPr="00271AF2">
        <w:rPr>
          <w:rFonts w:ascii="Calibri" w:eastAsia="Times New Roman" w:hAnsi="Calibri" w:cs="Calibri"/>
          <w:bCs/>
          <w:color w:val="1D2129"/>
          <w:sz w:val="24"/>
          <w:szCs w:val="24"/>
          <w:lang w:eastAsia="en-NZ"/>
        </w:rPr>
        <w:t>.</w:t>
      </w:r>
      <w:r w:rsidR="006C211B" w:rsidRPr="00271AF2">
        <w:rPr>
          <w:rFonts w:ascii="Calibri" w:eastAsia="Times New Roman" w:hAnsi="Calibri" w:cs="Calibri"/>
          <w:bCs/>
          <w:color w:val="1D2129"/>
          <w:sz w:val="24"/>
          <w:szCs w:val="24"/>
          <w:lang w:eastAsia="en-NZ"/>
        </w:rPr>
        <w:br w:type="page"/>
      </w:r>
    </w:p>
    <w:p w14:paraId="7BFD2A58" w14:textId="358DE8EA" w:rsidR="005808B1" w:rsidRPr="00EF30D2" w:rsidRDefault="005808B1" w:rsidP="005808B1">
      <w:pPr>
        <w:pStyle w:val="Heading1"/>
        <w:rPr>
          <w:color w:val="538135" w:themeColor="accent6" w:themeShade="BF"/>
          <w:lang w:val="en-US"/>
        </w:rPr>
      </w:pPr>
      <w:bookmarkStart w:id="0" w:name="_Appendix_1:_The"/>
      <w:bookmarkEnd w:id="0"/>
      <w:r w:rsidRPr="00EF30D2">
        <w:rPr>
          <w:color w:val="538135" w:themeColor="accent6" w:themeShade="BF"/>
          <w:lang w:val="en-US"/>
        </w:rPr>
        <w:lastRenderedPageBreak/>
        <w:t xml:space="preserve">Appendix 1: The effects of poverty on children: </w:t>
      </w:r>
      <w:r w:rsidRPr="00EF30D2">
        <w:rPr>
          <w:color w:val="538135" w:themeColor="accent6" w:themeShade="BF"/>
          <w:lang w:val="en-US"/>
        </w:rPr>
        <w:br/>
      </w:r>
      <w:r w:rsidRPr="00EF30D2">
        <w:rPr>
          <w:b/>
          <w:bCs/>
          <w:color w:val="538135" w:themeColor="accent6" w:themeShade="BF"/>
          <w:lang w:val="en-US"/>
        </w:rPr>
        <w:t>Poorer wellbeing</w:t>
      </w:r>
      <w:r w:rsidRPr="00EF30D2">
        <w:rPr>
          <w:color w:val="538135" w:themeColor="accent6" w:themeShade="BF"/>
          <w:lang w:val="en-US"/>
        </w:rPr>
        <w:t xml:space="preserve"> is more likely in all areas </w:t>
      </w:r>
      <w:r w:rsidRPr="00EF30D2">
        <w:rPr>
          <w:b/>
          <w:bCs/>
          <w:color w:val="538135" w:themeColor="accent6" w:themeShade="BF"/>
          <w:lang w:val="en-US"/>
        </w:rPr>
        <w:t>for</w:t>
      </w:r>
      <w:r w:rsidRPr="00EF30D2">
        <w:rPr>
          <w:color w:val="538135" w:themeColor="accent6" w:themeShade="BF"/>
          <w:lang w:val="en-US"/>
        </w:rPr>
        <w:t xml:space="preserve"> </w:t>
      </w:r>
      <w:r w:rsidRPr="00EF30D2">
        <w:rPr>
          <w:b/>
          <w:bCs/>
          <w:color w:val="538135" w:themeColor="accent6" w:themeShade="BF"/>
          <w:lang w:val="en-US"/>
        </w:rPr>
        <w:t>an</w:t>
      </w:r>
      <w:r w:rsidRPr="00EF30D2">
        <w:rPr>
          <w:color w:val="538135" w:themeColor="accent6" w:themeShade="BF"/>
          <w:lang w:val="en-US"/>
        </w:rPr>
        <w:t xml:space="preserve"> </w:t>
      </w:r>
      <w:r w:rsidRPr="00EF30D2">
        <w:rPr>
          <w:b/>
          <w:bCs/>
          <w:color w:val="538135" w:themeColor="accent6" w:themeShade="BF"/>
          <w:lang w:val="en-US"/>
        </w:rPr>
        <w:t>entire life</w:t>
      </w:r>
    </w:p>
    <w:p w14:paraId="3A4E6595" w14:textId="77777777" w:rsidR="005808B1" w:rsidRDefault="005808B1" w:rsidP="005808B1">
      <w:pPr>
        <w:spacing w:after="0"/>
        <w:rPr>
          <w:sz w:val="24"/>
          <w:szCs w:val="24"/>
          <w:lang w:val="en-US"/>
        </w:rPr>
      </w:pPr>
    </w:p>
    <w:p w14:paraId="6C9BE975" w14:textId="77777777" w:rsidR="005808B1" w:rsidRPr="001F795C" w:rsidRDefault="005808B1" w:rsidP="005808B1">
      <w:pPr>
        <w:pStyle w:val="ListParagraph"/>
        <w:numPr>
          <w:ilvl w:val="0"/>
          <w:numId w:val="7"/>
        </w:numPr>
        <w:ind w:left="714" w:hanging="357"/>
        <w:contextualSpacing w:val="0"/>
        <w:rPr>
          <w:sz w:val="24"/>
          <w:szCs w:val="24"/>
        </w:rPr>
      </w:pPr>
      <w:r w:rsidRPr="001F795C">
        <w:rPr>
          <w:b/>
          <w:bCs/>
          <w:sz w:val="24"/>
          <w:szCs w:val="24"/>
          <w:lang w:val="en-US"/>
        </w:rPr>
        <w:t xml:space="preserve">Poverty causes poor outcomes. </w:t>
      </w:r>
      <w:r w:rsidRPr="001F795C">
        <w:rPr>
          <w:sz w:val="24"/>
          <w:szCs w:val="24"/>
        </w:rPr>
        <w:t xml:space="preserve">Poor outcomes for children are not only correlated to lack of family income, they are caused by them. </w:t>
      </w:r>
      <w:r w:rsidRPr="001F795C">
        <w:rPr>
          <w:sz w:val="24"/>
          <w:szCs w:val="24"/>
          <w:lang w:val="en-US"/>
        </w:rPr>
        <w:t xml:space="preserve">The </w:t>
      </w:r>
      <w:hyperlink r:id="rId14" w:history="1">
        <w:r w:rsidRPr="001F795C">
          <w:rPr>
            <w:rStyle w:val="Hyperlink"/>
            <w:sz w:val="24"/>
            <w:szCs w:val="24"/>
          </w:rPr>
          <w:t>Rapid Evidence Review (RER) on the impact of poverty on life course outcomes for children</w:t>
        </w:r>
      </w:hyperlink>
      <w:r w:rsidRPr="001F795C">
        <w:rPr>
          <w:sz w:val="24"/>
          <w:szCs w:val="24"/>
        </w:rPr>
        <w:t xml:space="preserve"> prepared by the Ministry of Social Development (2018) for the Welfare Expert Advisory Group is a good introduction to the large body of evidence that supports this. </w:t>
      </w:r>
    </w:p>
    <w:p w14:paraId="34580FA9" w14:textId="77777777" w:rsidR="005808B1" w:rsidRPr="001F795C" w:rsidRDefault="005808B1" w:rsidP="005808B1">
      <w:pPr>
        <w:pStyle w:val="ListParagraph"/>
        <w:numPr>
          <w:ilvl w:val="0"/>
          <w:numId w:val="7"/>
        </w:numPr>
        <w:ind w:left="714" w:hanging="357"/>
        <w:contextualSpacing w:val="0"/>
        <w:rPr>
          <w:sz w:val="24"/>
          <w:szCs w:val="24"/>
        </w:rPr>
      </w:pPr>
      <w:r w:rsidRPr="001F795C">
        <w:rPr>
          <w:b/>
          <w:bCs/>
          <w:sz w:val="24"/>
          <w:szCs w:val="24"/>
          <w:lang w:val="en-US"/>
        </w:rPr>
        <w:t>All aspects of life are affected by deprivation</w:t>
      </w:r>
      <w:r w:rsidRPr="001F795C">
        <w:rPr>
          <w:sz w:val="24"/>
          <w:szCs w:val="24"/>
          <w:lang w:val="en-US"/>
        </w:rPr>
        <w:t xml:space="preserve">, from physical development and physiological functions to social inclusion and educational attainment. Deprivation can have detrimental effects on the physical, mental and social wellbeing of children. For example, </w:t>
      </w:r>
      <w:r w:rsidRPr="001F795C">
        <w:rPr>
          <w:sz w:val="24"/>
          <w:szCs w:val="24"/>
        </w:rPr>
        <w:t>in Aotearoa, high school students in most deprived areas</w:t>
      </w:r>
      <w:r>
        <w:rPr>
          <w:sz w:val="24"/>
          <w:szCs w:val="24"/>
        </w:rPr>
        <w:t xml:space="preserve"> (NZDep1-3)</w:t>
      </w:r>
      <w:r w:rsidRPr="001F795C">
        <w:rPr>
          <w:sz w:val="24"/>
          <w:szCs w:val="24"/>
        </w:rPr>
        <w:t xml:space="preserve"> have four times the suicide rate of those in least deprived areas</w:t>
      </w:r>
      <w:r>
        <w:rPr>
          <w:sz w:val="24"/>
          <w:szCs w:val="24"/>
        </w:rPr>
        <w:t xml:space="preserve"> (NZDep8-10)</w:t>
      </w:r>
      <w:r w:rsidRPr="001F795C">
        <w:rPr>
          <w:sz w:val="24"/>
          <w:szCs w:val="24"/>
        </w:rPr>
        <w:t xml:space="preserve"> (</w:t>
      </w:r>
      <w:hyperlink r:id="rId15" w:history="1">
        <w:r w:rsidRPr="001F795C">
          <w:rPr>
            <w:rStyle w:val="Hyperlink"/>
            <w:sz w:val="24"/>
            <w:szCs w:val="24"/>
          </w:rPr>
          <w:t>Youth19 survey</w:t>
        </w:r>
      </w:hyperlink>
      <w:r w:rsidRPr="001F795C">
        <w:rPr>
          <w:rStyle w:val="Hyperlink"/>
          <w:sz w:val="24"/>
          <w:szCs w:val="24"/>
        </w:rPr>
        <w:t>, 2020).</w:t>
      </w:r>
    </w:p>
    <w:p w14:paraId="315D9E70" w14:textId="34371F16" w:rsidR="005808B1" w:rsidRPr="001F795C" w:rsidRDefault="005808B1" w:rsidP="005808B1">
      <w:pPr>
        <w:pStyle w:val="ListParagraph"/>
        <w:numPr>
          <w:ilvl w:val="0"/>
          <w:numId w:val="7"/>
        </w:numPr>
        <w:ind w:left="714" w:hanging="357"/>
        <w:contextualSpacing w:val="0"/>
        <w:rPr>
          <w:sz w:val="24"/>
          <w:szCs w:val="24"/>
        </w:rPr>
      </w:pPr>
      <w:r w:rsidRPr="001F795C">
        <w:rPr>
          <w:b/>
          <w:bCs/>
          <w:sz w:val="24"/>
          <w:szCs w:val="24"/>
          <w:lang w:val="en-US"/>
        </w:rPr>
        <w:t>Effects can be long-term</w:t>
      </w:r>
      <w:r w:rsidRPr="001F795C">
        <w:rPr>
          <w:sz w:val="24"/>
          <w:szCs w:val="24"/>
          <w:lang w:val="en-US"/>
        </w:rPr>
        <w:t xml:space="preserve">, </w:t>
      </w:r>
      <w:r w:rsidRPr="001F795C">
        <w:rPr>
          <w:b/>
          <w:bCs/>
          <w:sz w:val="24"/>
          <w:szCs w:val="24"/>
          <w:lang w:val="en-US"/>
        </w:rPr>
        <w:t>lasting (and shortening) a child’s entire life</w:t>
      </w:r>
      <w:r w:rsidRPr="001F795C">
        <w:rPr>
          <w:sz w:val="24"/>
          <w:szCs w:val="24"/>
          <w:lang w:val="en-US"/>
        </w:rPr>
        <w:t xml:space="preserve">. </w:t>
      </w:r>
      <w:r>
        <w:rPr>
          <w:sz w:val="24"/>
          <w:szCs w:val="24"/>
          <w:lang w:val="en-US"/>
        </w:rPr>
        <w:t>For example, t</w:t>
      </w:r>
      <w:r w:rsidRPr="001F795C">
        <w:rPr>
          <w:sz w:val="24"/>
          <w:szCs w:val="24"/>
        </w:rPr>
        <w:t>he longitudinal University of Otago study found that children born 1972-1973 who grew up in low socioeconomic status families had poorer cardiovascular health, poor dental health and more substance abuse as adults, regardless of adult socioeconomic conditions (</w:t>
      </w:r>
      <w:r w:rsidR="00685C06">
        <w:rPr>
          <w:sz w:val="24"/>
          <w:szCs w:val="24"/>
        </w:rPr>
        <w:t>Poulton et al.</w:t>
      </w:r>
      <w:r w:rsidRPr="001F795C">
        <w:rPr>
          <w:sz w:val="24"/>
          <w:szCs w:val="24"/>
        </w:rPr>
        <w:t xml:space="preserve">, 2002)  </w:t>
      </w:r>
    </w:p>
    <w:p w14:paraId="6F93F292" w14:textId="77777777" w:rsidR="005808B1" w:rsidRDefault="005808B1" w:rsidP="005808B1">
      <w:pPr>
        <w:pStyle w:val="ListParagraph"/>
        <w:numPr>
          <w:ilvl w:val="0"/>
          <w:numId w:val="7"/>
        </w:numPr>
        <w:ind w:left="714" w:hanging="357"/>
        <w:contextualSpacing w:val="0"/>
        <w:rPr>
          <w:sz w:val="24"/>
          <w:szCs w:val="24"/>
        </w:rPr>
      </w:pPr>
      <w:r w:rsidRPr="001F795C">
        <w:rPr>
          <w:b/>
          <w:bCs/>
          <w:sz w:val="24"/>
          <w:szCs w:val="24"/>
          <w:lang w:val="en-US"/>
        </w:rPr>
        <w:t>Dealing with deprivation</w:t>
      </w:r>
      <w:r>
        <w:rPr>
          <w:b/>
          <w:bCs/>
          <w:sz w:val="24"/>
          <w:szCs w:val="24"/>
          <w:lang w:val="en-US"/>
        </w:rPr>
        <w:t>,</w:t>
      </w:r>
      <w:r w:rsidRPr="001F795C">
        <w:rPr>
          <w:b/>
          <w:bCs/>
          <w:sz w:val="24"/>
          <w:szCs w:val="24"/>
          <w:lang w:val="en-US"/>
        </w:rPr>
        <w:t xml:space="preserve"> </w:t>
      </w:r>
      <w:r>
        <w:rPr>
          <w:b/>
          <w:bCs/>
          <w:sz w:val="24"/>
          <w:szCs w:val="24"/>
          <w:lang w:val="en-US"/>
        </w:rPr>
        <w:t xml:space="preserve">and with the </w:t>
      </w:r>
      <w:proofErr w:type="spellStart"/>
      <w:r>
        <w:rPr>
          <w:b/>
          <w:bCs/>
          <w:sz w:val="24"/>
          <w:szCs w:val="24"/>
          <w:lang w:val="en-US"/>
        </w:rPr>
        <w:t>stigmatisation</w:t>
      </w:r>
      <w:proofErr w:type="spellEnd"/>
      <w:r>
        <w:rPr>
          <w:b/>
          <w:bCs/>
          <w:sz w:val="24"/>
          <w:szCs w:val="24"/>
          <w:lang w:val="en-US"/>
        </w:rPr>
        <w:t xml:space="preserve"> of deprivation, </w:t>
      </w:r>
      <w:r w:rsidRPr="001F795C">
        <w:rPr>
          <w:b/>
          <w:bCs/>
          <w:sz w:val="24"/>
          <w:szCs w:val="24"/>
          <w:lang w:val="en-US"/>
        </w:rPr>
        <w:t>creates toxic stress</w:t>
      </w:r>
      <w:r>
        <w:rPr>
          <w:b/>
          <w:bCs/>
          <w:sz w:val="24"/>
          <w:szCs w:val="24"/>
          <w:lang w:val="en-US"/>
        </w:rPr>
        <w:t xml:space="preserve"> and disempowerment</w:t>
      </w:r>
      <w:r w:rsidRPr="001F795C">
        <w:rPr>
          <w:b/>
          <w:bCs/>
          <w:sz w:val="24"/>
          <w:szCs w:val="24"/>
          <w:lang w:val="en-US"/>
        </w:rPr>
        <w:t>.</w:t>
      </w:r>
      <w:r w:rsidRPr="001F795C">
        <w:rPr>
          <w:sz w:val="24"/>
          <w:szCs w:val="24"/>
          <w:lang w:val="en-US"/>
        </w:rPr>
        <w:t xml:space="preserve"> </w:t>
      </w:r>
      <w:r>
        <w:rPr>
          <w:sz w:val="24"/>
          <w:szCs w:val="24"/>
          <w:lang w:val="en-US"/>
        </w:rPr>
        <w:t>I</w:t>
      </w:r>
      <w:r w:rsidRPr="001F795C">
        <w:rPr>
          <w:sz w:val="24"/>
          <w:szCs w:val="24"/>
          <w:lang w:val="en-US"/>
        </w:rPr>
        <w:t>nadequate income prevent</w:t>
      </w:r>
      <w:r>
        <w:rPr>
          <w:sz w:val="24"/>
          <w:szCs w:val="24"/>
          <w:lang w:val="en-US"/>
        </w:rPr>
        <w:t>s</w:t>
      </w:r>
      <w:r w:rsidRPr="001F795C">
        <w:rPr>
          <w:sz w:val="24"/>
          <w:szCs w:val="24"/>
          <w:lang w:val="en-US"/>
        </w:rPr>
        <w:t xml:space="preserve"> children from accessing </w:t>
      </w:r>
      <w:r w:rsidRPr="001F795C">
        <w:rPr>
          <w:sz w:val="24"/>
          <w:szCs w:val="24"/>
        </w:rPr>
        <w:t>goods, services and opportunities that support their positive development</w:t>
      </w:r>
      <w:r>
        <w:rPr>
          <w:sz w:val="24"/>
          <w:szCs w:val="24"/>
        </w:rPr>
        <w:t>; and, in addition,</w:t>
      </w:r>
      <w:r w:rsidRPr="001F795C">
        <w:rPr>
          <w:sz w:val="24"/>
          <w:szCs w:val="24"/>
        </w:rPr>
        <w:t xml:space="preserve"> poverty also increasing parental/caregiver stress, depression and shame</w:t>
      </w:r>
      <w:r>
        <w:rPr>
          <w:sz w:val="24"/>
          <w:szCs w:val="24"/>
        </w:rPr>
        <w:t xml:space="preserve"> </w:t>
      </w:r>
      <w:r w:rsidRPr="00E26768">
        <w:rPr>
          <w:sz w:val="24"/>
          <w:szCs w:val="24"/>
        </w:rPr>
        <w:t>(</w:t>
      </w:r>
      <w:r w:rsidRPr="00E26768">
        <w:rPr>
          <w:sz w:val="24"/>
          <w:szCs w:val="24"/>
          <w:lang w:val="en-US"/>
        </w:rPr>
        <w:t xml:space="preserve">exacerbated by </w:t>
      </w:r>
      <w:proofErr w:type="spellStart"/>
      <w:r>
        <w:rPr>
          <w:sz w:val="24"/>
          <w:szCs w:val="24"/>
          <w:lang w:val="en-US"/>
        </w:rPr>
        <w:t>stigmatisation</w:t>
      </w:r>
      <w:proofErr w:type="spellEnd"/>
      <w:r>
        <w:rPr>
          <w:sz w:val="24"/>
          <w:szCs w:val="24"/>
          <w:lang w:val="en-US"/>
        </w:rPr>
        <w:t>, including</w:t>
      </w:r>
      <w:r w:rsidRPr="00E26768">
        <w:rPr>
          <w:sz w:val="24"/>
          <w:szCs w:val="24"/>
          <w:lang w:val="en-US"/>
        </w:rPr>
        <w:t xml:space="preserve"> by government agencies)</w:t>
      </w:r>
      <w:r w:rsidRPr="00E26768">
        <w:rPr>
          <w:sz w:val="24"/>
          <w:szCs w:val="24"/>
        </w:rPr>
        <w:t>,</w:t>
      </w:r>
      <w:r w:rsidRPr="001F795C">
        <w:rPr>
          <w:sz w:val="24"/>
          <w:szCs w:val="24"/>
        </w:rPr>
        <w:t xml:space="preserve"> and places greater demands on adult decision-making, all of which may affect children as well as adults.</w:t>
      </w:r>
      <w:r>
        <w:rPr>
          <w:sz w:val="24"/>
          <w:szCs w:val="24"/>
        </w:rPr>
        <w:t xml:space="preserve"> (</w:t>
      </w:r>
      <w:hyperlink r:id="rId16" w:history="1">
        <w:r w:rsidRPr="00EA43B5">
          <w:rPr>
            <w:rStyle w:val="Hyperlink"/>
            <w:sz w:val="24"/>
            <w:szCs w:val="24"/>
          </w:rPr>
          <w:t>Orchard, 2018</w:t>
        </w:r>
      </w:hyperlink>
      <w:r>
        <w:rPr>
          <w:sz w:val="24"/>
          <w:szCs w:val="24"/>
        </w:rPr>
        <w:t>)</w:t>
      </w:r>
    </w:p>
    <w:p w14:paraId="19CDBA9C" w14:textId="02515F90" w:rsidR="005808B1" w:rsidRPr="00C1553F" w:rsidRDefault="005808B1" w:rsidP="005808B1">
      <w:pPr>
        <w:ind w:left="993" w:firstLine="720"/>
        <w:jc w:val="right"/>
        <w:rPr>
          <w:sz w:val="24"/>
          <w:szCs w:val="24"/>
        </w:rPr>
      </w:pPr>
      <w:r w:rsidRPr="00C1553F">
        <w:rPr>
          <w:i/>
          <w:iCs/>
          <w:color w:val="385623" w:themeColor="accent6" w:themeShade="80"/>
        </w:rPr>
        <w:t xml:space="preserve">When you’re in a low socio sort of environment, your head’s not looking up and looking at what the future looks like for you next year. </w:t>
      </w:r>
      <w:r w:rsidRPr="00787617">
        <w:rPr>
          <w:b/>
          <w:bCs/>
          <w:i/>
          <w:iCs/>
          <w:color w:val="385623" w:themeColor="accent6" w:themeShade="80"/>
        </w:rPr>
        <w:t>Or</w:t>
      </w:r>
      <w:r w:rsidRPr="00C1553F">
        <w:rPr>
          <w:i/>
          <w:iCs/>
          <w:color w:val="385623" w:themeColor="accent6" w:themeShade="80"/>
        </w:rPr>
        <w:t xml:space="preserve"> </w:t>
      </w:r>
      <w:r w:rsidRPr="00787617">
        <w:rPr>
          <w:b/>
          <w:bCs/>
          <w:i/>
          <w:iCs/>
          <w:color w:val="385623" w:themeColor="accent6" w:themeShade="80"/>
        </w:rPr>
        <w:t xml:space="preserve">what your dreams and aspirations are looking over there or “what I </w:t>
      </w:r>
      <w:proofErr w:type="spellStart"/>
      <w:r w:rsidRPr="00787617">
        <w:rPr>
          <w:b/>
          <w:bCs/>
          <w:i/>
          <w:iCs/>
          <w:color w:val="385623" w:themeColor="accent6" w:themeShade="80"/>
        </w:rPr>
        <w:t>wanna</w:t>
      </w:r>
      <w:proofErr w:type="spellEnd"/>
      <w:r w:rsidRPr="00787617">
        <w:rPr>
          <w:b/>
          <w:bCs/>
          <w:i/>
          <w:iCs/>
          <w:color w:val="385623" w:themeColor="accent6" w:themeShade="80"/>
        </w:rPr>
        <w:t xml:space="preserve"> do”.</w:t>
      </w:r>
      <w:r w:rsidRPr="00C1553F">
        <w:rPr>
          <w:i/>
          <w:iCs/>
          <w:color w:val="385623" w:themeColor="accent6" w:themeShade="80"/>
        </w:rPr>
        <w:t xml:space="preserve"> Your head’s looking down and it’s looking around in that pool of just trying to survive day by day.</w:t>
      </w:r>
      <w:r w:rsidRPr="00C1553F">
        <w:rPr>
          <w:color w:val="385623" w:themeColor="accent6" w:themeShade="80"/>
        </w:rPr>
        <w:t xml:space="preserve"> </w:t>
      </w:r>
      <w:r>
        <w:rPr>
          <w:color w:val="385623" w:themeColor="accent6" w:themeShade="80"/>
        </w:rPr>
        <w:br/>
      </w:r>
      <w:proofErr w:type="spellStart"/>
      <w:r w:rsidRPr="00C1553F">
        <w:rPr>
          <w:color w:val="385623" w:themeColor="accent6" w:themeShade="80"/>
        </w:rPr>
        <w:t>Tahu</w:t>
      </w:r>
      <w:proofErr w:type="spellEnd"/>
      <w:r w:rsidRPr="00C1553F">
        <w:rPr>
          <w:color w:val="385623" w:themeColor="accent6" w:themeShade="80"/>
        </w:rPr>
        <w:t xml:space="preserve">, </w:t>
      </w:r>
      <w:proofErr w:type="spellStart"/>
      <w:r w:rsidRPr="00C1553F">
        <w:rPr>
          <w:color w:val="385623" w:themeColor="accent6" w:themeShade="80"/>
        </w:rPr>
        <w:t>Te</w:t>
      </w:r>
      <w:proofErr w:type="spellEnd"/>
      <w:r w:rsidRPr="00C1553F">
        <w:rPr>
          <w:color w:val="385623" w:themeColor="accent6" w:themeShade="80"/>
        </w:rPr>
        <w:t xml:space="preserve"> </w:t>
      </w:r>
      <w:proofErr w:type="spellStart"/>
      <w:r w:rsidRPr="00C1553F">
        <w:rPr>
          <w:color w:val="385623" w:themeColor="accent6" w:themeShade="80"/>
        </w:rPr>
        <w:t>Whakaruruhau</w:t>
      </w:r>
      <w:proofErr w:type="spellEnd"/>
      <w:r w:rsidRPr="00C1553F">
        <w:rPr>
          <w:color w:val="385623" w:themeColor="accent6" w:themeShade="80"/>
        </w:rPr>
        <w:t xml:space="preserve"> Service Worker </w:t>
      </w:r>
      <w:r>
        <w:rPr>
          <w:color w:val="385623" w:themeColor="accent6" w:themeShade="80"/>
        </w:rPr>
        <w:t xml:space="preserve">&amp; </w:t>
      </w:r>
      <w:proofErr w:type="spellStart"/>
      <w:r w:rsidRPr="00C1553F">
        <w:rPr>
          <w:color w:val="385623" w:themeColor="accent6" w:themeShade="80"/>
        </w:rPr>
        <w:t>whānau</w:t>
      </w:r>
      <w:proofErr w:type="spellEnd"/>
      <w:r w:rsidRPr="00C1553F">
        <w:rPr>
          <w:color w:val="385623" w:themeColor="accent6" w:themeShade="80"/>
        </w:rPr>
        <w:t xml:space="preserve"> advocate</w:t>
      </w:r>
      <w:r>
        <w:rPr>
          <w:color w:val="385623" w:themeColor="accent6" w:themeShade="80"/>
        </w:rPr>
        <w:t xml:space="preserve">, quoted in </w:t>
      </w:r>
      <w:hyperlink r:id="rId17" w:history="1">
        <w:proofErr w:type="spellStart"/>
        <w:r w:rsidRPr="001A2EA4">
          <w:rPr>
            <w:rStyle w:val="Hyperlink"/>
          </w:rPr>
          <w:t>Rua</w:t>
        </w:r>
        <w:proofErr w:type="spellEnd"/>
        <w:r w:rsidRPr="001A2EA4">
          <w:rPr>
            <w:rStyle w:val="Hyperlink"/>
          </w:rPr>
          <w:t xml:space="preserve"> et al (2019)</w:t>
        </w:r>
      </w:hyperlink>
    </w:p>
    <w:p w14:paraId="047CB7FC" w14:textId="77777777" w:rsidR="005808B1" w:rsidRPr="0019010A" w:rsidRDefault="005808B1" w:rsidP="005808B1">
      <w:pPr>
        <w:pStyle w:val="ListParagraph"/>
        <w:numPr>
          <w:ilvl w:val="0"/>
          <w:numId w:val="7"/>
        </w:numPr>
        <w:spacing w:after="240"/>
        <w:ind w:left="714" w:hanging="357"/>
        <w:contextualSpacing w:val="0"/>
        <w:rPr>
          <w:sz w:val="24"/>
          <w:szCs w:val="24"/>
        </w:rPr>
      </w:pPr>
      <w:r w:rsidRPr="001F795C">
        <w:rPr>
          <w:b/>
          <w:bCs/>
          <w:sz w:val="24"/>
          <w:szCs w:val="24"/>
          <w:lang w:val="en-US"/>
        </w:rPr>
        <w:t xml:space="preserve">Poor outcomes for the few affect the many. </w:t>
      </w:r>
      <w:r w:rsidRPr="001F795C">
        <w:rPr>
          <w:sz w:val="24"/>
          <w:szCs w:val="24"/>
          <w:lang w:val="en-US"/>
        </w:rPr>
        <w:t>Depriving children of essential resources to actively participate in society</w:t>
      </w:r>
      <w:r>
        <w:rPr>
          <w:sz w:val="24"/>
          <w:szCs w:val="24"/>
          <w:lang w:val="en-US"/>
        </w:rPr>
        <w:t>,</w:t>
      </w:r>
      <w:r w:rsidRPr="001F795C">
        <w:rPr>
          <w:sz w:val="24"/>
          <w:szCs w:val="24"/>
          <w:lang w:val="en-US"/>
        </w:rPr>
        <w:t xml:space="preserve"> </w:t>
      </w:r>
      <w:r>
        <w:rPr>
          <w:sz w:val="24"/>
          <w:szCs w:val="24"/>
          <w:lang w:val="en-US"/>
        </w:rPr>
        <w:t xml:space="preserve">and disempowering their </w:t>
      </w:r>
      <w:proofErr w:type="spellStart"/>
      <w:r>
        <w:rPr>
          <w:sz w:val="24"/>
          <w:szCs w:val="24"/>
          <w:lang w:val="en-US"/>
        </w:rPr>
        <w:t>whānau</w:t>
      </w:r>
      <w:proofErr w:type="spellEnd"/>
      <w:r>
        <w:rPr>
          <w:sz w:val="24"/>
          <w:szCs w:val="24"/>
          <w:lang w:val="en-US"/>
        </w:rPr>
        <w:t xml:space="preserve"> and families, </w:t>
      </w:r>
      <w:r w:rsidRPr="001F795C">
        <w:rPr>
          <w:sz w:val="24"/>
          <w:szCs w:val="24"/>
          <w:lang w:val="en-US"/>
        </w:rPr>
        <w:t xml:space="preserve">generates poor outcomes for individuals, </w:t>
      </w:r>
      <w:proofErr w:type="spellStart"/>
      <w:r w:rsidRPr="001F795C">
        <w:rPr>
          <w:sz w:val="24"/>
          <w:szCs w:val="24"/>
          <w:lang w:val="en-US"/>
        </w:rPr>
        <w:t>whānau</w:t>
      </w:r>
      <w:proofErr w:type="spellEnd"/>
      <w:r w:rsidRPr="001F795C">
        <w:rPr>
          <w:sz w:val="24"/>
          <w:szCs w:val="24"/>
          <w:lang w:val="en-US"/>
        </w:rPr>
        <w:t xml:space="preserve">, and ultimately whole communities, who cannot reap the benefits of people reaching their full potential. </w:t>
      </w:r>
    </w:p>
    <w:p w14:paraId="3FAAF2B3" w14:textId="166220C4" w:rsidR="005808B1" w:rsidRPr="00EF30D2" w:rsidRDefault="005808B1" w:rsidP="005808B1">
      <w:pPr>
        <w:pStyle w:val="Heading1"/>
        <w:spacing w:before="360"/>
        <w:jc w:val="right"/>
        <w:rPr>
          <w:color w:val="538135" w:themeColor="accent6" w:themeShade="BF"/>
        </w:rPr>
      </w:pPr>
      <w:r w:rsidRPr="00EF30D2">
        <w:rPr>
          <w:color w:val="538135" w:themeColor="accent6" w:themeShade="BF"/>
        </w:rPr>
        <w:t xml:space="preserve">To enable our children to flourish, and to empower them to contribute to their communities throughout their lives, we need to ensure families have </w:t>
      </w:r>
      <w:r w:rsidRPr="00EF30D2">
        <w:rPr>
          <w:b/>
          <w:bCs/>
          <w:color w:val="538135" w:themeColor="accent6" w:themeShade="BF"/>
        </w:rPr>
        <w:t>guaranteed</w:t>
      </w:r>
      <w:r w:rsidRPr="00EF30D2">
        <w:rPr>
          <w:color w:val="538135" w:themeColor="accent6" w:themeShade="BF"/>
        </w:rPr>
        <w:t xml:space="preserve"> </w:t>
      </w:r>
      <w:r w:rsidRPr="00EF30D2">
        <w:rPr>
          <w:b/>
          <w:bCs/>
          <w:color w:val="538135" w:themeColor="accent6" w:themeShade="BF"/>
        </w:rPr>
        <w:t>adequate incomes</w:t>
      </w:r>
      <w:r w:rsidRPr="00EF30D2">
        <w:rPr>
          <w:color w:val="538135" w:themeColor="accent6" w:themeShade="BF"/>
        </w:rPr>
        <w:t xml:space="preserve"> </w:t>
      </w:r>
    </w:p>
    <w:p w14:paraId="1C2D80B1" w14:textId="77777777" w:rsidR="005808B1" w:rsidRDefault="005808B1" w:rsidP="005808B1">
      <w:pPr>
        <w:rPr>
          <w:b/>
          <w:bCs/>
          <w:lang w:val="en-US"/>
        </w:rPr>
      </w:pPr>
      <w:r>
        <w:rPr>
          <w:b/>
          <w:bCs/>
          <w:lang w:val="en-US"/>
        </w:rPr>
        <w:br w:type="page"/>
      </w:r>
    </w:p>
    <w:p w14:paraId="18AEBA9A" w14:textId="14871689" w:rsidR="005808B1" w:rsidRPr="00EF30D2" w:rsidRDefault="005808B1" w:rsidP="005808B1">
      <w:pPr>
        <w:pStyle w:val="Heading1"/>
        <w:spacing w:before="0" w:after="240"/>
        <w:rPr>
          <w:color w:val="538135" w:themeColor="accent6" w:themeShade="BF"/>
          <w:sz w:val="30"/>
          <w:szCs w:val="30"/>
          <w:lang w:val="en-US"/>
        </w:rPr>
      </w:pPr>
      <w:bookmarkStart w:id="1" w:name="_Appendix_2:_Children"/>
      <w:bookmarkEnd w:id="1"/>
      <w:r w:rsidRPr="00EF30D2">
        <w:rPr>
          <w:color w:val="538135" w:themeColor="accent6" w:themeShade="BF"/>
          <w:sz w:val="30"/>
          <w:szCs w:val="30"/>
          <w:lang w:val="en-US"/>
        </w:rPr>
        <w:lastRenderedPageBreak/>
        <w:t xml:space="preserve">Appendix 2: Children are the </w:t>
      </w:r>
      <w:r w:rsidRPr="00EF30D2">
        <w:rPr>
          <w:b/>
          <w:bCs/>
          <w:color w:val="538135" w:themeColor="accent6" w:themeShade="BF"/>
          <w:sz w:val="30"/>
          <w:szCs w:val="30"/>
          <w:lang w:val="en-US"/>
        </w:rPr>
        <w:t>most likely</w:t>
      </w:r>
      <w:r w:rsidRPr="00EF30D2">
        <w:rPr>
          <w:color w:val="538135" w:themeColor="accent6" w:themeShade="BF"/>
          <w:sz w:val="30"/>
          <w:szCs w:val="30"/>
          <w:lang w:val="en-US"/>
        </w:rPr>
        <w:t xml:space="preserve"> age group to live in poverty;</w:t>
      </w:r>
      <w:r w:rsidRPr="00EF30D2">
        <w:rPr>
          <w:color w:val="538135" w:themeColor="accent6" w:themeShade="BF"/>
          <w:sz w:val="30"/>
          <w:szCs w:val="30"/>
          <w:lang w:val="en-US"/>
        </w:rPr>
        <w:br/>
        <w:t>Most affected include</w:t>
      </w:r>
      <w:r w:rsidRPr="00EF30D2">
        <w:rPr>
          <w:b/>
          <w:bCs/>
          <w:color w:val="538135" w:themeColor="accent6" w:themeShade="BF"/>
          <w:sz w:val="30"/>
          <w:szCs w:val="30"/>
          <w:lang w:val="en-US"/>
        </w:rPr>
        <w:t xml:space="preserve"> Māori &amp; Pacific</w:t>
      </w:r>
      <w:r w:rsidRPr="00EF30D2">
        <w:rPr>
          <w:color w:val="538135" w:themeColor="accent6" w:themeShade="BF"/>
          <w:sz w:val="30"/>
          <w:szCs w:val="30"/>
          <w:lang w:val="en-US"/>
        </w:rPr>
        <w:t xml:space="preserve"> children, &amp; children with </w:t>
      </w:r>
      <w:r w:rsidRPr="00EF30D2">
        <w:rPr>
          <w:b/>
          <w:bCs/>
          <w:color w:val="538135" w:themeColor="accent6" w:themeShade="BF"/>
          <w:sz w:val="30"/>
          <w:szCs w:val="30"/>
          <w:lang w:val="en-US"/>
        </w:rPr>
        <w:t>disabilities</w:t>
      </w:r>
      <w:r w:rsidRPr="00EF30D2">
        <w:rPr>
          <w:color w:val="538135" w:themeColor="accent6" w:themeShade="BF"/>
          <w:sz w:val="30"/>
          <w:szCs w:val="30"/>
          <w:lang w:val="en-US"/>
        </w:rPr>
        <w:t>.</w:t>
      </w:r>
    </w:p>
    <w:p w14:paraId="0239778C" w14:textId="03BA1B5E" w:rsidR="005808B1" w:rsidRPr="00730FD1" w:rsidRDefault="005808B1" w:rsidP="005808B1">
      <w:pPr>
        <w:pStyle w:val="ListParagraph"/>
        <w:numPr>
          <w:ilvl w:val="0"/>
          <w:numId w:val="10"/>
        </w:numPr>
        <w:ind w:left="714" w:hanging="357"/>
        <w:contextualSpacing w:val="0"/>
        <w:rPr>
          <w:b/>
          <w:bCs/>
          <w:sz w:val="24"/>
          <w:szCs w:val="24"/>
          <w:lang w:val="en-US"/>
        </w:rPr>
      </w:pPr>
      <w:r w:rsidRPr="00A92331">
        <w:rPr>
          <w:b/>
          <w:bCs/>
          <w:sz w:val="24"/>
          <w:szCs w:val="24"/>
          <w:lang w:val="en-US"/>
        </w:rPr>
        <w:t xml:space="preserve">Children are </w:t>
      </w:r>
      <w:r>
        <w:rPr>
          <w:b/>
          <w:bCs/>
          <w:sz w:val="24"/>
          <w:szCs w:val="24"/>
          <w:lang w:val="en-US"/>
        </w:rPr>
        <w:t xml:space="preserve">almost </w:t>
      </w:r>
      <w:r w:rsidRPr="00A92331">
        <w:rPr>
          <w:b/>
          <w:bCs/>
          <w:sz w:val="24"/>
          <w:szCs w:val="24"/>
          <w:lang w:val="en-US"/>
        </w:rPr>
        <w:t xml:space="preserve">twice as likely as those aged over 65 to live in poverty </w:t>
      </w:r>
      <w:r w:rsidRPr="00A92331">
        <w:rPr>
          <w:sz w:val="24"/>
          <w:szCs w:val="24"/>
          <w:lang w:val="en-US"/>
        </w:rPr>
        <w:t>and</w:t>
      </w:r>
      <w:r w:rsidRPr="00A92331">
        <w:rPr>
          <w:b/>
          <w:bCs/>
          <w:sz w:val="24"/>
          <w:szCs w:val="24"/>
          <w:lang w:val="en-US"/>
        </w:rPr>
        <w:t xml:space="preserve"> </w:t>
      </w:r>
      <w:r>
        <w:rPr>
          <w:sz w:val="24"/>
          <w:szCs w:val="24"/>
          <w:lang w:val="en-US"/>
        </w:rPr>
        <w:t>1.5 times</w:t>
      </w:r>
      <w:r w:rsidRPr="00A92331">
        <w:rPr>
          <w:sz w:val="24"/>
          <w:szCs w:val="24"/>
          <w:lang w:val="en-US"/>
        </w:rPr>
        <w:t xml:space="preserve"> </w:t>
      </w:r>
      <w:r>
        <w:rPr>
          <w:sz w:val="24"/>
          <w:szCs w:val="24"/>
          <w:lang w:val="en-US"/>
        </w:rPr>
        <w:t xml:space="preserve">more </w:t>
      </w:r>
      <w:r w:rsidRPr="00A92331">
        <w:rPr>
          <w:sz w:val="24"/>
          <w:szCs w:val="24"/>
          <w:lang w:val="en-US"/>
        </w:rPr>
        <w:t xml:space="preserve">likely </w:t>
      </w:r>
      <w:r>
        <w:rPr>
          <w:sz w:val="24"/>
          <w:szCs w:val="24"/>
          <w:lang w:val="en-US"/>
        </w:rPr>
        <w:t xml:space="preserve">than </w:t>
      </w:r>
      <w:r w:rsidRPr="00A92331">
        <w:rPr>
          <w:sz w:val="24"/>
          <w:szCs w:val="24"/>
          <w:lang w:val="en-US"/>
        </w:rPr>
        <w:t>those aged 25-64</w:t>
      </w:r>
      <w:r>
        <w:rPr>
          <w:sz w:val="24"/>
          <w:szCs w:val="24"/>
          <w:lang w:val="en-US"/>
        </w:rPr>
        <w:t>,</w:t>
      </w:r>
      <w:r w:rsidRPr="00A92331">
        <w:rPr>
          <w:sz w:val="24"/>
          <w:szCs w:val="24"/>
          <w:lang w:val="en-US"/>
        </w:rPr>
        <w:t xml:space="preserve"> </w:t>
      </w:r>
      <w:r>
        <w:rPr>
          <w:sz w:val="24"/>
          <w:szCs w:val="24"/>
          <w:lang w:val="en-US"/>
        </w:rPr>
        <w:t>when housing costs are taken into account</w:t>
      </w:r>
      <w:r w:rsidRPr="00A92331">
        <w:rPr>
          <w:b/>
          <w:bCs/>
          <w:sz w:val="24"/>
          <w:szCs w:val="24"/>
          <w:lang w:val="en-US"/>
        </w:rPr>
        <w:t>.</w:t>
      </w:r>
      <w:r>
        <w:rPr>
          <w:b/>
          <w:bCs/>
          <w:sz w:val="24"/>
          <w:szCs w:val="24"/>
          <w:lang w:val="en-US"/>
        </w:rPr>
        <w:t xml:space="preserve"> </w:t>
      </w:r>
      <w:r>
        <w:rPr>
          <w:sz w:val="24"/>
          <w:szCs w:val="24"/>
          <w:lang w:val="en-US"/>
        </w:rPr>
        <w:t>C</w:t>
      </w:r>
      <w:proofErr w:type="spellStart"/>
      <w:r w:rsidRPr="00730FD1">
        <w:rPr>
          <w:sz w:val="24"/>
          <w:szCs w:val="24"/>
        </w:rPr>
        <w:t>hildren</w:t>
      </w:r>
      <w:proofErr w:type="spellEnd"/>
      <w:r w:rsidRPr="00730FD1">
        <w:rPr>
          <w:sz w:val="24"/>
          <w:szCs w:val="24"/>
        </w:rPr>
        <w:t xml:space="preserve"> with disability </w:t>
      </w:r>
      <w:r w:rsidR="0038672A">
        <w:rPr>
          <w:sz w:val="24"/>
          <w:szCs w:val="24"/>
        </w:rPr>
        <w:t xml:space="preserve">in NZ </w:t>
      </w:r>
      <w:r w:rsidRPr="00730FD1">
        <w:rPr>
          <w:sz w:val="24"/>
          <w:szCs w:val="24"/>
        </w:rPr>
        <w:t xml:space="preserve">are 1.5 times more likely </w:t>
      </w:r>
      <w:r>
        <w:rPr>
          <w:sz w:val="24"/>
          <w:szCs w:val="24"/>
        </w:rPr>
        <w:t>than other</w:t>
      </w:r>
      <w:r w:rsidR="00271AF2">
        <w:rPr>
          <w:sz w:val="24"/>
          <w:szCs w:val="24"/>
        </w:rPr>
        <w:t xml:space="preserve"> children</w:t>
      </w:r>
      <w:r>
        <w:rPr>
          <w:sz w:val="24"/>
          <w:szCs w:val="24"/>
        </w:rPr>
        <w:t xml:space="preserve"> </w:t>
      </w:r>
      <w:r w:rsidRPr="00730FD1">
        <w:rPr>
          <w:sz w:val="24"/>
          <w:szCs w:val="24"/>
        </w:rPr>
        <w:t xml:space="preserve">to </w:t>
      </w:r>
      <w:r>
        <w:rPr>
          <w:sz w:val="24"/>
          <w:szCs w:val="24"/>
        </w:rPr>
        <w:t xml:space="preserve">live with caregivers who </w:t>
      </w:r>
      <w:r w:rsidRPr="00730FD1">
        <w:rPr>
          <w:sz w:val="24"/>
          <w:szCs w:val="24"/>
        </w:rPr>
        <w:t>report not having enough</w:t>
      </w:r>
      <w:r w:rsidR="00253B38">
        <w:rPr>
          <w:sz w:val="24"/>
          <w:szCs w:val="24"/>
        </w:rPr>
        <w:t>. This is not the case</w:t>
      </w:r>
      <w:r w:rsidR="0038672A">
        <w:rPr>
          <w:sz w:val="24"/>
          <w:szCs w:val="24"/>
        </w:rPr>
        <w:t xml:space="preserve"> </w:t>
      </w:r>
      <w:r w:rsidR="00253B38">
        <w:rPr>
          <w:sz w:val="24"/>
          <w:szCs w:val="24"/>
        </w:rPr>
        <w:t xml:space="preserve">elsewhere, for example, </w:t>
      </w:r>
      <w:r w:rsidR="0038672A">
        <w:rPr>
          <w:sz w:val="24"/>
          <w:szCs w:val="24"/>
        </w:rPr>
        <w:t>in the UK</w:t>
      </w:r>
      <w:r w:rsidR="00253B38">
        <w:rPr>
          <w:sz w:val="24"/>
          <w:szCs w:val="24"/>
        </w:rPr>
        <w:t xml:space="preserve"> </w:t>
      </w:r>
      <w:r>
        <w:rPr>
          <w:sz w:val="24"/>
          <w:szCs w:val="24"/>
        </w:rPr>
        <w:t>(</w:t>
      </w:r>
      <w:proofErr w:type="spellStart"/>
      <w:r w:rsidR="00253B38">
        <w:fldChar w:fldCharType="begin"/>
      </w:r>
      <w:r w:rsidR="00253B38">
        <w:instrText xml:space="preserve"> HYPERLINK "https://www.cpag.org.nz/assets/Living%20Well%20Children%20with%20disability%20need%20far%20greater%20income%20support%20in%20Aotearoa%20Sept%202020%20%281%29.pdf" </w:instrText>
      </w:r>
      <w:r w:rsidR="00253B38">
        <w:fldChar w:fldCharType="separate"/>
      </w:r>
      <w:r w:rsidR="00253B38">
        <w:rPr>
          <w:rStyle w:val="Hyperlink"/>
          <w:sz w:val="24"/>
          <w:szCs w:val="24"/>
        </w:rPr>
        <w:t>Ne</w:t>
      </w:r>
      <w:r w:rsidR="0044404D">
        <w:rPr>
          <w:rStyle w:val="Hyperlink"/>
          <w:sz w:val="24"/>
          <w:szCs w:val="24"/>
        </w:rPr>
        <w:t>u</w:t>
      </w:r>
      <w:r w:rsidR="00253B38">
        <w:rPr>
          <w:rStyle w:val="Hyperlink"/>
          <w:sz w:val="24"/>
          <w:szCs w:val="24"/>
        </w:rPr>
        <w:t>w</w:t>
      </w:r>
      <w:r w:rsidR="0044404D">
        <w:rPr>
          <w:rStyle w:val="Hyperlink"/>
          <w:sz w:val="24"/>
          <w:szCs w:val="24"/>
        </w:rPr>
        <w:t>e</w:t>
      </w:r>
      <w:r w:rsidR="00253B38">
        <w:rPr>
          <w:rStyle w:val="Hyperlink"/>
          <w:sz w:val="24"/>
          <w:szCs w:val="24"/>
        </w:rPr>
        <w:t>lt</w:t>
      </w:r>
      <w:proofErr w:type="spellEnd"/>
      <w:r w:rsidR="00253B38">
        <w:rPr>
          <w:rStyle w:val="Hyperlink"/>
          <w:sz w:val="24"/>
          <w:szCs w:val="24"/>
        </w:rPr>
        <w:t>-Kearns, Murray, Russell &amp; Lee, 2020</w:t>
      </w:r>
      <w:r w:rsidR="00253B38">
        <w:fldChar w:fldCharType="end"/>
      </w:r>
      <w:r>
        <w:rPr>
          <w:sz w:val="24"/>
          <w:szCs w:val="24"/>
        </w:rPr>
        <w:t>).</w:t>
      </w:r>
    </w:p>
    <w:p w14:paraId="71ABE1EA" w14:textId="13DA0DE7" w:rsidR="005808B1" w:rsidRDefault="005808B1" w:rsidP="005808B1">
      <w:pPr>
        <w:pStyle w:val="ListParagraph"/>
        <w:spacing w:before="120"/>
        <w:rPr>
          <w:b/>
          <w:bCs/>
          <w:sz w:val="20"/>
          <w:szCs w:val="20"/>
        </w:rPr>
      </w:pPr>
      <w:r>
        <w:rPr>
          <w:b/>
          <w:bCs/>
          <w:sz w:val="20"/>
          <w:szCs w:val="20"/>
        </w:rPr>
        <w:t xml:space="preserve">Fig 1: % </w:t>
      </w:r>
      <w:r w:rsidRPr="00982553">
        <w:rPr>
          <w:b/>
          <w:bCs/>
          <w:sz w:val="20"/>
          <w:szCs w:val="20"/>
        </w:rPr>
        <w:t>of all individuals in low-income households by age (AHC 50, moving line, relative) 2018</w:t>
      </w:r>
    </w:p>
    <w:p w14:paraId="6A06C6B8" w14:textId="77777777" w:rsidR="005808B1" w:rsidRDefault="005808B1" w:rsidP="005808B1">
      <w:pPr>
        <w:pStyle w:val="ListParagraph"/>
        <w:spacing w:before="120" w:after="120"/>
        <w:rPr>
          <w:b/>
          <w:bCs/>
          <w:sz w:val="24"/>
          <w:szCs w:val="24"/>
          <w:lang w:val="en-US"/>
        </w:rPr>
      </w:pPr>
      <w:r>
        <w:rPr>
          <w:noProof/>
        </w:rPr>
        <w:drawing>
          <wp:inline distT="0" distB="0" distL="0" distR="0" wp14:anchorId="0EBF8882" wp14:editId="64E4A23D">
            <wp:extent cx="2550160" cy="1924050"/>
            <wp:effectExtent l="0" t="0" r="2540" b="0"/>
            <wp:docPr id="3" name="Chart 3">
              <a:extLst xmlns:a="http://schemas.openxmlformats.org/drawingml/2006/main">
                <a:ext uri="{FF2B5EF4-FFF2-40B4-BE49-F238E27FC236}">
                  <a16:creationId xmlns:a16="http://schemas.microsoft.com/office/drawing/2014/main" id="{F6FD3008-5747-46BC-B3B3-3CBCCD9C34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102633A" w14:textId="11CD9CDA" w:rsidR="005808B1" w:rsidRPr="00434B57" w:rsidRDefault="005808B1" w:rsidP="005808B1">
      <w:pPr>
        <w:pStyle w:val="ListParagraph"/>
        <w:numPr>
          <w:ilvl w:val="0"/>
          <w:numId w:val="10"/>
        </w:numPr>
        <w:spacing w:before="120"/>
        <w:ind w:left="714" w:hanging="357"/>
        <w:contextualSpacing w:val="0"/>
        <w:rPr>
          <w:b/>
          <w:bCs/>
          <w:sz w:val="24"/>
          <w:szCs w:val="24"/>
          <w:lang w:val="en-US"/>
        </w:rPr>
      </w:pPr>
      <w:r w:rsidRPr="004F19CF">
        <w:rPr>
          <w:b/>
          <w:bCs/>
          <w:sz w:val="24"/>
          <w:szCs w:val="24"/>
          <w:lang w:val="en-US"/>
        </w:rPr>
        <w:t>Māori children, and other children of non-</w:t>
      </w:r>
      <w:proofErr w:type="spellStart"/>
      <w:r w:rsidRPr="004F19CF">
        <w:rPr>
          <w:b/>
          <w:bCs/>
          <w:sz w:val="24"/>
          <w:szCs w:val="24"/>
          <w:lang w:val="en-US"/>
        </w:rPr>
        <w:t>Pākehā</w:t>
      </w:r>
      <w:proofErr w:type="spellEnd"/>
      <w:r w:rsidRPr="004F19CF">
        <w:rPr>
          <w:b/>
          <w:bCs/>
          <w:sz w:val="24"/>
          <w:szCs w:val="24"/>
          <w:lang w:val="en-US"/>
        </w:rPr>
        <w:t xml:space="preserve"> ethnicity, are even more likely than </w:t>
      </w:r>
      <w:proofErr w:type="spellStart"/>
      <w:r w:rsidRPr="004F19CF">
        <w:rPr>
          <w:b/>
          <w:bCs/>
          <w:sz w:val="24"/>
          <w:szCs w:val="24"/>
          <w:lang w:val="en-US"/>
        </w:rPr>
        <w:t>Pākehā</w:t>
      </w:r>
      <w:proofErr w:type="spellEnd"/>
      <w:r w:rsidRPr="004F19CF">
        <w:rPr>
          <w:b/>
          <w:bCs/>
          <w:sz w:val="24"/>
          <w:szCs w:val="24"/>
          <w:lang w:val="en-US"/>
        </w:rPr>
        <w:t xml:space="preserve"> children to experience </w:t>
      </w:r>
      <w:r>
        <w:rPr>
          <w:b/>
          <w:bCs/>
          <w:sz w:val="24"/>
          <w:szCs w:val="24"/>
          <w:lang w:val="en-US"/>
        </w:rPr>
        <w:t xml:space="preserve">income </w:t>
      </w:r>
      <w:r w:rsidRPr="004F19CF">
        <w:rPr>
          <w:b/>
          <w:bCs/>
          <w:sz w:val="24"/>
          <w:szCs w:val="24"/>
          <w:lang w:val="en-US"/>
        </w:rPr>
        <w:t>poverty</w:t>
      </w:r>
      <w:r>
        <w:rPr>
          <w:b/>
          <w:bCs/>
          <w:sz w:val="24"/>
          <w:szCs w:val="24"/>
          <w:lang w:val="en-US"/>
        </w:rPr>
        <w:t xml:space="preserve"> </w:t>
      </w:r>
      <w:r>
        <w:rPr>
          <w:sz w:val="24"/>
          <w:szCs w:val="24"/>
          <w:lang w:val="en-US"/>
        </w:rPr>
        <w:t xml:space="preserve">(Fig 2; rates for </w:t>
      </w:r>
      <w:r w:rsidRPr="004F19CF">
        <w:rPr>
          <w:sz w:val="24"/>
          <w:szCs w:val="24"/>
          <w:lang w:val="en-US"/>
        </w:rPr>
        <w:t xml:space="preserve">MELAA </w:t>
      </w:r>
      <w:r>
        <w:rPr>
          <w:sz w:val="24"/>
          <w:szCs w:val="24"/>
          <w:lang w:val="en-US"/>
        </w:rPr>
        <w:t>&amp; “</w:t>
      </w:r>
      <w:r w:rsidRPr="004F19CF">
        <w:rPr>
          <w:sz w:val="24"/>
          <w:szCs w:val="24"/>
          <w:lang w:val="en-US"/>
        </w:rPr>
        <w:t>other</w:t>
      </w:r>
      <w:r>
        <w:rPr>
          <w:sz w:val="24"/>
          <w:szCs w:val="24"/>
          <w:lang w:val="en-US"/>
        </w:rPr>
        <w:t>”</w:t>
      </w:r>
      <w:r w:rsidRPr="004F19CF">
        <w:rPr>
          <w:sz w:val="24"/>
          <w:szCs w:val="24"/>
          <w:lang w:val="en-US"/>
        </w:rPr>
        <w:t xml:space="preserve"> ethnicities </w:t>
      </w:r>
      <w:r>
        <w:rPr>
          <w:sz w:val="24"/>
          <w:szCs w:val="24"/>
          <w:lang w:val="en-US"/>
        </w:rPr>
        <w:t xml:space="preserve">are likely highest but </w:t>
      </w:r>
      <w:r w:rsidRPr="004F19CF">
        <w:rPr>
          <w:sz w:val="24"/>
          <w:szCs w:val="24"/>
          <w:lang w:val="en-US"/>
        </w:rPr>
        <w:t xml:space="preserve">not shown, as sampling error is </w:t>
      </w:r>
      <w:r>
        <w:rPr>
          <w:sz w:val="24"/>
          <w:szCs w:val="24"/>
          <w:lang w:val="en-US"/>
        </w:rPr>
        <w:t xml:space="preserve">very </w:t>
      </w:r>
      <w:r w:rsidRPr="004F19CF">
        <w:rPr>
          <w:sz w:val="24"/>
          <w:szCs w:val="24"/>
          <w:lang w:val="en-US"/>
        </w:rPr>
        <w:t>high).</w:t>
      </w:r>
      <w:r w:rsidRPr="004F19CF">
        <w:rPr>
          <w:b/>
          <w:bCs/>
          <w:sz w:val="24"/>
          <w:szCs w:val="24"/>
          <w:lang w:val="en-US"/>
        </w:rPr>
        <w:t xml:space="preserve"> </w:t>
      </w:r>
      <w:r w:rsidRPr="004F19CF">
        <w:rPr>
          <w:sz w:val="24"/>
          <w:szCs w:val="24"/>
          <w:lang w:val="en-US"/>
        </w:rPr>
        <w:t xml:space="preserve">For Māori, this is an effect of multiple, ongoing breaches of </w:t>
      </w:r>
      <w:proofErr w:type="spellStart"/>
      <w:r w:rsidRPr="004F19CF">
        <w:rPr>
          <w:sz w:val="24"/>
          <w:szCs w:val="24"/>
          <w:lang w:val="en-US"/>
        </w:rPr>
        <w:t>te</w:t>
      </w:r>
      <w:proofErr w:type="spellEnd"/>
      <w:r w:rsidRPr="004F19CF">
        <w:rPr>
          <w:sz w:val="24"/>
          <w:szCs w:val="24"/>
          <w:lang w:val="en-US"/>
        </w:rPr>
        <w:t xml:space="preserve"> </w:t>
      </w:r>
      <w:proofErr w:type="spellStart"/>
      <w:r w:rsidRPr="004F19CF">
        <w:rPr>
          <w:sz w:val="24"/>
          <w:szCs w:val="24"/>
          <w:lang w:val="en-US"/>
        </w:rPr>
        <w:t>Tiriti</w:t>
      </w:r>
      <w:proofErr w:type="spellEnd"/>
      <w:r w:rsidRPr="004F19CF">
        <w:rPr>
          <w:sz w:val="24"/>
          <w:szCs w:val="24"/>
          <w:lang w:val="en-US"/>
        </w:rPr>
        <w:t xml:space="preserve"> o Waitangi. For others as well as Māori, </w:t>
      </w:r>
      <w:r>
        <w:rPr>
          <w:sz w:val="24"/>
          <w:szCs w:val="24"/>
          <w:lang w:val="en-US"/>
        </w:rPr>
        <w:t xml:space="preserve">it is an </w:t>
      </w:r>
      <w:r w:rsidR="00EF692C">
        <w:rPr>
          <w:sz w:val="24"/>
          <w:szCs w:val="24"/>
          <w:lang w:val="en-US"/>
        </w:rPr>
        <w:t xml:space="preserve">issue of systemic discrimination and has effects on </w:t>
      </w:r>
      <w:r>
        <w:rPr>
          <w:sz w:val="24"/>
          <w:szCs w:val="24"/>
          <w:lang w:val="en-US"/>
        </w:rPr>
        <w:t xml:space="preserve">equity: </w:t>
      </w:r>
      <w:r w:rsidRPr="004F19CF">
        <w:rPr>
          <w:sz w:val="24"/>
          <w:szCs w:val="24"/>
          <w:lang w:val="en-US"/>
        </w:rPr>
        <w:t xml:space="preserve">entire communities </w:t>
      </w:r>
      <w:r>
        <w:rPr>
          <w:sz w:val="24"/>
          <w:szCs w:val="24"/>
          <w:lang w:val="en-US"/>
        </w:rPr>
        <w:t>will bear the burden of the potential lost due to poverty-impacted health and educational outcomes</w:t>
      </w:r>
      <w:r w:rsidRPr="004F19CF">
        <w:rPr>
          <w:sz w:val="24"/>
          <w:szCs w:val="24"/>
          <w:lang w:val="en-US"/>
        </w:rPr>
        <w:t>.</w:t>
      </w:r>
      <w:r>
        <w:rPr>
          <w:sz w:val="24"/>
          <w:szCs w:val="24"/>
          <w:lang w:val="en-US"/>
        </w:rPr>
        <w:t xml:space="preserve"> </w:t>
      </w:r>
    </w:p>
    <w:p w14:paraId="73A56E80" w14:textId="64BAB16B" w:rsidR="005808B1" w:rsidRPr="00434B57" w:rsidRDefault="005808B1" w:rsidP="005808B1">
      <w:pPr>
        <w:pStyle w:val="ListParagraph"/>
        <w:numPr>
          <w:ilvl w:val="0"/>
          <w:numId w:val="10"/>
        </w:numPr>
        <w:rPr>
          <w:b/>
          <w:bCs/>
          <w:sz w:val="24"/>
          <w:szCs w:val="24"/>
          <w:lang w:val="en-US"/>
        </w:rPr>
      </w:pPr>
      <w:r w:rsidRPr="00434B57">
        <w:rPr>
          <w:b/>
          <w:bCs/>
          <w:sz w:val="24"/>
          <w:szCs w:val="24"/>
          <w:lang w:val="en-US"/>
        </w:rPr>
        <w:t>Proportionally far more Pacific and Māori children suffer material hardship</w:t>
      </w:r>
      <w:r>
        <w:rPr>
          <w:sz w:val="24"/>
          <w:szCs w:val="24"/>
          <w:lang w:val="en-US"/>
        </w:rPr>
        <w:t xml:space="preserve"> than Asian and </w:t>
      </w:r>
      <w:proofErr w:type="spellStart"/>
      <w:r>
        <w:rPr>
          <w:sz w:val="24"/>
          <w:szCs w:val="24"/>
          <w:lang w:val="en-US"/>
        </w:rPr>
        <w:t>Pākehā</w:t>
      </w:r>
      <w:proofErr w:type="spellEnd"/>
      <w:r>
        <w:rPr>
          <w:sz w:val="24"/>
          <w:szCs w:val="24"/>
          <w:lang w:val="en-US"/>
        </w:rPr>
        <w:t xml:space="preserve"> children (Fig 3; MELAA rates are unclear). Pacific children suffer severe hardship</w:t>
      </w:r>
      <w:r w:rsidR="00E65AEA">
        <w:rPr>
          <w:sz w:val="24"/>
          <w:szCs w:val="24"/>
          <w:lang w:val="en-US"/>
        </w:rPr>
        <w:t xml:space="preserve"> (as defined by </w:t>
      </w:r>
      <w:proofErr w:type="spellStart"/>
      <w:r w:rsidR="00E65AEA">
        <w:rPr>
          <w:sz w:val="24"/>
          <w:szCs w:val="24"/>
          <w:lang w:val="en-US"/>
        </w:rPr>
        <w:t>StatsNZ</w:t>
      </w:r>
      <w:proofErr w:type="spellEnd"/>
      <w:r w:rsidR="00E65AEA">
        <w:rPr>
          <w:sz w:val="24"/>
          <w:szCs w:val="24"/>
          <w:lang w:val="en-US"/>
        </w:rPr>
        <w:t>)</w:t>
      </w:r>
      <w:r>
        <w:rPr>
          <w:sz w:val="24"/>
          <w:szCs w:val="24"/>
          <w:lang w:val="en-US"/>
        </w:rPr>
        <w:t xml:space="preserve"> at </w:t>
      </w:r>
      <w:r w:rsidR="00EF692C">
        <w:rPr>
          <w:sz w:val="24"/>
          <w:szCs w:val="24"/>
          <w:lang w:val="en-US"/>
        </w:rPr>
        <w:t>4</w:t>
      </w:r>
      <w:r>
        <w:rPr>
          <w:sz w:val="24"/>
          <w:szCs w:val="24"/>
          <w:lang w:val="en-US"/>
        </w:rPr>
        <w:t xml:space="preserve"> times the rate of the national average.</w:t>
      </w:r>
    </w:p>
    <w:p w14:paraId="2C8D1AD0" w14:textId="77777777" w:rsidR="005808B1" w:rsidRPr="00434B57" w:rsidRDefault="005808B1" w:rsidP="005808B1">
      <w:pPr>
        <w:rPr>
          <w:b/>
          <w:bCs/>
          <w:sz w:val="24"/>
          <w:szCs w:val="24"/>
          <w:lang w:val="en-US"/>
        </w:rPr>
      </w:pPr>
      <w:r>
        <w:rPr>
          <w:noProof/>
          <w:lang w:val="en-US"/>
        </w:rPr>
        <mc:AlternateContent>
          <mc:Choice Requires="wps">
            <w:drawing>
              <wp:anchor distT="0" distB="0" distL="114300" distR="114300" simplePos="0" relativeHeight="251696639" behindDoc="0" locked="0" layoutInCell="1" allowOverlap="1" wp14:anchorId="3230F526" wp14:editId="1B39775E">
                <wp:simplePos x="0" y="0"/>
                <wp:positionH relativeFrom="column">
                  <wp:posOffset>3355340</wp:posOffset>
                </wp:positionH>
                <wp:positionV relativeFrom="paragraph">
                  <wp:posOffset>20440</wp:posOffset>
                </wp:positionV>
                <wp:extent cx="2584174" cy="66790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84174" cy="667909"/>
                        </a:xfrm>
                        <a:prstGeom prst="rect">
                          <a:avLst/>
                        </a:prstGeom>
                        <a:noFill/>
                        <a:ln w="6350">
                          <a:noFill/>
                        </a:ln>
                      </wps:spPr>
                      <wps:txbx>
                        <w:txbxContent>
                          <w:p w14:paraId="703C0BB3" w14:textId="6E2CD3B2" w:rsidR="001A2EA4" w:rsidRPr="00532AB2" w:rsidRDefault="001A2EA4" w:rsidP="005808B1">
                            <w:pPr>
                              <w:spacing w:line="240" w:lineRule="auto"/>
                              <w:jc w:val="center"/>
                              <w:rPr>
                                <w:b/>
                                <w:bCs/>
                                <w:sz w:val="20"/>
                                <w:szCs w:val="20"/>
                              </w:rPr>
                            </w:pPr>
                            <w:r w:rsidRPr="003653CE">
                              <w:rPr>
                                <w:b/>
                                <w:bCs/>
                                <w:sz w:val="20"/>
                                <w:szCs w:val="20"/>
                              </w:rPr>
                              <w:t xml:space="preserve">Fig </w:t>
                            </w:r>
                            <w:r w:rsidRPr="00532AB2">
                              <w:rPr>
                                <w:b/>
                                <w:bCs/>
                                <w:sz w:val="20"/>
                                <w:szCs w:val="20"/>
                              </w:rPr>
                              <w:t xml:space="preserve">3: The </w:t>
                            </w:r>
                            <w:r w:rsidRPr="003653CE">
                              <w:rPr>
                                <w:b/>
                                <w:bCs/>
                                <w:sz w:val="20"/>
                                <w:szCs w:val="20"/>
                              </w:rPr>
                              <w:t>three</w:t>
                            </w:r>
                            <w:r w:rsidRPr="00532AB2">
                              <w:rPr>
                                <w:b/>
                                <w:bCs/>
                                <w:sz w:val="20"/>
                                <w:szCs w:val="20"/>
                              </w:rPr>
                              <w:t xml:space="preserve"> </w:t>
                            </w:r>
                            <w:r w:rsidRPr="003653CE">
                              <w:rPr>
                                <w:b/>
                                <w:bCs/>
                                <w:sz w:val="20"/>
                                <w:szCs w:val="20"/>
                              </w:rPr>
                              <w:t xml:space="preserve">official </w:t>
                            </w:r>
                            <w:r w:rsidRPr="00532AB2">
                              <w:rPr>
                                <w:b/>
                                <w:bCs/>
                                <w:sz w:val="20"/>
                                <w:szCs w:val="20"/>
                              </w:rPr>
                              <w:t xml:space="preserve">material hardship measures for children, by ethnicity, </w:t>
                            </w:r>
                            <w:r w:rsidRPr="003653CE">
                              <w:rPr>
                                <w:b/>
                                <w:bCs/>
                                <w:sz w:val="20"/>
                                <w:szCs w:val="20"/>
                              </w:rPr>
                              <w:t xml:space="preserve">as a proportion of rate for </w:t>
                            </w:r>
                            <w:r w:rsidRPr="00532AB2">
                              <w:rPr>
                                <w:b/>
                                <w:bCs/>
                                <w:sz w:val="20"/>
                                <w:szCs w:val="20"/>
                              </w:rPr>
                              <w:t xml:space="preserve">Māori </w:t>
                            </w:r>
                            <w:r w:rsidRPr="003653CE">
                              <w:rPr>
                                <w:b/>
                                <w:bCs/>
                                <w:sz w:val="20"/>
                                <w:szCs w:val="20"/>
                              </w:rPr>
                              <w:t>(</w:t>
                            </w:r>
                            <w:r w:rsidRPr="00532AB2">
                              <w:rPr>
                                <w:b/>
                                <w:bCs/>
                                <w:sz w:val="20"/>
                                <w:szCs w:val="20"/>
                              </w:rPr>
                              <w:t>= 1)</w:t>
                            </w:r>
                            <w:r>
                              <w:rPr>
                                <w:b/>
                                <w:bCs/>
                                <w:sz w:val="20"/>
                                <w:szCs w:val="20"/>
                              </w:rPr>
                              <w:t>, 2019</w:t>
                            </w:r>
                          </w:p>
                          <w:p w14:paraId="4A99CB30" w14:textId="77777777" w:rsidR="001A2EA4" w:rsidRDefault="001A2EA4" w:rsidP="005808B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0F526" id="Text Box 13" o:spid="_x0000_s1027" type="#_x0000_t202" style="position:absolute;margin-left:264.2pt;margin-top:1.6pt;width:203.5pt;height:52.6pt;z-index:2516966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" filled="f" stroked="f" strokeweight=".5pt">
                <v:textbox>
                  <w:txbxContent>
                    <w:p w14:paraId="703C0BB3" w14:textId="6E2CD3B2" w:rsidR="001A2EA4" w:rsidRPr="00532AB2" w:rsidRDefault="001A2EA4" w:rsidP="005808B1">
                      <w:pPr>
                        <w:spacing w:line="240" w:lineRule="auto"/>
                        <w:jc w:val="center"/>
                        <w:rPr>
                          <w:b/>
                          <w:bCs/>
                          <w:sz w:val="20"/>
                          <w:szCs w:val="20"/>
                        </w:rPr>
                      </w:pPr>
                      <w:r w:rsidRPr="003653CE">
                        <w:rPr>
                          <w:b/>
                          <w:bCs/>
                          <w:sz w:val="20"/>
                          <w:szCs w:val="20"/>
                        </w:rPr>
                        <w:t xml:space="preserve">Fig </w:t>
                      </w:r>
                      <w:r w:rsidRPr="00532AB2">
                        <w:rPr>
                          <w:b/>
                          <w:bCs/>
                          <w:sz w:val="20"/>
                          <w:szCs w:val="20"/>
                        </w:rPr>
                        <w:t xml:space="preserve">3: The </w:t>
                      </w:r>
                      <w:r w:rsidRPr="003653CE">
                        <w:rPr>
                          <w:b/>
                          <w:bCs/>
                          <w:sz w:val="20"/>
                          <w:szCs w:val="20"/>
                        </w:rPr>
                        <w:t>three</w:t>
                      </w:r>
                      <w:r w:rsidRPr="00532AB2">
                        <w:rPr>
                          <w:b/>
                          <w:bCs/>
                          <w:sz w:val="20"/>
                          <w:szCs w:val="20"/>
                        </w:rPr>
                        <w:t xml:space="preserve"> </w:t>
                      </w:r>
                      <w:r w:rsidRPr="003653CE">
                        <w:rPr>
                          <w:b/>
                          <w:bCs/>
                          <w:sz w:val="20"/>
                          <w:szCs w:val="20"/>
                        </w:rPr>
                        <w:t xml:space="preserve">official </w:t>
                      </w:r>
                      <w:r w:rsidRPr="00532AB2">
                        <w:rPr>
                          <w:b/>
                          <w:bCs/>
                          <w:sz w:val="20"/>
                          <w:szCs w:val="20"/>
                        </w:rPr>
                        <w:t xml:space="preserve">material hardship measures for children, by ethnicity, </w:t>
                      </w:r>
                      <w:r w:rsidRPr="003653CE">
                        <w:rPr>
                          <w:b/>
                          <w:bCs/>
                          <w:sz w:val="20"/>
                          <w:szCs w:val="20"/>
                        </w:rPr>
                        <w:t xml:space="preserve">as a proportion of rate for </w:t>
                      </w:r>
                      <w:r w:rsidRPr="00532AB2">
                        <w:rPr>
                          <w:b/>
                          <w:bCs/>
                          <w:sz w:val="20"/>
                          <w:szCs w:val="20"/>
                        </w:rPr>
                        <w:t xml:space="preserve">Māori </w:t>
                      </w:r>
                      <w:r w:rsidRPr="003653CE">
                        <w:rPr>
                          <w:b/>
                          <w:bCs/>
                          <w:sz w:val="20"/>
                          <w:szCs w:val="20"/>
                        </w:rPr>
                        <w:t>(</w:t>
                      </w:r>
                      <w:r w:rsidRPr="00532AB2">
                        <w:rPr>
                          <w:b/>
                          <w:bCs/>
                          <w:sz w:val="20"/>
                          <w:szCs w:val="20"/>
                        </w:rPr>
                        <w:t>= 1)</w:t>
                      </w:r>
                      <w:r>
                        <w:rPr>
                          <w:b/>
                          <w:bCs/>
                          <w:sz w:val="20"/>
                          <w:szCs w:val="20"/>
                        </w:rPr>
                        <w:t>, 2019</w:t>
                      </w:r>
                    </w:p>
                    <w:p w14:paraId="4A99CB30" w14:textId="77777777" w:rsidR="001A2EA4" w:rsidRDefault="001A2EA4" w:rsidP="005808B1">
                      <w:pPr>
                        <w:jc w:val="center"/>
                      </w:pPr>
                    </w:p>
                  </w:txbxContent>
                </v:textbox>
              </v:shape>
            </w:pict>
          </mc:Fallback>
        </mc:AlternateContent>
      </w:r>
      <w:r>
        <w:rPr>
          <w:noProof/>
          <w:lang w:val="en-US"/>
        </w:rPr>
        <mc:AlternateContent>
          <mc:Choice Requires="wps">
            <w:drawing>
              <wp:anchor distT="0" distB="0" distL="114300" distR="114300" simplePos="0" relativeHeight="251695615" behindDoc="0" locked="0" layoutInCell="1" allowOverlap="1" wp14:anchorId="06A50C58" wp14:editId="04D7527B">
                <wp:simplePos x="0" y="0"/>
                <wp:positionH relativeFrom="margin">
                  <wp:align>left</wp:align>
                </wp:positionH>
                <wp:positionV relativeFrom="paragraph">
                  <wp:posOffset>12528</wp:posOffset>
                </wp:positionV>
                <wp:extent cx="3352800" cy="66790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352800" cy="667909"/>
                        </a:xfrm>
                        <a:prstGeom prst="rect">
                          <a:avLst/>
                        </a:prstGeom>
                        <a:noFill/>
                        <a:ln w="6350">
                          <a:noFill/>
                        </a:ln>
                      </wps:spPr>
                      <wps:txbx>
                        <w:txbxContent>
                          <w:p w14:paraId="0914BF57" w14:textId="050FF1FB" w:rsidR="001A2EA4" w:rsidRPr="00532AB2" w:rsidRDefault="001A2EA4" w:rsidP="005808B1">
                            <w:pPr>
                              <w:spacing w:line="240" w:lineRule="auto"/>
                              <w:jc w:val="center"/>
                              <w:rPr>
                                <w:b/>
                                <w:bCs/>
                                <w:sz w:val="20"/>
                                <w:szCs w:val="20"/>
                              </w:rPr>
                            </w:pPr>
                            <w:r w:rsidRPr="00532AB2">
                              <w:rPr>
                                <w:b/>
                                <w:bCs/>
                                <w:sz w:val="20"/>
                                <w:szCs w:val="20"/>
                              </w:rPr>
                              <w:t>Fig 2: The six official income poverty measures for children, by ethnicity, as a proportion of rate for Māori (= 1)</w:t>
                            </w:r>
                            <w:r>
                              <w:rPr>
                                <w:b/>
                                <w:bCs/>
                                <w:sz w:val="20"/>
                                <w:szCs w:val="20"/>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50C58" id="Text Box 12" o:spid="_x0000_s1028" type="#_x0000_t202" style="position:absolute;margin-left:0;margin-top:1pt;width:264pt;height:52.6pt;z-index:25169561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" filled="f" stroked="f" strokeweight=".5pt">
                <v:textbox>
                  <w:txbxContent>
                    <w:p w14:paraId="0914BF57" w14:textId="050FF1FB" w:rsidR="001A2EA4" w:rsidRPr="00532AB2" w:rsidRDefault="001A2EA4" w:rsidP="005808B1">
                      <w:pPr>
                        <w:spacing w:line="240" w:lineRule="auto"/>
                        <w:jc w:val="center"/>
                        <w:rPr>
                          <w:b/>
                          <w:bCs/>
                          <w:sz w:val="20"/>
                          <w:szCs w:val="20"/>
                        </w:rPr>
                      </w:pPr>
                      <w:r w:rsidRPr="00532AB2">
                        <w:rPr>
                          <w:b/>
                          <w:bCs/>
                          <w:sz w:val="20"/>
                          <w:szCs w:val="20"/>
                        </w:rPr>
                        <w:t>Fig 2: The six official income poverty measures for children, by ethnicity, as a proportion of rate for Māori (= 1)</w:t>
                      </w:r>
                      <w:r>
                        <w:rPr>
                          <w:b/>
                          <w:bCs/>
                          <w:sz w:val="20"/>
                          <w:szCs w:val="20"/>
                        </w:rPr>
                        <w:t>, 2019</w:t>
                      </w:r>
                    </w:p>
                  </w:txbxContent>
                </v:textbox>
                <w10:wrap anchorx="margin"/>
              </v:shape>
            </w:pict>
          </mc:Fallback>
        </mc:AlternateContent>
      </w:r>
    </w:p>
    <w:p w14:paraId="4D29E21E" w14:textId="0973C322" w:rsidR="00EF30D2" w:rsidRDefault="005808B1" w:rsidP="00271AF2">
      <w:pPr>
        <w:pStyle w:val="ListParagraph"/>
        <w:ind w:left="0"/>
        <w:contextualSpacing w:val="0"/>
        <w:rPr>
          <w:i/>
          <w:iCs/>
          <w:sz w:val="20"/>
          <w:szCs w:val="20"/>
          <w:lang w:val="en-US"/>
        </w:rPr>
      </w:pPr>
      <w:r w:rsidRPr="00AD6340">
        <w:rPr>
          <w:i/>
          <w:iCs/>
          <w:noProof/>
          <w:sz w:val="20"/>
          <w:szCs w:val="20"/>
        </w:rPr>
        <w:drawing>
          <wp:inline distT="0" distB="0" distL="0" distR="0" wp14:anchorId="5383E93C" wp14:editId="0697979D">
            <wp:extent cx="3299460" cy="2434856"/>
            <wp:effectExtent l="0" t="0" r="0" b="3810"/>
            <wp:docPr id="7" name="Chart 7">
              <a:extLst xmlns:a="http://schemas.openxmlformats.org/drawingml/2006/main">
                <a:ext uri="{FF2B5EF4-FFF2-40B4-BE49-F238E27FC236}">
                  <a16:creationId xmlns:a16="http://schemas.microsoft.com/office/drawing/2014/main" id="{7A2F8347-69D3-4E27-B075-8CC22E5937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AD6340">
        <w:rPr>
          <w:noProof/>
        </w:rPr>
        <w:t xml:space="preserve"> </w:t>
      </w:r>
      <w:r>
        <w:rPr>
          <w:noProof/>
        </w:rPr>
        <w:drawing>
          <wp:inline distT="0" distB="0" distL="0" distR="0" wp14:anchorId="00A01C55" wp14:editId="196BA87F">
            <wp:extent cx="2299335" cy="2402958"/>
            <wp:effectExtent l="0" t="0" r="5715" b="0"/>
            <wp:docPr id="11" name="Chart 11">
              <a:extLst xmlns:a="http://schemas.openxmlformats.org/drawingml/2006/main">
                <a:ext uri="{FF2B5EF4-FFF2-40B4-BE49-F238E27FC236}">
                  <a16:creationId xmlns:a16="http://schemas.microsoft.com/office/drawing/2014/main" id="{7096FC4C-7CCF-4BD1-9454-DE5171208E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AD6340">
        <w:rPr>
          <w:i/>
          <w:iCs/>
          <w:sz w:val="20"/>
          <w:szCs w:val="20"/>
          <w:lang w:val="en-US"/>
        </w:rPr>
        <w:br/>
      </w:r>
      <w:r>
        <w:rPr>
          <w:i/>
          <w:iCs/>
          <w:sz w:val="20"/>
          <w:szCs w:val="20"/>
          <w:lang w:val="en-US"/>
        </w:rPr>
        <w:t xml:space="preserve"> </w:t>
      </w:r>
      <w:r>
        <w:rPr>
          <w:i/>
          <w:iCs/>
          <w:sz w:val="20"/>
          <w:szCs w:val="20"/>
          <w:lang w:val="en-US"/>
        </w:rPr>
        <w:tab/>
      </w:r>
      <w:r w:rsidRPr="00AD6340">
        <w:rPr>
          <w:i/>
          <w:iCs/>
          <w:sz w:val="20"/>
          <w:szCs w:val="20"/>
          <w:lang w:val="en-US"/>
        </w:rPr>
        <w:t xml:space="preserve">Source: </w:t>
      </w:r>
      <w:proofErr w:type="spellStart"/>
      <w:r w:rsidRPr="00AD6340">
        <w:rPr>
          <w:i/>
          <w:iCs/>
          <w:sz w:val="20"/>
          <w:szCs w:val="20"/>
          <w:lang w:val="en-US"/>
        </w:rPr>
        <w:t>StatsNZ</w:t>
      </w:r>
      <w:proofErr w:type="spellEnd"/>
      <w:r w:rsidRPr="00AD6340">
        <w:rPr>
          <w:i/>
          <w:iCs/>
          <w:sz w:val="20"/>
          <w:szCs w:val="20"/>
          <w:lang w:val="en-US"/>
        </w:rPr>
        <w:t xml:space="preserve"> (2020)</w:t>
      </w:r>
      <w:r w:rsidR="00EF30D2">
        <w:rPr>
          <w:i/>
          <w:iCs/>
          <w:sz w:val="20"/>
          <w:szCs w:val="20"/>
          <w:lang w:val="en-US"/>
        </w:rPr>
        <w:br w:type="page"/>
      </w:r>
    </w:p>
    <w:p w14:paraId="5AD46673" w14:textId="4ED174C5" w:rsidR="00EF30D2" w:rsidRPr="00EF30D2" w:rsidRDefault="00EF30D2" w:rsidP="00EF30D2">
      <w:pPr>
        <w:pStyle w:val="Heading1"/>
        <w:spacing w:before="0" w:after="240"/>
        <w:rPr>
          <w:color w:val="538135" w:themeColor="accent6" w:themeShade="BF"/>
          <w:sz w:val="28"/>
          <w:szCs w:val="28"/>
          <w:lang w:val="en-US"/>
        </w:rPr>
      </w:pPr>
      <w:bookmarkStart w:id="2" w:name="_Appendix_3:_Since"/>
      <w:bookmarkEnd w:id="2"/>
      <w:r w:rsidRPr="00EF30D2">
        <w:rPr>
          <w:b/>
          <w:bCs/>
          <w:color w:val="538135" w:themeColor="accent6" w:themeShade="BF"/>
          <w:sz w:val="28"/>
          <w:szCs w:val="28"/>
          <w:lang w:val="en-US"/>
        </w:rPr>
        <w:lastRenderedPageBreak/>
        <w:t>Appendix 3</w:t>
      </w:r>
      <w:r w:rsidRPr="00EF30D2">
        <w:rPr>
          <w:color w:val="538135" w:themeColor="accent6" w:themeShade="BF"/>
          <w:sz w:val="28"/>
          <w:szCs w:val="28"/>
          <w:lang w:val="en-US"/>
        </w:rPr>
        <w:t xml:space="preserve">: Since </w:t>
      </w:r>
      <w:r w:rsidRPr="00EF30D2">
        <w:rPr>
          <w:b/>
          <w:bCs/>
          <w:color w:val="538135" w:themeColor="accent6" w:themeShade="BF"/>
          <w:sz w:val="28"/>
          <w:szCs w:val="28"/>
          <w:lang w:val="en-US"/>
        </w:rPr>
        <w:t xml:space="preserve">COVID-19 </w:t>
      </w:r>
      <w:r w:rsidRPr="00EF30D2">
        <w:rPr>
          <w:color w:val="538135" w:themeColor="accent6" w:themeShade="BF"/>
          <w:sz w:val="28"/>
          <w:szCs w:val="28"/>
          <w:lang w:val="en-US"/>
        </w:rPr>
        <w:t xml:space="preserve">hit, rates of child poverty will have </w:t>
      </w:r>
      <w:r w:rsidRPr="00EF30D2">
        <w:rPr>
          <w:b/>
          <w:bCs/>
          <w:color w:val="538135" w:themeColor="accent6" w:themeShade="BF"/>
          <w:sz w:val="28"/>
          <w:szCs w:val="28"/>
          <w:lang w:val="en-US"/>
        </w:rPr>
        <w:t>increased</w:t>
      </w:r>
      <w:r w:rsidRPr="00EF30D2">
        <w:rPr>
          <w:color w:val="538135" w:themeColor="accent6" w:themeShade="BF"/>
          <w:sz w:val="28"/>
          <w:szCs w:val="28"/>
          <w:lang w:val="en-US"/>
        </w:rPr>
        <w:t>;</w:t>
      </w:r>
      <w:r w:rsidRPr="00EF30D2">
        <w:rPr>
          <w:color w:val="538135" w:themeColor="accent6" w:themeShade="BF"/>
          <w:sz w:val="28"/>
          <w:szCs w:val="28"/>
          <w:lang w:val="en-US"/>
        </w:rPr>
        <w:br/>
        <w:t>Reports indicate many already in poverty are in dire</w:t>
      </w:r>
      <w:r w:rsidRPr="00EF30D2">
        <w:rPr>
          <w:b/>
          <w:bCs/>
          <w:color w:val="538135" w:themeColor="accent6" w:themeShade="BF"/>
          <w:sz w:val="28"/>
          <w:szCs w:val="28"/>
          <w:lang w:val="en-US"/>
        </w:rPr>
        <w:t xml:space="preserve"> </w:t>
      </w:r>
      <w:r w:rsidRPr="00EF30D2">
        <w:rPr>
          <w:color w:val="538135" w:themeColor="accent6" w:themeShade="BF"/>
          <w:sz w:val="28"/>
          <w:szCs w:val="28"/>
          <w:lang w:val="en-US"/>
        </w:rPr>
        <w:t>situations</w:t>
      </w:r>
    </w:p>
    <w:p w14:paraId="216B238B" w14:textId="09149D59" w:rsidR="00EF30D2" w:rsidRPr="008F729D" w:rsidRDefault="00EF30D2" w:rsidP="00EF30D2">
      <w:pPr>
        <w:pStyle w:val="ListParagraph"/>
        <w:numPr>
          <w:ilvl w:val="0"/>
          <w:numId w:val="12"/>
        </w:numPr>
        <w:ind w:left="714" w:hanging="357"/>
        <w:contextualSpacing w:val="0"/>
        <w:rPr>
          <w:b/>
          <w:bCs/>
          <w:sz w:val="24"/>
          <w:szCs w:val="24"/>
          <w:lang w:val="en-US"/>
        </w:rPr>
      </w:pPr>
      <w:r w:rsidRPr="008B5F4F">
        <w:rPr>
          <w:b/>
          <w:bCs/>
          <w:sz w:val="24"/>
          <w:szCs w:val="24"/>
          <w:lang w:val="en-US"/>
        </w:rPr>
        <w:t xml:space="preserve">A further </w:t>
      </w:r>
      <w:r>
        <w:rPr>
          <w:b/>
          <w:bCs/>
          <w:sz w:val="24"/>
          <w:szCs w:val="24"/>
          <w:lang w:val="en-US"/>
        </w:rPr>
        <w:t xml:space="preserve">estimated </w:t>
      </w:r>
      <w:r w:rsidRPr="008B5F4F">
        <w:rPr>
          <w:b/>
          <w:bCs/>
          <w:sz w:val="24"/>
          <w:szCs w:val="24"/>
          <w:lang w:val="en-US"/>
        </w:rPr>
        <w:t xml:space="preserve">70,000 children </w:t>
      </w:r>
      <w:r w:rsidRPr="00E7262B">
        <w:rPr>
          <w:sz w:val="24"/>
          <w:szCs w:val="24"/>
          <w:lang w:val="en-US"/>
        </w:rPr>
        <w:t>are</w:t>
      </w:r>
      <w:r w:rsidRPr="008B5F4F">
        <w:rPr>
          <w:b/>
          <w:bCs/>
          <w:sz w:val="24"/>
          <w:szCs w:val="24"/>
          <w:lang w:val="en-US"/>
        </w:rPr>
        <w:t xml:space="preserve"> </w:t>
      </w:r>
      <w:r w:rsidRPr="00E7262B">
        <w:rPr>
          <w:sz w:val="24"/>
          <w:szCs w:val="24"/>
          <w:lang w:val="en-US"/>
        </w:rPr>
        <w:t xml:space="preserve">likely to be </w:t>
      </w:r>
      <w:r>
        <w:rPr>
          <w:sz w:val="24"/>
          <w:szCs w:val="24"/>
          <w:lang w:val="en-US"/>
        </w:rPr>
        <w:t xml:space="preserve">living in income </w:t>
      </w:r>
      <w:r w:rsidRPr="00E7262B">
        <w:rPr>
          <w:sz w:val="24"/>
          <w:szCs w:val="24"/>
          <w:lang w:val="en-US"/>
        </w:rPr>
        <w:t>poverty</w:t>
      </w:r>
      <w:r>
        <w:rPr>
          <w:b/>
          <w:bCs/>
          <w:sz w:val="24"/>
          <w:szCs w:val="24"/>
          <w:lang w:val="en-US"/>
        </w:rPr>
        <w:t xml:space="preserve"> </w:t>
      </w:r>
      <w:r w:rsidRPr="00E7262B">
        <w:rPr>
          <w:sz w:val="24"/>
          <w:szCs w:val="24"/>
          <w:lang w:val="en-US"/>
        </w:rPr>
        <w:t>by June 2021</w:t>
      </w:r>
      <w:r>
        <w:rPr>
          <w:sz w:val="24"/>
          <w:szCs w:val="24"/>
          <w:lang w:val="en-US"/>
        </w:rPr>
        <w:t xml:space="preserve"> due to inadequate policy responses to the economic fallout of COVID-19 (AHC, 50%, fixed line measure; CPAG, 2020)</w:t>
      </w:r>
      <w:r w:rsidRPr="00E7262B">
        <w:rPr>
          <w:sz w:val="24"/>
          <w:szCs w:val="24"/>
          <w:lang w:val="en-US"/>
        </w:rPr>
        <w:t>.</w:t>
      </w:r>
      <w:r>
        <w:rPr>
          <w:b/>
          <w:bCs/>
          <w:sz w:val="24"/>
          <w:szCs w:val="24"/>
          <w:lang w:val="en-US"/>
        </w:rPr>
        <w:t xml:space="preserve"> </w:t>
      </w:r>
      <w:r>
        <w:rPr>
          <w:sz w:val="24"/>
          <w:szCs w:val="24"/>
          <w:lang w:val="en-US"/>
        </w:rPr>
        <w:t xml:space="preserve">That 70,000 figure is equivalent to </w:t>
      </w:r>
      <w:r w:rsidRPr="00E7262B">
        <w:rPr>
          <w:sz w:val="24"/>
          <w:szCs w:val="24"/>
          <w:lang w:val="en-US"/>
        </w:rPr>
        <w:t xml:space="preserve">~30% of </w:t>
      </w:r>
      <w:r>
        <w:rPr>
          <w:sz w:val="24"/>
          <w:szCs w:val="24"/>
          <w:lang w:val="en-US"/>
        </w:rPr>
        <w:t>the children who were found to be living in poverty on the same measure in the 2018/</w:t>
      </w:r>
      <w:r w:rsidRPr="00E7262B">
        <w:rPr>
          <w:sz w:val="24"/>
          <w:szCs w:val="24"/>
          <w:lang w:val="en-US"/>
        </w:rPr>
        <w:t xml:space="preserve">19 </w:t>
      </w:r>
      <w:r>
        <w:rPr>
          <w:sz w:val="24"/>
          <w:szCs w:val="24"/>
          <w:lang w:val="en-US"/>
        </w:rPr>
        <w:t>HES survey (</w:t>
      </w:r>
      <w:proofErr w:type="spellStart"/>
      <w:r>
        <w:rPr>
          <w:sz w:val="24"/>
          <w:szCs w:val="24"/>
          <w:lang w:val="en-US"/>
        </w:rPr>
        <w:t>StatsNZ</w:t>
      </w:r>
      <w:proofErr w:type="spellEnd"/>
      <w:r>
        <w:rPr>
          <w:sz w:val="24"/>
          <w:szCs w:val="24"/>
          <w:lang w:val="en-US"/>
        </w:rPr>
        <w:t>, 2020). As Fig 1 shows, our 70,000 estimate may need to be revised upwards if demand for income support</w:t>
      </w:r>
      <w:r w:rsidR="00EF692C">
        <w:rPr>
          <w:sz w:val="24"/>
          <w:szCs w:val="24"/>
          <w:lang w:val="en-US"/>
        </w:rPr>
        <w:t xml:space="preserve"> (red line)</w:t>
      </w:r>
      <w:r>
        <w:rPr>
          <w:sz w:val="24"/>
          <w:szCs w:val="24"/>
          <w:lang w:val="en-US"/>
        </w:rPr>
        <w:t xml:space="preserve"> continues to flatline (or increases) rather than decrease as our scenario expected.</w:t>
      </w:r>
    </w:p>
    <w:p w14:paraId="263F5634" w14:textId="6C6D5447" w:rsidR="00EF30D2" w:rsidRDefault="00EF30D2" w:rsidP="00EF30D2">
      <w:pPr>
        <w:pStyle w:val="ListParagraph"/>
        <w:rPr>
          <w:b/>
          <w:bCs/>
          <w:sz w:val="20"/>
          <w:szCs w:val="20"/>
          <w:lang w:val="en-US"/>
        </w:rPr>
      </w:pPr>
      <w:r w:rsidRPr="008F729D">
        <w:rPr>
          <w:b/>
          <w:bCs/>
          <w:sz w:val="20"/>
          <w:szCs w:val="20"/>
          <w:lang w:val="en-US"/>
        </w:rPr>
        <w:t xml:space="preserve">Fig </w:t>
      </w:r>
      <w:r>
        <w:rPr>
          <w:b/>
          <w:bCs/>
          <w:sz w:val="20"/>
          <w:szCs w:val="20"/>
          <w:lang w:val="en-US"/>
        </w:rPr>
        <w:t xml:space="preserve">1: CPAG scenario for demand for benefits and children living in benefit dependent households vs actual demand for benefits and the </w:t>
      </w:r>
      <w:proofErr w:type="spellStart"/>
      <w:r>
        <w:rPr>
          <w:b/>
          <w:bCs/>
          <w:sz w:val="20"/>
          <w:szCs w:val="20"/>
          <w:lang w:val="en-US"/>
        </w:rPr>
        <w:t>Covid</w:t>
      </w:r>
      <w:proofErr w:type="spellEnd"/>
      <w:r>
        <w:rPr>
          <w:b/>
          <w:bCs/>
          <w:sz w:val="20"/>
          <w:szCs w:val="20"/>
          <w:lang w:val="en-US"/>
        </w:rPr>
        <w:t xml:space="preserve"> Income Relief Payment </w:t>
      </w:r>
      <w:r w:rsidRPr="0038672A">
        <w:rPr>
          <w:i/>
          <w:iCs/>
          <w:sz w:val="20"/>
          <w:szCs w:val="20"/>
          <w:lang w:val="en-US"/>
        </w:rPr>
        <w:t>(CPAG, 2020</w:t>
      </w:r>
      <w:r w:rsidR="00787C5C">
        <w:rPr>
          <w:i/>
          <w:iCs/>
          <w:sz w:val="20"/>
          <w:szCs w:val="20"/>
          <w:lang w:val="en-US"/>
        </w:rPr>
        <w:t>c</w:t>
      </w:r>
      <w:r w:rsidRPr="0038672A">
        <w:rPr>
          <w:i/>
          <w:iCs/>
          <w:sz w:val="20"/>
          <w:szCs w:val="20"/>
          <w:lang w:val="en-US"/>
        </w:rPr>
        <w:t>; MSD, 2020)</w:t>
      </w:r>
    </w:p>
    <w:p w14:paraId="66DAC009" w14:textId="77777777" w:rsidR="00EF30D2" w:rsidRDefault="00EF30D2" w:rsidP="00EF30D2">
      <w:pPr>
        <w:pStyle w:val="ListParagraph"/>
        <w:rPr>
          <w:b/>
          <w:bCs/>
          <w:sz w:val="20"/>
          <w:szCs w:val="20"/>
          <w:lang w:val="en-US"/>
        </w:rPr>
      </w:pPr>
      <w:r>
        <w:rPr>
          <w:noProof/>
        </w:rPr>
        <w:drawing>
          <wp:inline distT="0" distB="0" distL="0" distR="0" wp14:anchorId="734DCFF6" wp14:editId="0B3007A8">
            <wp:extent cx="4794250" cy="2314575"/>
            <wp:effectExtent l="0" t="0" r="635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94250" cy="2314575"/>
                    </a:xfrm>
                    <a:prstGeom prst="rect">
                      <a:avLst/>
                    </a:prstGeom>
                  </pic:spPr>
                </pic:pic>
              </a:graphicData>
            </a:graphic>
          </wp:inline>
        </w:drawing>
      </w:r>
    </w:p>
    <w:p w14:paraId="71060D7B" w14:textId="37F3482C" w:rsidR="00EF30D2" w:rsidRPr="00A90ADA" w:rsidRDefault="00EF30D2" w:rsidP="00EF30D2">
      <w:pPr>
        <w:pStyle w:val="ListParagraph"/>
        <w:numPr>
          <w:ilvl w:val="0"/>
          <w:numId w:val="12"/>
        </w:numPr>
        <w:ind w:left="714" w:hanging="357"/>
        <w:contextualSpacing w:val="0"/>
        <w:rPr>
          <w:b/>
          <w:bCs/>
          <w:sz w:val="24"/>
          <w:szCs w:val="24"/>
          <w:lang w:val="en-US"/>
        </w:rPr>
      </w:pPr>
      <w:r w:rsidRPr="00A90ADA">
        <w:rPr>
          <w:b/>
          <w:bCs/>
          <w:sz w:val="24"/>
          <w:szCs w:val="24"/>
          <w:lang w:val="en-US"/>
        </w:rPr>
        <w:t xml:space="preserve">Youth homelessness </w:t>
      </w:r>
      <w:r w:rsidRPr="00A90ADA">
        <w:rPr>
          <w:sz w:val="24"/>
          <w:szCs w:val="24"/>
          <w:lang w:val="en-US"/>
        </w:rPr>
        <w:t>appears to have increased dramatically</w:t>
      </w:r>
      <w:r>
        <w:rPr>
          <w:sz w:val="24"/>
          <w:szCs w:val="24"/>
          <w:lang w:val="en-US"/>
        </w:rPr>
        <w:t>; services are not currently designed to address this problem. F</w:t>
      </w:r>
      <w:r w:rsidRPr="00A90ADA">
        <w:rPr>
          <w:sz w:val="24"/>
          <w:szCs w:val="24"/>
          <w:lang w:val="en-US"/>
        </w:rPr>
        <w:t xml:space="preserve">or example, </w:t>
      </w:r>
      <w:proofErr w:type="spellStart"/>
      <w:r w:rsidRPr="00A90ADA">
        <w:rPr>
          <w:sz w:val="24"/>
          <w:szCs w:val="24"/>
          <w:lang w:val="en-US"/>
        </w:rPr>
        <w:t>Lifewise</w:t>
      </w:r>
      <w:proofErr w:type="spellEnd"/>
      <w:r w:rsidRPr="00A90ADA">
        <w:rPr>
          <w:sz w:val="24"/>
          <w:szCs w:val="24"/>
          <w:lang w:val="en-US"/>
        </w:rPr>
        <w:t xml:space="preserve"> youth housing </w:t>
      </w:r>
      <w:r>
        <w:rPr>
          <w:sz w:val="24"/>
          <w:szCs w:val="24"/>
          <w:lang w:val="en-US"/>
        </w:rPr>
        <w:t xml:space="preserve">reports </w:t>
      </w:r>
      <w:r w:rsidRPr="00A90ADA">
        <w:rPr>
          <w:sz w:val="24"/>
          <w:szCs w:val="24"/>
          <w:lang w:val="en-US"/>
        </w:rPr>
        <w:t xml:space="preserve">nearly 120 </w:t>
      </w:r>
      <w:r>
        <w:rPr>
          <w:sz w:val="24"/>
          <w:szCs w:val="24"/>
          <w:lang w:val="en-US"/>
        </w:rPr>
        <w:t xml:space="preserve">people requesting support over recent months, of which they could only house four, having to turn 89 away due to lack of resourcing, and monitor the rest. </w:t>
      </w:r>
      <w:proofErr w:type="spellStart"/>
      <w:r>
        <w:rPr>
          <w:sz w:val="24"/>
          <w:szCs w:val="24"/>
          <w:lang w:val="en-US"/>
        </w:rPr>
        <w:t>Lifewise</w:t>
      </w:r>
      <w:proofErr w:type="spellEnd"/>
      <w:r>
        <w:rPr>
          <w:sz w:val="24"/>
          <w:szCs w:val="24"/>
          <w:lang w:val="en-US"/>
        </w:rPr>
        <w:t xml:space="preserve"> also reports 16 and 17 year </w:t>
      </w:r>
      <w:proofErr w:type="spellStart"/>
      <w:r>
        <w:rPr>
          <w:sz w:val="24"/>
          <w:szCs w:val="24"/>
          <w:lang w:val="en-US"/>
        </w:rPr>
        <w:t>olds</w:t>
      </w:r>
      <w:proofErr w:type="spellEnd"/>
      <w:r>
        <w:rPr>
          <w:sz w:val="24"/>
          <w:szCs w:val="24"/>
          <w:lang w:val="en-US"/>
        </w:rPr>
        <w:t xml:space="preserve"> living on the streets after being turned away from Work and Income (</w:t>
      </w:r>
      <w:hyperlink r:id="rId22" w:history="1">
        <w:r w:rsidR="001A2EA4">
          <w:rPr>
            <w:rStyle w:val="Hyperlink"/>
            <w:sz w:val="24"/>
            <w:szCs w:val="24"/>
            <w:lang w:val="en-US"/>
          </w:rPr>
          <w:t>Corlett</w:t>
        </w:r>
        <w:r w:rsidRPr="00A90ADA">
          <w:rPr>
            <w:rStyle w:val="Hyperlink"/>
            <w:sz w:val="24"/>
            <w:szCs w:val="24"/>
            <w:lang w:val="en-US"/>
          </w:rPr>
          <w:t>, 2020</w:t>
        </w:r>
      </w:hyperlink>
      <w:r>
        <w:rPr>
          <w:sz w:val="24"/>
          <w:szCs w:val="24"/>
          <w:lang w:val="en-US"/>
        </w:rPr>
        <w:t xml:space="preserve">; see also </w:t>
      </w:r>
      <w:hyperlink r:id="rId23" w:history="1">
        <w:r w:rsidRPr="00546F32">
          <w:rPr>
            <w:rStyle w:val="Hyperlink"/>
            <w:rFonts w:cstheme="minorHAnsi"/>
            <w:sz w:val="24"/>
            <w:szCs w:val="24"/>
          </w:rPr>
          <w:t xml:space="preserve">Manaaki </w:t>
        </w:r>
        <w:proofErr w:type="spellStart"/>
        <w:r w:rsidRPr="00546F32">
          <w:rPr>
            <w:rStyle w:val="Hyperlink"/>
            <w:rFonts w:cstheme="minorHAnsi"/>
            <w:sz w:val="24"/>
            <w:szCs w:val="24"/>
          </w:rPr>
          <w:t>Rangatahi</w:t>
        </w:r>
        <w:proofErr w:type="spellEnd"/>
        <w:r w:rsidRPr="00546F32">
          <w:rPr>
            <w:rStyle w:val="Hyperlink"/>
            <w:rFonts w:cstheme="minorHAnsi"/>
            <w:sz w:val="24"/>
            <w:szCs w:val="24"/>
          </w:rPr>
          <w:t>, 2020</w:t>
        </w:r>
      </w:hyperlink>
      <w:r>
        <w:rPr>
          <w:sz w:val="24"/>
          <w:szCs w:val="24"/>
          <w:lang w:val="en-US"/>
        </w:rPr>
        <w:t>).</w:t>
      </w:r>
    </w:p>
    <w:p w14:paraId="10401D53" w14:textId="77777777" w:rsidR="00EF30D2" w:rsidRDefault="00EF30D2" w:rsidP="00EF30D2">
      <w:pPr>
        <w:pStyle w:val="ListParagraph"/>
        <w:numPr>
          <w:ilvl w:val="0"/>
          <w:numId w:val="12"/>
        </w:numPr>
        <w:ind w:left="714" w:hanging="357"/>
        <w:contextualSpacing w:val="0"/>
        <w:rPr>
          <w:rFonts w:cstheme="minorHAnsi"/>
          <w:sz w:val="24"/>
          <w:szCs w:val="24"/>
        </w:rPr>
      </w:pPr>
      <w:r>
        <w:rPr>
          <w:b/>
          <w:bCs/>
          <w:sz w:val="24"/>
          <w:szCs w:val="24"/>
          <w:lang w:val="en-US"/>
        </w:rPr>
        <w:t xml:space="preserve">Educational inequity </w:t>
      </w:r>
      <w:r w:rsidRPr="00546F32">
        <w:rPr>
          <w:sz w:val="24"/>
          <w:szCs w:val="24"/>
          <w:lang w:val="en-US"/>
        </w:rPr>
        <w:t>– already high –</w:t>
      </w:r>
      <w:r>
        <w:rPr>
          <w:b/>
          <w:bCs/>
          <w:sz w:val="24"/>
          <w:szCs w:val="24"/>
          <w:lang w:val="en-US"/>
        </w:rPr>
        <w:t xml:space="preserve"> </w:t>
      </w:r>
      <w:r w:rsidRPr="00546F32">
        <w:rPr>
          <w:sz w:val="24"/>
          <w:szCs w:val="24"/>
          <w:lang w:val="en-US"/>
        </w:rPr>
        <w:t>is likely to have been increased</w:t>
      </w:r>
      <w:r>
        <w:rPr>
          <w:b/>
          <w:bCs/>
          <w:sz w:val="24"/>
          <w:szCs w:val="24"/>
          <w:lang w:val="en-US"/>
        </w:rPr>
        <w:t xml:space="preserve"> </w:t>
      </w:r>
      <w:r>
        <w:rPr>
          <w:sz w:val="24"/>
          <w:szCs w:val="24"/>
          <w:lang w:val="en-US"/>
        </w:rPr>
        <w:t xml:space="preserve">by COVID-related poverty, according to anecdotal reports: more </w:t>
      </w:r>
      <w:r w:rsidRPr="00546F32">
        <w:rPr>
          <w:rFonts w:cstheme="minorHAnsi"/>
          <w:sz w:val="24"/>
          <w:szCs w:val="24"/>
        </w:rPr>
        <w:t xml:space="preserve">young people </w:t>
      </w:r>
      <w:r>
        <w:rPr>
          <w:rFonts w:cstheme="minorHAnsi"/>
          <w:sz w:val="24"/>
          <w:szCs w:val="24"/>
        </w:rPr>
        <w:t xml:space="preserve">may be </w:t>
      </w:r>
      <w:r w:rsidRPr="00546F32">
        <w:rPr>
          <w:rFonts w:cstheme="minorHAnsi"/>
          <w:sz w:val="24"/>
          <w:szCs w:val="24"/>
        </w:rPr>
        <w:t>having to leave school to work (</w:t>
      </w:r>
      <w:hyperlink r:id="rId24" w:history="1">
        <w:r w:rsidRPr="00546F32">
          <w:rPr>
            <w:rStyle w:val="Hyperlink"/>
            <w:rFonts w:cstheme="minorHAnsi"/>
            <w:sz w:val="24"/>
            <w:szCs w:val="24"/>
          </w:rPr>
          <w:t>1news, 2020</w:t>
        </w:r>
      </w:hyperlink>
      <w:r w:rsidRPr="00546F32">
        <w:rPr>
          <w:rFonts w:cstheme="minorHAnsi"/>
          <w:sz w:val="24"/>
          <w:szCs w:val="24"/>
        </w:rPr>
        <w:t>)  – a pathway that can lead to lifelong precarious work and further intergenerational poverty (</w:t>
      </w:r>
      <w:proofErr w:type="spellStart"/>
      <w:r w:rsidR="001A2EA4">
        <w:fldChar w:fldCharType="begin"/>
      </w:r>
      <w:r w:rsidR="001A2EA4">
        <w:instrText xml:space="preserve"> HYPERLINK "http://www.maramatanga.ac.nz/sites/default/files/teArotahi_19-0502%20Rua.pdf" </w:instrText>
      </w:r>
      <w:r w:rsidR="001A2EA4">
        <w:fldChar w:fldCharType="separate"/>
      </w:r>
      <w:r w:rsidRPr="00546F32">
        <w:rPr>
          <w:rStyle w:val="Hyperlink"/>
          <w:rFonts w:cstheme="minorHAnsi"/>
          <w:sz w:val="24"/>
          <w:szCs w:val="24"/>
        </w:rPr>
        <w:t>Rua</w:t>
      </w:r>
      <w:proofErr w:type="spellEnd"/>
      <w:r>
        <w:rPr>
          <w:rStyle w:val="Hyperlink"/>
          <w:rFonts w:cstheme="minorHAnsi"/>
          <w:sz w:val="24"/>
          <w:szCs w:val="24"/>
        </w:rPr>
        <w:t xml:space="preserve"> et al</w:t>
      </w:r>
      <w:r w:rsidRPr="00546F32">
        <w:rPr>
          <w:rStyle w:val="Hyperlink"/>
          <w:rFonts w:cstheme="minorHAnsi"/>
          <w:sz w:val="24"/>
          <w:szCs w:val="24"/>
        </w:rPr>
        <w:t>, 2019</w:t>
      </w:r>
      <w:r w:rsidR="001A2EA4">
        <w:rPr>
          <w:rStyle w:val="Hyperlink"/>
          <w:rFonts w:cstheme="minorHAnsi"/>
          <w:sz w:val="24"/>
          <w:szCs w:val="24"/>
        </w:rPr>
        <w:fldChar w:fldCharType="end"/>
      </w:r>
      <w:r w:rsidRPr="00546F32">
        <w:rPr>
          <w:rFonts w:cstheme="minorHAnsi"/>
          <w:sz w:val="24"/>
          <w:szCs w:val="24"/>
        </w:rPr>
        <w:t>)</w:t>
      </w:r>
      <w:r>
        <w:rPr>
          <w:rFonts w:cstheme="minorHAnsi"/>
          <w:sz w:val="24"/>
          <w:szCs w:val="24"/>
        </w:rPr>
        <w:t xml:space="preserve"> – and others may be working longer hours while struggling to keep up at school, including during lockdowns (supermarket workers are ‘essential’ workers for example). Digital </w:t>
      </w:r>
      <w:r w:rsidRPr="00546F32">
        <w:rPr>
          <w:rFonts w:cstheme="minorHAnsi"/>
          <w:sz w:val="24"/>
          <w:szCs w:val="24"/>
        </w:rPr>
        <w:t xml:space="preserve">exclusion </w:t>
      </w:r>
      <w:r>
        <w:rPr>
          <w:rFonts w:cstheme="minorHAnsi"/>
          <w:sz w:val="24"/>
          <w:szCs w:val="24"/>
        </w:rPr>
        <w:t xml:space="preserve">remains a deep and ongoing concern </w:t>
      </w:r>
      <w:r w:rsidRPr="00546F32">
        <w:rPr>
          <w:rFonts w:cstheme="minorHAnsi"/>
          <w:sz w:val="24"/>
          <w:szCs w:val="24"/>
        </w:rPr>
        <w:t>(</w:t>
      </w:r>
      <w:hyperlink r:id="rId25" w:history="1">
        <w:r w:rsidRPr="00546F32">
          <w:rPr>
            <w:rStyle w:val="Hyperlink"/>
            <w:rFonts w:cstheme="minorHAnsi"/>
            <w:sz w:val="24"/>
            <w:szCs w:val="24"/>
          </w:rPr>
          <w:t>Biddle, 2020</w:t>
        </w:r>
      </w:hyperlink>
      <w:r w:rsidRPr="00546F32">
        <w:rPr>
          <w:rFonts w:cstheme="minorHAnsi"/>
          <w:sz w:val="24"/>
          <w:szCs w:val="24"/>
        </w:rPr>
        <w:t>)</w:t>
      </w:r>
      <w:r>
        <w:rPr>
          <w:rFonts w:cstheme="minorHAnsi"/>
          <w:sz w:val="24"/>
          <w:szCs w:val="24"/>
        </w:rPr>
        <w:t>.</w:t>
      </w:r>
      <w:r w:rsidRPr="00546F32">
        <w:rPr>
          <w:rFonts w:cstheme="minorHAnsi"/>
          <w:sz w:val="24"/>
          <w:szCs w:val="24"/>
        </w:rPr>
        <w:t xml:space="preserve"> </w:t>
      </w:r>
    </w:p>
    <w:p w14:paraId="06B1B386" w14:textId="77777777" w:rsidR="00EF30D2" w:rsidRDefault="00EF30D2" w:rsidP="00EF30D2">
      <w:pPr>
        <w:pStyle w:val="ListParagraph"/>
        <w:numPr>
          <w:ilvl w:val="0"/>
          <w:numId w:val="12"/>
        </w:numPr>
        <w:rPr>
          <w:rFonts w:cstheme="minorHAnsi"/>
          <w:sz w:val="24"/>
          <w:szCs w:val="24"/>
        </w:rPr>
      </w:pPr>
      <w:r w:rsidRPr="00031634">
        <w:rPr>
          <w:rFonts w:cstheme="minorHAnsi"/>
          <w:b/>
          <w:bCs/>
          <w:sz w:val="24"/>
          <w:szCs w:val="24"/>
        </w:rPr>
        <w:t xml:space="preserve">Food insecurity </w:t>
      </w:r>
      <w:r w:rsidRPr="00031634">
        <w:rPr>
          <w:rFonts w:cstheme="minorHAnsi"/>
          <w:sz w:val="24"/>
          <w:szCs w:val="24"/>
        </w:rPr>
        <w:t>and</w:t>
      </w:r>
      <w:r w:rsidRPr="00031634">
        <w:rPr>
          <w:rFonts w:cstheme="minorHAnsi"/>
          <w:b/>
          <w:bCs/>
          <w:sz w:val="24"/>
          <w:szCs w:val="24"/>
        </w:rPr>
        <w:t xml:space="preserve"> rheumatic fever</w:t>
      </w:r>
      <w:r w:rsidRPr="00546F32">
        <w:rPr>
          <w:rFonts w:cstheme="minorHAnsi"/>
          <w:sz w:val="24"/>
          <w:szCs w:val="24"/>
        </w:rPr>
        <w:t xml:space="preserve"> – a </w:t>
      </w:r>
      <w:r>
        <w:rPr>
          <w:rFonts w:cstheme="minorHAnsi"/>
          <w:sz w:val="24"/>
          <w:szCs w:val="24"/>
        </w:rPr>
        <w:t xml:space="preserve">childhood </w:t>
      </w:r>
      <w:r w:rsidRPr="00546F32">
        <w:rPr>
          <w:rFonts w:cstheme="minorHAnsi"/>
          <w:sz w:val="24"/>
          <w:szCs w:val="24"/>
        </w:rPr>
        <w:t xml:space="preserve">disease of deprivation </w:t>
      </w:r>
      <w:r>
        <w:rPr>
          <w:rFonts w:cstheme="minorHAnsi"/>
          <w:sz w:val="24"/>
          <w:szCs w:val="24"/>
        </w:rPr>
        <w:t xml:space="preserve">– have also increased dramatically in 2020 </w:t>
      </w:r>
      <w:r w:rsidRPr="00546F32">
        <w:rPr>
          <w:rFonts w:cstheme="minorHAnsi"/>
          <w:sz w:val="24"/>
          <w:szCs w:val="24"/>
        </w:rPr>
        <w:t>(</w:t>
      </w:r>
      <w:hyperlink r:id="rId26" w:history="1">
        <w:r w:rsidRPr="00546F32">
          <w:rPr>
            <w:rStyle w:val="Hyperlink"/>
            <w:rFonts w:cstheme="minorHAnsi"/>
            <w:sz w:val="24"/>
            <w:szCs w:val="24"/>
          </w:rPr>
          <w:t>Martin, 2020</w:t>
        </w:r>
      </w:hyperlink>
      <w:r>
        <w:rPr>
          <w:rStyle w:val="Hyperlink"/>
          <w:rFonts w:cstheme="minorHAnsi"/>
          <w:sz w:val="24"/>
          <w:szCs w:val="24"/>
        </w:rPr>
        <w:t xml:space="preserve">; </w:t>
      </w:r>
      <w:hyperlink r:id="rId27" w:history="1">
        <w:r w:rsidRPr="00CF6CC5">
          <w:rPr>
            <w:rStyle w:val="Hyperlink"/>
            <w:rFonts w:cstheme="minorHAnsi"/>
            <w:sz w:val="24"/>
            <w:szCs w:val="24"/>
          </w:rPr>
          <w:t>TVNZ, 2020</w:t>
        </w:r>
      </w:hyperlink>
      <w:r>
        <w:rPr>
          <w:rStyle w:val="Hyperlink"/>
          <w:rFonts w:cstheme="minorHAnsi"/>
          <w:sz w:val="24"/>
          <w:szCs w:val="24"/>
        </w:rPr>
        <w:t xml:space="preserve">; </w:t>
      </w:r>
      <w:hyperlink r:id="rId28" w:history="1">
        <w:r w:rsidRPr="00546F32">
          <w:rPr>
            <w:rStyle w:val="Hyperlink"/>
            <w:rFonts w:cstheme="minorHAnsi"/>
            <w:sz w:val="24"/>
            <w:szCs w:val="24"/>
          </w:rPr>
          <w:t>Quinn, 2020</w:t>
        </w:r>
      </w:hyperlink>
      <w:r w:rsidRPr="00546F32">
        <w:rPr>
          <w:rFonts w:cstheme="minorHAnsi"/>
          <w:sz w:val="24"/>
          <w:szCs w:val="24"/>
        </w:rPr>
        <w:t xml:space="preserve">). </w:t>
      </w:r>
    </w:p>
    <w:p w14:paraId="6A40E243" w14:textId="77777777" w:rsidR="00EF30D2" w:rsidRPr="0038672A" w:rsidRDefault="00EF30D2" w:rsidP="00EF30D2">
      <w:pPr>
        <w:rPr>
          <w:rFonts w:cstheme="minorHAnsi"/>
          <w:sz w:val="24"/>
          <w:szCs w:val="24"/>
        </w:rPr>
      </w:pPr>
      <w:r>
        <w:rPr>
          <w:rFonts w:cstheme="minorHAnsi"/>
          <w:sz w:val="24"/>
          <w:szCs w:val="24"/>
        </w:rPr>
        <w:br w:type="page"/>
      </w:r>
    </w:p>
    <w:p w14:paraId="56350239" w14:textId="77777777" w:rsidR="00EF30D2" w:rsidRPr="00616390" w:rsidRDefault="00EF30D2" w:rsidP="00EF30D2">
      <w:pPr>
        <w:pStyle w:val="Heading1"/>
        <w:rPr>
          <w:color w:val="538135" w:themeColor="accent6" w:themeShade="BF"/>
          <w:sz w:val="30"/>
          <w:szCs w:val="30"/>
          <w:lang w:val="en-US"/>
        </w:rPr>
      </w:pPr>
      <w:r w:rsidRPr="00616390">
        <w:rPr>
          <w:color w:val="538135" w:themeColor="accent6" w:themeShade="BF"/>
          <w:sz w:val="30"/>
          <w:szCs w:val="30"/>
          <w:lang w:val="en-US"/>
        </w:rPr>
        <w:lastRenderedPageBreak/>
        <w:t xml:space="preserve">Income support is still </w:t>
      </w:r>
      <w:r w:rsidRPr="00616390">
        <w:rPr>
          <w:b/>
          <w:bCs/>
          <w:color w:val="538135" w:themeColor="accent6" w:themeShade="BF"/>
          <w:sz w:val="30"/>
          <w:szCs w:val="30"/>
          <w:lang w:val="en-US"/>
        </w:rPr>
        <w:t>woefully inadequate,</w:t>
      </w:r>
      <w:r w:rsidRPr="00616390">
        <w:rPr>
          <w:color w:val="538135" w:themeColor="accent6" w:themeShade="BF"/>
          <w:sz w:val="30"/>
          <w:szCs w:val="30"/>
          <w:lang w:val="en-US"/>
        </w:rPr>
        <w:t xml:space="preserve"> despite 2018-2020 increases </w:t>
      </w:r>
    </w:p>
    <w:p w14:paraId="4AA33566" w14:textId="77777777" w:rsidR="00EF30D2" w:rsidRDefault="00EF30D2" w:rsidP="00EF30D2">
      <w:pPr>
        <w:spacing w:after="0"/>
        <w:rPr>
          <w:lang w:val="en-US"/>
        </w:rPr>
      </w:pPr>
    </w:p>
    <w:p w14:paraId="72446B16" w14:textId="77777777" w:rsidR="00EF30D2" w:rsidRPr="00616390" w:rsidRDefault="00EF30D2" w:rsidP="00EF30D2">
      <w:pPr>
        <w:spacing w:after="0"/>
        <w:ind w:left="709" w:firstLine="283"/>
        <w:jc w:val="right"/>
        <w:rPr>
          <w:color w:val="000000" w:themeColor="text1"/>
        </w:rPr>
      </w:pPr>
      <w:r w:rsidRPr="00616390">
        <w:rPr>
          <w:i/>
          <w:iCs/>
          <w:color w:val="000000" w:themeColor="text1"/>
        </w:rPr>
        <w:t>Families are just on their bones. Just surviving. So, the system, it’s just getting harder and harder for them. It can get really deflating when you’ve been declined or rejected or judged or looked at a certain way when you’ve walked in there [Work and Income offices].</w:t>
      </w:r>
      <w:r w:rsidRPr="00616390">
        <w:rPr>
          <w:color w:val="000000" w:themeColor="text1"/>
        </w:rPr>
        <w:t xml:space="preserve"> </w:t>
      </w:r>
      <w:r w:rsidRPr="00616390">
        <w:rPr>
          <w:color w:val="000000" w:themeColor="text1"/>
        </w:rPr>
        <w:br/>
        <w:t xml:space="preserve">- </w:t>
      </w:r>
      <w:proofErr w:type="spellStart"/>
      <w:r w:rsidRPr="00616390">
        <w:rPr>
          <w:color w:val="000000" w:themeColor="text1"/>
        </w:rPr>
        <w:t>Tahu</w:t>
      </w:r>
      <w:proofErr w:type="spellEnd"/>
      <w:r w:rsidRPr="00616390">
        <w:rPr>
          <w:color w:val="000000" w:themeColor="text1"/>
        </w:rPr>
        <w:t xml:space="preserve">, </w:t>
      </w:r>
      <w:proofErr w:type="spellStart"/>
      <w:r w:rsidRPr="00616390">
        <w:rPr>
          <w:color w:val="000000" w:themeColor="text1"/>
        </w:rPr>
        <w:t>Te</w:t>
      </w:r>
      <w:proofErr w:type="spellEnd"/>
      <w:r w:rsidRPr="00616390">
        <w:rPr>
          <w:color w:val="000000" w:themeColor="text1"/>
        </w:rPr>
        <w:t xml:space="preserve"> </w:t>
      </w:r>
      <w:proofErr w:type="spellStart"/>
      <w:r w:rsidRPr="00616390">
        <w:rPr>
          <w:color w:val="000000" w:themeColor="text1"/>
        </w:rPr>
        <w:t>Whakaruruhau</w:t>
      </w:r>
      <w:proofErr w:type="spellEnd"/>
      <w:r w:rsidRPr="00616390">
        <w:rPr>
          <w:color w:val="000000" w:themeColor="text1"/>
        </w:rPr>
        <w:t xml:space="preserve"> Service Worker and </w:t>
      </w:r>
      <w:proofErr w:type="spellStart"/>
      <w:r w:rsidRPr="00616390">
        <w:rPr>
          <w:color w:val="000000" w:themeColor="text1"/>
        </w:rPr>
        <w:t>whānau</w:t>
      </w:r>
      <w:proofErr w:type="spellEnd"/>
      <w:r w:rsidRPr="00616390">
        <w:rPr>
          <w:color w:val="000000" w:themeColor="text1"/>
        </w:rPr>
        <w:t xml:space="preserve"> advocate, quoted in </w:t>
      </w:r>
      <w:proofErr w:type="spellStart"/>
      <w:r w:rsidRPr="00616390">
        <w:rPr>
          <w:color w:val="000000" w:themeColor="text1"/>
        </w:rPr>
        <w:t>Rua</w:t>
      </w:r>
      <w:proofErr w:type="spellEnd"/>
      <w:r w:rsidRPr="00616390">
        <w:rPr>
          <w:color w:val="000000" w:themeColor="text1"/>
        </w:rPr>
        <w:t xml:space="preserve"> et al (2019)</w:t>
      </w:r>
    </w:p>
    <w:p w14:paraId="45CD0D73" w14:textId="77777777" w:rsidR="00EF30D2" w:rsidRPr="00616390" w:rsidRDefault="00EF30D2" w:rsidP="00EF30D2">
      <w:pPr>
        <w:spacing w:after="0"/>
        <w:rPr>
          <w:color w:val="000000" w:themeColor="text1"/>
          <w:lang w:val="en-US"/>
        </w:rPr>
      </w:pPr>
    </w:p>
    <w:p w14:paraId="6689C253" w14:textId="70FBD0AD" w:rsidR="00EF30D2" w:rsidRPr="00AF5798" w:rsidRDefault="00EF30D2" w:rsidP="00EF30D2">
      <w:pPr>
        <w:pStyle w:val="ListParagraph"/>
        <w:numPr>
          <w:ilvl w:val="0"/>
          <w:numId w:val="19"/>
        </w:numPr>
        <w:rPr>
          <w:sz w:val="24"/>
          <w:szCs w:val="24"/>
          <w:lang w:val="en-US"/>
        </w:rPr>
      </w:pPr>
      <w:r w:rsidRPr="00AF5798">
        <w:rPr>
          <w:b/>
          <w:bCs/>
          <w:sz w:val="24"/>
          <w:szCs w:val="24"/>
          <w:lang w:val="en-US"/>
        </w:rPr>
        <w:t xml:space="preserve">Income support levels leave families receiving benefits facing entrenched, chronic poverty. </w:t>
      </w:r>
      <w:r w:rsidRPr="00AF5798">
        <w:rPr>
          <w:sz w:val="24"/>
          <w:szCs w:val="24"/>
          <w:lang w:val="en-US"/>
        </w:rPr>
        <w:t xml:space="preserve">Our research strongly indicates that current core entitlements for families receiving benefits in typical situations are mostly below the primary poverty line after housing costs (the AHC 50% fixed line measure, </w:t>
      </w:r>
      <w:r>
        <w:rPr>
          <w:sz w:val="24"/>
          <w:szCs w:val="24"/>
          <w:lang w:val="en-US"/>
        </w:rPr>
        <w:t xml:space="preserve">for </w:t>
      </w:r>
      <w:r w:rsidRPr="00AF5798">
        <w:rPr>
          <w:sz w:val="24"/>
          <w:szCs w:val="24"/>
          <w:lang w:val="en-US"/>
        </w:rPr>
        <w:t>government child poverty reduction targets) and, in some cases, core entitlements are well below even the lowest officially-recorded poverty line (</w:t>
      </w:r>
      <w:proofErr w:type="spellStart"/>
      <w:r w:rsidR="00E65AEA">
        <w:rPr>
          <w:sz w:val="24"/>
          <w:szCs w:val="24"/>
          <w:lang w:val="en-US"/>
        </w:rPr>
        <w:t>StatsNZ’s</w:t>
      </w:r>
      <w:proofErr w:type="spellEnd"/>
      <w:r w:rsidRPr="00AF5798">
        <w:rPr>
          <w:sz w:val="24"/>
          <w:szCs w:val="24"/>
          <w:lang w:val="en-US"/>
        </w:rPr>
        <w:t xml:space="preserve"> 40% AHC moving line measure).</w:t>
      </w:r>
    </w:p>
    <w:p w14:paraId="4DF0EA47" w14:textId="77777777" w:rsidR="00EF30D2" w:rsidRDefault="00EF30D2" w:rsidP="00EF30D2">
      <w:pPr>
        <w:ind w:left="709"/>
        <w:rPr>
          <w:b/>
          <w:bCs/>
          <w:sz w:val="20"/>
          <w:szCs w:val="20"/>
          <w:lang w:val="en-US"/>
        </w:rPr>
      </w:pPr>
      <w:r w:rsidRPr="008F729D">
        <w:rPr>
          <w:b/>
          <w:bCs/>
          <w:sz w:val="20"/>
          <w:szCs w:val="20"/>
          <w:lang w:val="en-US"/>
        </w:rPr>
        <w:t xml:space="preserve">Fig </w:t>
      </w:r>
      <w:r>
        <w:rPr>
          <w:b/>
          <w:bCs/>
          <w:sz w:val="20"/>
          <w:szCs w:val="20"/>
          <w:lang w:val="en-US"/>
        </w:rPr>
        <w:t>2: 2020/21 core entitlement for selected families receiving benefits vs poverty measures*</w:t>
      </w:r>
    </w:p>
    <w:p w14:paraId="2E5896DC" w14:textId="77777777" w:rsidR="00EF30D2" w:rsidRDefault="00EF30D2" w:rsidP="00EF30D2">
      <w:pPr>
        <w:ind w:left="709"/>
        <w:rPr>
          <w:lang w:val="en-US"/>
        </w:rPr>
      </w:pPr>
      <w:r>
        <w:rPr>
          <w:noProof/>
        </w:rPr>
        <w:drawing>
          <wp:inline distT="0" distB="0" distL="0" distR="0" wp14:anchorId="4CA2721A" wp14:editId="0F002085">
            <wp:extent cx="5511800" cy="2503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23417" cy="2508975"/>
                    </a:xfrm>
                    <a:prstGeom prst="rect">
                      <a:avLst/>
                    </a:prstGeom>
                  </pic:spPr>
                </pic:pic>
              </a:graphicData>
            </a:graphic>
          </wp:inline>
        </w:drawing>
      </w:r>
    </w:p>
    <w:p w14:paraId="17A0536F" w14:textId="47D21D75" w:rsidR="00EF30D2" w:rsidRPr="0033265D" w:rsidRDefault="00EF30D2" w:rsidP="00EF30D2">
      <w:pPr>
        <w:ind w:left="709"/>
        <w:rPr>
          <w:i/>
          <w:iCs/>
          <w:lang w:val="en-US"/>
        </w:rPr>
      </w:pPr>
      <w:r>
        <w:rPr>
          <w:i/>
          <w:iCs/>
          <w:sz w:val="20"/>
          <w:szCs w:val="20"/>
        </w:rPr>
        <w:t xml:space="preserve">*Annual </w:t>
      </w:r>
      <w:r w:rsidRPr="0033265D">
        <w:rPr>
          <w:i/>
          <w:iCs/>
          <w:sz w:val="20"/>
          <w:szCs w:val="20"/>
        </w:rPr>
        <w:t xml:space="preserve">AHC income for model households receiving Sole Parent Support </w:t>
      </w:r>
      <w:r>
        <w:rPr>
          <w:i/>
          <w:iCs/>
          <w:sz w:val="20"/>
          <w:szCs w:val="20"/>
        </w:rPr>
        <w:t xml:space="preserve">(SP) </w:t>
      </w:r>
      <w:r w:rsidRPr="0033265D">
        <w:rPr>
          <w:i/>
          <w:iCs/>
          <w:sz w:val="20"/>
          <w:szCs w:val="20"/>
        </w:rPr>
        <w:t xml:space="preserve">or </w:t>
      </w:r>
      <w:proofErr w:type="spellStart"/>
      <w:r w:rsidRPr="0033265D">
        <w:rPr>
          <w:i/>
          <w:iCs/>
          <w:sz w:val="20"/>
          <w:szCs w:val="20"/>
        </w:rPr>
        <w:t>JobSeeker</w:t>
      </w:r>
      <w:proofErr w:type="spellEnd"/>
      <w:r w:rsidRPr="0033265D">
        <w:rPr>
          <w:i/>
          <w:iCs/>
          <w:sz w:val="20"/>
          <w:szCs w:val="20"/>
        </w:rPr>
        <w:t xml:space="preserve"> Couple</w:t>
      </w:r>
      <w:r>
        <w:rPr>
          <w:i/>
          <w:iCs/>
          <w:sz w:val="20"/>
          <w:szCs w:val="20"/>
        </w:rPr>
        <w:t xml:space="preserve"> (2A)</w:t>
      </w:r>
      <w:r w:rsidRPr="0033265D">
        <w:rPr>
          <w:i/>
          <w:iCs/>
          <w:sz w:val="20"/>
          <w:szCs w:val="20"/>
        </w:rPr>
        <w:t>, plus AS</w:t>
      </w:r>
      <w:r>
        <w:rPr>
          <w:i/>
          <w:iCs/>
          <w:sz w:val="20"/>
          <w:szCs w:val="20"/>
        </w:rPr>
        <w:t xml:space="preserve">, </w:t>
      </w:r>
      <w:r w:rsidRPr="0033265D">
        <w:rPr>
          <w:i/>
          <w:iCs/>
          <w:sz w:val="20"/>
          <w:szCs w:val="20"/>
        </w:rPr>
        <w:t xml:space="preserve"> FTC</w:t>
      </w:r>
      <w:r>
        <w:rPr>
          <w:i/>
          <w:iCs/>
          <w:sz w:val="20"/>
          <w:szCs w:val="20"/>
        </w:rPr>
        <w:t xml:space="preserve"> &amp; (2020 doubled) WEP</w:t>
      </w:r>
      <w:r w:rsidRPr="0033265D">
        <w:rPr>
          <w:i/>
          <w:iCs/>
          <w:sz w:val="20"/>
          <w:szCs w:val="20"/>
        </w:rPr>
        <w:t xml:space="preserve"> entitlements, paying lower-quartile rent</w:t>
      </w:r>
      <w:r>
        <w:rPr>
          <w:i/>
          <w:iCs/>
          <w:sz w:val="20"/>
          <w:szCs w:val="20"/>
        </w:rPr>
        <w:t xml:space="preserve"> (Sep19-Feb20 rates)</w:t>
      </w:r>
      <w:r w:rsidRPr="0033265D">
        <w:rPr>
          <w:i/>
          <w:iCs/>
          <w:sz w:val="20"/>
          <w:szCs w:val="20"/>
        </w:rPr>
        <w:t xml:space="preserve">, as % of estimated 2020/21 equivalised median moving line. Primary poverty measure of AHC 50% 2017/18 fixed line </w:t>
      </w:r>
      <w:r w:rsidR="00687A23">
        <w:rPr>
          <w:i/>
          <w:iCs/>
          <w:sz w:val="20"/>
          <w:szCs w:val="20"/>
        </w:rPr>
        <w:t>(</w:t>
      </w:r>
      <w:r w:rsidRPr="0033265D">
        <w:rPr>
          <w:i/>
          <w:iCs/>
          <w:sz w:val="20"/>
          <w:szCs w:val="20"/>
        </w:rPr>
        <w:t xml:space="preserve">equivalent to 46.4% </w:t>
      </w:r>
      <w:r w:rsidR="00687A23">
        <w:rPr>
          <w:i/>
          <w:iCs/>
          <w:sz w:val="20"/>
          <w:szCs w:val="20"/>
        </w:rPr>
        <w:t>moving line)</w:t>
      </w:r>
      <w:r>
        <w:rPr>
          <w:i/>
          <w:iCs/>
          <w:sz w:val="20"/>
          <w:szCs w:val="20"/>
        </w:rPr>
        <w:t xml:space="preserve">. See </w:t>
      </w:r>
      <w:r w:rsidR="00253B38">
        <w:rPr>
          <w:i/>
          <w:iCs/>
          <w:sz w:val="20"/>
          <w:szCs w:val="20"/>
        </w:rPr>
        <w:t>McAllister</w:t>
      </w:r>
      <w:r>
        <w:rPr>
          <w:i/>
          <w:iCs/>
          <w:sz w:val="20"/>
          <w:szCs w:val="20"/>
        </w:rPr>
        <w:t xml:space="preserve"> (</w:t>
      </w:r>
      <w:hyperlink r:id="rId30" w:history="1">
        <w:r w:rsidRPr="00730FD1">
          <w:rPr>
            <w:rStyle w:val="Hyperlink"/>
            <w:i/>
            <w:iCs/>
            <w:sz w:val="20"/>
            <w:szCs w:val="20"/>
          </w:rPr>
          <w:t>2020</w:t>
        </w:r>
      </w:hyperlink>
      <w:r>
        <w:rPr>
          <w:i/>
          <w:iCs/>
          <w:sz w:val="20"/>
          <w:szCs w:val="20"/>
        </w:rPr>
        <w:t xml:space="preserve">) </w:t>
      </w:r>
      <w:r w:rsidR="00687A23">
        <w:rPr>
          <w:i/>
          <w:iCs/>
          <w:sz w:val="20"/>
          <w:szCs w:val="20"/>
        </w:rPr>
        <w:t xml:space="preserve">Appendix 2 </w:t>
      </w:r>
      <w:r>
        <w:rPr>
          <w:i/>
          <w:iCs/>
          <w:sz w:val="20"/>
          <w:szCs w:val="20"/>
        </w:rPr>
        <w:t>for explanation of median income estimates. C=Child/ren; B=Bedrooms</w:t>
      </w:r>
    </w:p>
    <w:p w14:paraId="7CAD972C" w14:textId="53A22259" w:rsidR="00EF30D2" w:rsidRPr="00AF5798" w:rsidRDefault="00EF30D2" w:rsidP="00EF30D2">
      <w:pPr>
        <w:pStyle w:val="ListParagraph"/>
        <w:numPr>
          <w:ilvl w:val="0"/>
          <w:numId w:val="19"/>
        </w:numPr>
        <w:rPr>
          <w:sz w:val="24"/>
          <w:szCs w:val="24"/>
          <w:lang w:val="en-US"/>
        </w:rPr>
      </w:pPr>
      <w:r w:rsidRPr="00AF5798">
        <w:rPr>
          <w:b/>
          <w:bCs/>
          <w:sz w:val="24"/>
          <w:szCs w:val="24"/>
          <w:lang w:val="en-US"/>
        </w:rPr>
        <w:t>Trying to fill the gaping holes with piecemeal measures is not working</w:t>
      </w:r>
      <w:r w:rsidRPr="00AF5798">
        <w:rPr>
          <w:sz w:val="24"/>
          <w:szCs w:val="24"/>
          <w:lang w:val="en-US"/>
        </w:rPr>
        <w:t xml:space="preserve"> and it wasn’t working even before COVID hit. </w:t>
      </w:r>
      <w:r w:rsidR="0001585E">
        <w:rPr>
          <w:sz w:val="24"/>
          <w:szCs w:val="24"/>
          <w:lang w:val="en-US"/>
        </w:rPr>
        <w:t>All</w:t>
      </w:r>
      <w:r w:rsidRPr="00AF5798">
        <w:rPr>
          <w:sz w:val="24"/>
          <w:szCs w:val="24"/>
          <w:lang w:val="en-US"/>
        </w:rPr>
        <w:t xml:space="preserve"> the following points indicate that support designed for extraordinary circumstances is increasingly relied on by </w:t>
      </w:r>
      <w:r>
        <w:rPr>
          <w:sz w:val="24"/>
          <w:szCs w:val="24"/>
          <w:lang w:val="en-US"/>
        </w:rPr>
        <w:t>G</w:t>
      </w:r>
      <w:r w:rsidRPr="00AF5798">
        <w:rPr>
          <w:sz w:val="24"/>
          <w:szCs w:val="24"/>
          <w:lang w:val="en-US"/>
        </w:rPr>
        <w:t xml:space="preserve">overnment to provide everyday support in typical situations, </w:t>
      </w:r>
      <w:r>
        <w:rPr>
          <w:sz w:val="24"/>
          <w:szCs w:val="24"/>
          <w:lang w:val="en-US"/>
        </w:rPr>
        <w:t xml:space="preserve">meaning </w:t>
      </w:r>
      <w:r w:rsidRPr="00AF5798">
        <w:rPr>
          <w:sz w:val="24"/>
          <w:szCs w:val="24"/>
          <w:lang w:val="en-US"/>
        </w:rPr>
        <w:t>many will be missing out:</w:t>
      </w:r>
    </w:p>
    <w:p w14:paraId="0DF37C7F" w14:textId="01383F34" w:rsidR="00EF30D2" w:rsidRPr="00AF5798" w:rsidRDefault="00EF30D2" w:rsidP="00EF30D2">
      <w:pPr>
        <w:pStyle w:val="ListParagraph"/>
        <w:numPr>
          <w:ilvl w:val="1"/>
          <w:numId w:val="19"/>
        </w:numPr>
        <w:ind w:left="993"/>
        <w:rPr>
          <w:sz w:val="24"/>
          <w:szCs w:val="24"/>
          <w:lang w:val="en-US"/>
        </w:rPr>
      </w:pPr>
      <w:r w:rsidRPr="00AF5798">
        <w:rPr>
          <w:sz w:val="24"/>
          <w:szCs w:val="24"/>
          <w:lang w:val="en-US"/>
        </w:rPr>
        <w:t xml:space="preserve">Every one of </w:t>
      </w:r>
      <w:r w:rsidR="00E65AEA">
        <w:rPr>
          <w:sz w:val="24"/>
          <w:szCs w:val="24"/>
          <w:lang w:val="en-US"/>
        </w:rPr>
        <w:t>MSD’s</w:t>
      </w:r>
      <w:r w:rsidRPr="00AF5798">
        <w:rPr>
          <w:sz w:val="24"/>
          <w:szCs w:val="24"/>
          <w:lang w:val="en-US"/>
        </w:rPr>
        <w:t xml:space="preserve"> </w:t>
      </w:r>
      <w:r w:rsidR="00074323" w:rsidRPr="00074323">
        <w:rPr>
          <w:b/>
          <w:bCs/>
          <w:sz w:val="24"/>
          <w:szCs w:val="24"/>
          <w:lang w:val="en-US"/>
        </w:rPr>
        <w:t>~</w:t>
      </w:r>
      <w:r w:rsidRPr="00AF5798">
        <w:rPr>
          <w:b/>
          <w:bCs/>
          <w:sz w:val="24"/>
          <w:szCs w:val="24"/>
          <w:lang w:val="en-US"/>
        </w:rPr>
        <w:t>2.5</w:t>
      </w:r>
      <w:r w:rsidR="00687A23">
        <w:rPr>
          <w:b/>
          <w:bCs/>
          <w:sz w:val="24"/>
          <w:szCs w:val="24"/>
          <w:lang w:val="en-US"/>
        </w:rPr>
        <w:t xml:space="preserve"> million</w:t>
      </w:r>
      <w:r w:rsidRPr="00AF5798">
        <w:rPr>
          <w:b/>
          <w:bCs/>
          <w:sz w:val="24"/>
          <w:szCs w:val="24"/>
          <w:lang w:val="en-US"/>
        </w:rPr>
        <w:t xml:space="preserve"> approved hardship assistance transactions</w:t>
      </w:r>
      <w:r w:rsidRPr="00AF5798">
        <w:rPr>
          <w:sz w:val="24"/>
          <w:szCs w:val="24"/>
          <w:lang w:val="en-US"/>
        </w:rPr>
        <w:t xml:space="preserve"> this year overall costs </w:t>
      </w:r>
      <w:proofErr w:type="spellStart"/>
      <w:r w:rsidRPr="00AF5798">
        <w:rPr>
          <w:sz w:val="24"/>
          <w:szCs w:val="24"/>
          <w:lang w:val="en-US"/>
        </w:rPr>
        <w:t>whānau</w:t>
      </w:r>
      <w:proofErr w:type="spellEnd"/>
      <w:r w:rsidRPr="00AF5798">
        <w:rPr>
          <w:sz w:val="24"/>
          <w:szCs w:val="24"/>
          <w:lang w:val="en-US"/>
        </w:rPr>
        <w:t xml:space="preserve"> and families in effort, time, emotional </w:t>
      </w:r>
      <w:proofErr w:type="spellStart"/>
      <w:r w:rsidRPr="00AF5798">
        <w:rPr>
          <w:sz w:val="24"/>
          <w:szCs w:val="24"/>
          <w:lang w:val="en-US"/>
        </w:rPr>
        <w:t>labour</w:t>
      </w:r>
      <w:proofErr w:type="spellEnd"/>
      <w:r w:rsidRPr="00AF5798">
        <w:rPr>
          <w:sz w:val="24"/>
          <w:szCs w:val="24"/>
          <w:lang w:val="en-US"/>
        </w:rPr>
        <w:t xml:space="preserve"> (</w:t>
      </w:r>
      <w:proofErr w:type="spellStart"/>
      <w:r w:rsidRPr="00AF5798">
        <w:rPr>
          <w:sz w:val="24"/>
          <w:szCs w:val="24"/>
          <w:lang w:val="en-US"/>
        </w:rPr>
        <w:t>eg</w:t>
      </w:r>
      <w:proofErr w:type="spellEnd"/>
      <w:r w:rsidRPr="00AF5798">
        <w:rPr>
          <w:sz w:val="24"/>
          <w:szCs w:val="24"/>
          <w:lang w:val="en-US"/>
        </w:rPr>
        <w:t xml:space="preserve"> recounting trauma in an effort to make success more likely) and very often embarrassment. If income support</w:t>
      </w:r>
      <w:r w:rsidR="00074323">
        <w:rPr>
          <w:sz w:val="24"/>
          <w:szCs w:val="24"/>
          <w:lang w:val="en-US"/>
        </w:rPr>
        <w:t>s</w:t>
      </w:r>
      <w:r w:rsidRPr="00AF5798">
        <w:rPr>
          <w:sz w:val="24"/>
          <w:szCs w:val="24"/>
          <w:lang w:val="en-US"/>
        </w:rPr>
        <w:t xml:space="preserve"> were adequate for typical circumstances, much of this waste of energy and wellbeing would be avoided. Even with a generous regime, it is unclear how many people who require hardship assistance do not receive it, whether due </w:t>
      </w:r>
      <w:proofErr w:type="spellStart"/>
      <w:r>
        <w:rPr>
          <w:sz w:val="24"/>
          <w:szCs w:val="24"/>
          <w:lang w:val="en-US"/>
        </w:rPr>
        <w:t>eg</w:t>
      </w:r>
      <w:proofErr w:type="spellEnd"/>
      <w:r>
        <w:rPr>
          <w:sz w:val="24"/>
          <w:szCs w:val="24"/>
          <w:lang w:val="en-US"/>
        </w:rPr>
        <w:t xml:space="preserve"> </w:t>
      </w:r>
      <w:r w:rsidRPr="00AF5798">
        <w:rPr>
          <w:sz w:val="24"/>
          <w:szCs w:val="24"/>
          <w:lang w:val="en-US"/>
        </w:rPr>
        <w:t xml:space="preserve">to difficulties with technology, call </w:t>
      </w:r>
      <w:proofErr w:type="spellStart"/>
      <w:r w:rsidRPr="00AF5798">
        <w:rPr>
          <w:sz w:val="24"/>
          <w:szCs w:val="24"/>
          <w:lang w:val="en-US"/>
        </w:rPr>
        <w:t>centres</w:t>
      </w:r>
      <w:proofErr w:type="spellEnd"/>
      <w:r w:rsidRPr="00AF5798">
        <w:rPr>
          <w:sz w:val="24"/>
          <w:szCs w:val="24"/>
          <w:lang w:val="en-US"/>
        </w:rPr>
        <w:t xml:space="preserve">, trespassing, </w:t>
      </w:r>
      <w:r w:rsidR="00074323">
        <w:rPr>
          <w:sz w:val="24"/>
          <w:szCs w:val="24"/>
          <w:lang w:val="en-US"/>
        </w:rPr>
        <w:t xml:space="preserve">and/or </w:t>
      </w:r>
      <w:r w:rsidRPr="00AF5798">
        <w:rPr>
          <w:sz w:val="24"/>
          <w:szCs w:val="24"/>
          <w:lang w:val="en-US"/>
        </w:rPr>
        <w:t>despair (not attempting to request in the first place).</w:t>
      </w:r>
    </w:p>
    <w:p w14:paraId="50FBDAB8" w14:textId="7242FFAF" w:rsidR="00EF30D2" w:rsidRPr="00AF5798" w:rsidRDefault="00EF30D2" w:rsidP="00EF30D2">
      <w:pPr>
        <w:pStyle w:val="ListParagraph"/>
        <w:numPr>
          <w:ilvl w:val="1"/>
          <w:numId w:val="19"/>
        </w:numPr>
        <w:ind w:left="993"/>
        <w:rPr>
          <w:sz w:val="24"/>
          <w:szCs w:val="24"/>
          <w:lang w:val="en-US"/>
        </w:rPr>
      </w:pPr>
      <w:r w:rsidRPr="00AF5798">
        <w:rPr>
          <w:b/>
          <w:bCs/>
          <w:sz w:val="24"/>
          <w:szCs w:val="24"/>
          <w:lang w:val="en-US"/>
        </w:rPr>
        <w:lastRenderedPageBreak/>
        <w:t>Temporary Additional Support</w:t>
      </w:r>
      <w:r w:rsidRPr="00AF5798">
        <w:rPr>
          <w:sz w:val="24"/>
          <w:szCs w:val="24"/>
          <w:lang w:val="en-US"/>
        </w:rPr>
        <w:t xml:space="preserve"> recipients have increased by 60% from 60,800 to 97,100 in the two years to the September 2020 quarter, including an increase of 20,000 alone since the March 2020 quarter</w:t>
      </w:r>
      <w:r w:rsidR="00787C5C">
        <w:rPr>
          <w:sz w:val="24"/>
          <w:szCs w:val="24"/>
          <w:lang w:val="en-US"/>
        </w:rPr>
        <w:t xml:space="preserve"> (MSD, 2020)</w:t>
      </w:r>
      <w:r w:rsidRPr="00AF5798">
        <w:rPr>
          <w:sz w:val="24"/>
          <w:szCs w:val="24"/>
          <w:lang w:val="en-US"/>
        </w:rPr>
        <w:t>.</w:t>
      </w:r>
    </w:p>
    <w:p w14:paraId="6902A2BA" w14:textId="4914F11F" w:rsidR="00EF30D2" w:rsidRPr="00AF5798" w:rsidRDefault="00EF30D2" w:rsidP="00EF30D2">
      <w:pPr>
        <w:pStyle w:val="ListParagraph"/>
        <w:numPr>
          <w:ilvl w:val="1"/>
          <w:numId w:val="19"/>
        </w:numPr>
        <w:ind w:left="993"/>
        <w:rPr>
          <w:sz w:val="24"/>
          <w:szCs w:val="24"/>
          <w:lang w:val="en-US"/>
        </w:rPr>
      </w:pPr>
      <w:r w:rsidRPr="00AF5798">
        <w:rPr>
          <w:b/>
          <w:bCs/>
          <w:sz w:val="24"/>
          <w:szCs w:val="24"/>
          <w:lang w:val="en-US"/>
        </w:rPr>
        <w:t>Accommodation Supplement</w:t>
      </w:r>
      <w:r w:rsidRPr="00AF5798">
        <w:rPr>
          <w:sz w:val="24"/>
          <w:szCs w:val="24"/>
          <w:lang w:val="en-US"/>
        </w:rPr>
        <w:t xml:space="preserve"> recipients increased 25% in the two years to the September quarter 2020 from 292,000 to 366,200, including an increase of 48,600 since the March quarter. Two-thirds of AS recipients also receive benefits, and this proportion has held steady</w:t>
      </w:r>
      <w:r w:rsidR="00787C5C">
        <w:rPr>
          <w:sz w:val="24"/>
          <w:szCs w:val="24"/>
          <w:lang w:val="en-US"/>
        </w:rPr>
        <w:t xml:space="preserve"> (MSD, 2020)</w:t>
      </w:r>
      <w:r w:rsidRPr="00AF5798">
        <w:rPr>
          <w:sz w:val="24"/>
          <w:szCs w:val="24"/>
          <w:lang w:val="en-US"/>
        </w:rPr>
        <w:t>.</w:t>
      </w:r>
    </w:p>
    <w:p w14:paraId="2529AA44" w14:textId="77777777" w:rsidR="00EF30D2" w:rsidRDefault="00EF30D2" w:rsidP="00EF30D2">
      <w:pPr>
        <w:pStyle w:val="ListParagraph"/>
        <w:ind w:left="709"/>
        <w:rPr>
          <w:noProof/>
        </w:rPr>
      </w:pPr>
      <w:r>
        <w:rPr>
          <w:noProof/>
        </w:rPr>
        <w:drawing>
          <wp:inline distT="0" distB="0" distL="0" distR="0" wp14:anchorId="12EC5653" wp14:editId="0FB876FC">
            <wp:extent cx="2679589" cy="2743200"/>
            <wp:effectExtent l="0" t="0" r="6985" b="0"/>
            <wp:docPr id="21" name="Chart 21">
              <a:extLst xmlns:a="http://schemas.openxmlformats.org/drawingml/2006/main">
                <a:ext uri="{FF2B5EF4-FFF2-40B4-BE49-F238E27FC236}">
                  <a16:creationId xmlns:a16="http://schemas.microsoft.com/office/drawing/2014/main" id="{051E6DB3-0BDD-487F-9AAB-811573AC39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385FD8">
        <w:rPr>
          <w:noProof/>
        </w:rPr>
        <w:t xml:space="preserve"> </w:t>
      </w:r>
      <w:r>
        <w:rPr>
          <w:noProof/>
        </w:rPr>
        <w:drawing>
          <wp:inline distT="0" distB="0" distL="0" distR="0" wp14:anchorId="32B96A4E" wp14:editId="0E2FF420">
            <wp:extent cx="2406347" cy="2743200"/>
            <wp:effectExtent l="0" t="0" r="0" b="0"/>
            <wp:docPr id="22" name="Chart 22">
              <a:extLst xmlns:a="http://schemas.openxmlformats.org/drawingml/2006/main">
                <a:ext uri="{FF2B5EF4-FFF2-40B4-BE49-F238E27FC236}">
                  <a16:creationId xmlns:a16="http://schemas.microsoft.com/office/drawing/2014/main" id="{AF376C95-824A-410F-9463-B9CC0D4513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A75AD5F" w14:textId="77777777" w:rsidR="00EF30D2" w:rsidRDefault="00EF30D2" w:rsidP="00EF30D2">
      <w:pPr>
        <w:pStyle w:val="ListParagraph"/>
        <w:numPr>
          <w:ilvl w:val="0"/>
          <w:numId w:val="19"/>
        </w:numPr>
        <w:spacing w:after="0"/>
        <w:ind w:left="714" w:hanging="357"/>
        <w:contextualSpacing w:val="0"/>
        <w:rPr>
          <w:sz w:val="24"/>
          <w:szCs w:val="24"/>
          <w:lang w:val="en-US"/>
        </w:rPr>
        <w:sectPr w:rsidR="00EF30D2" w:rsidSect="00EF30D2">
          <w:headerReference w:type="default" r:id="rId33"/>
          <w:footerReference w:type="default" r:id="rId34"/>
          <w:type w:val="continuous"/>
          <w:pgSz w:w="11906" w:h="16838"/>
          <w:pgMar w:top="851" w:right="1440" w:bottom="1440" w:left="1440" w:header="720" w:footer="720" w:gutter="0"/>
          <w:cols w:space="720"/>
          <w:titlePg/>
          <w:docGrid w:linePitch="360"/>
        </w:sectPr>
      </w:pPr>
      <w:r w:rsidRPr="00AF5798">
        <w:rPr>
          <w:b/>
          <w:bCs/>
          <w:sz w:val="24"/>
          <w:szCs w:val="24"/>
          <w:lang w:val="en-US"/>
        </w:rPr>
        <w:t>Some families will be receiving all of the following</w:t>
      </w:r>
      <w:r w:rsidRPr="00AF5798">
        <w:rPr>
          <w:sz w:val="24"/>
          <w:szCs w:val="24"/>
          <w:lang w:val="en-US"/>
        </w:rPr>
        <w:t>, and still not be able to make ends meet:</w:t>
      </w:r>
    </w:p>
    <w:p w14:paraId="1F88F7F8" w14:textId="77777777" w:rsidR="00EF30D2" w:rsidRPr="00AF5798" w:rsidRDefault="00EF30D2" w:rsidP="00EF30D2">
      <w:pPr>
        <w:pStyle w:val="ListParagraph"/>
        <w:numPr>
          <w:ilvl w:val="1"/>
          <w:numId w:val="19"/>
        </w:numPr>
        <w:spacing w:after="0"/>
        <w:contextualSpacing w:val="0"/>
        <w:rPr>
          <w:sz w:val="24"/>
          <w:szCs w:val="24"/>
          <w:lang w:val="en-US"/>
        </w:rPr>
      </w:pPr>
      <w:r w:rsidRPr="00AF5798">
        <w:rPr>
          <w:sz w:val="24"/>
          <w:szCs w:val="24"/>
          <w:lang w:val="en-US"/>
        </w:rPr>
        <w:t>Main benefit</w:t>
      </w:r>
    </w:p>
    <w:p w14:paraId="649DB27E" w14:textId="77777777" w:rsidR="00EF30D2" w:rsidRPr="00AF5798" w:rsidRDefault="00EF30D2" w:rsidP="00EF30D2">
      <w:pPr>
        <w:pStyle w:val="ListParagraph"/>
        <w:numPr>
          <w:ilvl w:val="1"/>
          <w:numId w:val="19"/>
        </w:numPr>
        <w:spacing w:after="0"/>
        <w:contextualSpacing w:val="0"/>
        <w:rPr>
          <w:sz w:val="24"/>
          <w:szCs w:val="24"/>
          <w:lang w:val="en-US"/>
        </w:rPr>
      </w:pPr>
      <w:r w:rsidRPr="00AF5798">
        <w:rPr>
          <w:sz w:val="24"/>
          <w:szCs w:val="24"/>
          <w:lang w:val="en-US"/>
        </w:rPr>
        <w:t>Working for Families</w:t>
      </w:r>
    </w:p>
    <w:p w14:paraId="10D57DF8" w14:textId="77777777" w:rsidR="00EF30D2" w:rsidRPr="00AF5798" w:rsidRDefault="00EF30D2" w:rsidP="00EF30D2">
      <w:pPr>
        <w:pStyle w:val="ListParagraph"/>
        <w:numPr>
          <w:ilvl w:val="1"/>
          <w:numId w:val="19"/>
        </w:numPr>
        <w:spacing w:after="0"/>
        <w:contextualSpacing w:val="0"/>
        <w:rPr>
          <w:sz w:val="24"/>
          <w:szCs w:val="24"/>
          <w:lang w:val="en-US"/>
        </w:rPr>
      </w:pPr>
      <w:r>
        <w:rPr>
          <w:sz w:val="24"/>
          <w:szCs w:val="24"/>
          <w:lang w:val="en-US"/>
        </w:rPr>
        <w:t>AS</w:t>
      </w:r>
    </w:p>
    <w:p w14:paraId="694E3FAD" w14:textId="77777777" w:rsidR="00EF30D2" w:rsidRPr="00AF5798" w:rsidRDefault="00EF30D2" w:rsidP="00EF30D2">
      <w:pPr>
        <w:pStyle w:val="ListParagraph"/>
        <w:numPr>
          <w:ilvl w:val="1"/>
          <w:numId w:val="19"/>
        </w:numPr>
        <w:spacing w:after="0"/>
        <w:contextualSpacing w:val="0"/>
        <w:rPr>
          <w:sz w:val="24"/>
          <w:szCs w:val="24"/>
          <w:lang w:val="en-US"/>
        </w:rPr>
      </w:pPr>
      <w:r>
        <w:rPr>
          <w:sz w:val="24"/>
          <w:szCs w:val="24"/>
          <w:lang w:val="en-US"/>
        </w:rPr>
        <w:t>TAS</w:t>
      </w:r>
    </w:p>
    <w:p w14:paraId="79EDAC9B" w14:textId="77777777" w:rsidR="00EF30D2" w:rsidRPr="00AF5798" w:rsidRDefault="00EF30D2" w:rsidP="00EF30D2">
      <w:pPr>
        <w:pStyle w:val="ListParagraph"/>
        <w:numPr>
          <w:ilvl w:val="1"/>
          <w:numId w:val="19"/>
        </w:numPr>
        <w:spacing w:after="0"/>
        <w:contextualSpacing w:val="0"/>
        <w:rPr>
          <w:sz w:val="24"/>
          <w:szCs w:val="24"/>
          <w:lang w:val="en-US"/>
        </w:rPr>
      </w:pPr>
      <w:r w:rsidRPr="00AF5798">
        <w:rPr>
          <w:sz w:val="24"/>
          <w:szCs w:val="24"/>
          <w:lang w:val="en-US"/>
        </w:rPr>
        <w:t>Special Needs Grants</w:t>
      </w:r>
    </w:p>
    <w:p w14:paraId="2E03B191" w14:textId="77777777" w:rsidR="00EF30D2" w:rsidRPr="00AF5798" w:rsidRDefault="00EF30D2" w:rsidP="00EF30D2">
      <w:pPr>
        <w:pStyle w:val="ListParagraph"/>
        <w:numPr>
          <w:ilvl w:val="1"/>
          <w:numId w:val="19"/>
        </w:numPr>
        <w:spacing w:after="0"/>
        <w:ind w:left="426" w:hanging="357"/>
        <w:contextualSpacing w:val="0"/>
        <w:rPr>
          <w:sz w:val="24"/>
          <w:szCs w:val="24"/>
          <w:lang w:val="en-US"/>
        </w:rPr>
      </w:pPr>
      <w:r w:rsidRPr="00AF5798">
        <w:rPr>
          <w:sz w:val="24"/>
          <w:szCs w:val="24"/>
          <w:lang w:val="en-US"/>
        </w:rPr>
        <w:t>Benefit Advances (recoverable)</w:t>
      </w:r>
    </w:p>
    <w:p w14:paraId="5EBFD9DF" w14:textId="77777777" w:rsidR="00EF30D2" w:rsidRPr="00AF5798" w:rsidRDefault="00EF30D2" w:rsidP="00EF30D2">
      <w:pPr>
        <w:pStyle w:val="ListParagraph"/>
        <w:numPr>
          <w:ilvl w:val="1"/>
          <w:numId w:val="19"/>
        </w:numPr>
        <w:spacing w:after="0"/>
        <w:ind w:left="426" w:hanging="357"/>
        <w:contextualSpacing w:val="0"/>
        <w:rPr>
          <w:sz w:val="24"/>
          <w:szCs w:val="24"/>
          <w:lang w:val="en-US"/>
        </w:rPr>
      </w:pPr>
      <w:r w:rsidRPr="00AF5798">
        <w:rPr>
          <w:sz w:val="24"/>
          <w:szCs w:val="24"/>
          <w:lang w:val="en-US"/>
        </w:rPr>
        <w:t xml:space="preserve">Child Disability Allowance </w:t>
      </w:r>
    </w:p>
    <w:p w14:paraId="011623D2" w14:textId="77777777" w:rsidR="00EF30D2" w:rsidRPr="00AF5798" w:rsidRDefault="00EF30D2" w:rsidP="00EF30D2">
      <w:pPr>
        <w:pStyle w:val="ListParagraph"/>
        <w:numPr>
          <w:ilvl w:val="1"/>
          <w:numId w:val="19"/>
        </w:numPr>
        <w:spacing w:after="0"/>
        <w:ind w:left="426" w:hanging="357"/>
        <w:contextualSpacing w:val="0"/>
        <w:rPr>
          <w:sz w:val="24"/>
          <w:szCs w:val="24"/>
          <w:lang w:val="en-US"/>
        </w:rPr>
      </w:pPr>
      <w:r w:rsidRPr="00AF5798">
        <w:rPr>
          <w:sz w:val="24"/>
          <w:szCs w:val="24"/>
          <w:lang w:val="en-US"/>
        </w:rPr>
        <w:t>Disability Allowance</w:t>
      </w:r>
    </w:p>
    <w:p w14:paraId="4968E0AB" w14:textId="77777777" w:rsidR="00EF30D2" w:rsidRDefault="00EF30D2" w:rsidP="00EF30D2">
      <w:pPr>
        <w:pStyle w:val="ListParagraph"/>
        <w:numPr>
          <w:ilvl w:val="1"/>
          <w:numId w:val="19"/>
        </w:numPr>
        <w:ind w:left="426" w:hanging="357"/>
        <w:contextualSpacing w:val="0"/>
        <w:rPr>
          <w:sz w:val="24"/>
          <w:szCs w:val="24"/>
          <w:lang w:val="en-US"/>
        </w:rPr>
        <w:sectPr w:rsidR="00EF30D2" w:rsidSect="00AF5798">
          <w:type w:val="continuous"/>
          <w:pgSz w:w="11906" w:h="16838"/>
          <w:pgMar w:top="1440" w:right="1440" w:bottom="1440" w:left="1440" w:header="720" w:footer="720" w:gutter="0"/>
          <w:cols w:num="2" w:space="720"/>
          <w:titlePg/>
          <w:docGrid w:linePitch="360"/>
        </w:sectPr>
      </w:pPr>
      <w:r w:rsidRPr="00AF5798">
        <w:rPr>
          <w:sz w:val="24"/>
          <w:szCs w:val="24"/>
          <w:lang w:val="en-US"/>
        </w:rPr>
        <w:t xml:space="preserve">Grants from other government ministries </w:t>
      </w:r>
    </w:p>
    <w:p w14:paraId="577FCE7F" w14:textId="77777777" w:rsidR="00EF30D2" w:rsidRPr="00AF5798" w:rsidRDefault="00EF30D2" w:rsidP="00EF30D2">
      <w:pPr>
        <w:ind w:left="709"/>
        <w:rPr>
          <w:sz w:val="24"/>
          <w:szCs w:val="24"/>
          <w:lang w:val="en-US"/>
        </w:rPr>
      </w:pPr>
      <w:r w:rsidRPr="00AF5798">
        <w:rPr>
          <w:sz w:val="24"/>
          <w:szCs w:val="24"/>
          <w:lang w:val="en-US"/>
        </w:rPr>
        <w:t xml:space="preserve">Others will be missing out on various of the piecemeal elements – for example, due to stringent eligibility criteria, sanctions, lack of awareness, or receiving the message loud and clear not to ask for more </w:t>
      </w:r>
      <w:proofErr w:type="spellStart"/>
      <w:r w:rsidRPr="00AF5798">
        <w:rPr>
          <w:sz w:val="24"/>
          <w:szCs w:val="24"/>
          <w:lang w:val="en-US"/>
        </w:rPr>
        <w:t>any more</w:t>
      </w:r>
      <w:proofErr w:type="spellEnd"/>
      <w:r w:rsidRPr="00AF5798">
        <w:rPr>
          <w:sz w:val="24"/>
          <w:szCs w:val="24"/>
          <w:lang w:val="en-US"/>
        </w:rPr>
        <w:t xml:space="preserve"> – very often with dire results.</w:t>
      </w:r>
    </w:p>
    <w:p w14:paraId="5D21C34A" w14:textId="02137339" w:rsidR="00EF30D2" w:rsidRPr="00AF5798" w:rsidRDefault="00EF30D2" w:rsidP="00EF30D2">
      <w:pPr>
        <w:pStyle w:val="ListParagraph"/>
        <w:numPr>
          <w:ilvl w:val="0"/>
          <w:numId w:val="19"/>
        </w:numPr>
        <w:rPr>
          <w:sz w:val="24"/>
          <w:szCs w:val="24"/>
        </w:rPr>
      </w:pPr>
      <w:r w:rsidRPr="00AF5798">
        <w:rPr>
          <w:sz w:val="24"/>
          <w:szCs w:val="24"/>
          <w:lang w:val="en-US"/>
        </w:rPr>
        <w:t>Despite the doubled 2020 Winter Energy Payment, in a survey conducted in August-September 2020 (before the WEP period ended), n</w:t>
      </w:r>
      <w:proofErr w:type="spellStart"/>
      <w:r w:rsidRPr="00AF5798">
        <w:rPr>
          <w:sz w:val="24"/>
          <w:szCs w:val="24"/>
        </w:rPr>
        <w:t>early</w:t>
      </w:r>
      <w:proofErr w:type="spellEnd"/>
      <w:r w:rsidRPr="00AF5798">
        <w:rPr>
          <w:sz w:val="24"/>
          <w:szCs w:val="24"/>
        </w:rPr>
        <w:t xml:space="preserve"> half of the respondents receiving main benefits (44 percent) reported that </w:t>
      </w:r>
      <w:r w:rsidRPr="00AF5798">
        <w:rPr>
          <w:b/>
          <w:bCs/>
          <w:sz w:val="24"/>
          <w:szCs w:val="24"/>
        </w:rPr>
        <w:t xml:space="preserve">the frequency with which they were unable to meet basic household costs had </w:t>
      </w:r>
      <w:r w:rsidRPr="00AF5798">
        <w:rPr>
          <w:b/>
          <w:bCs/>
          <w:i/>
          <w:iCs/>
          <w:sz w:val="24"/>
          <w:szCs w:val="24"/>
        </w:rPr>
        <w:t>increased</w:t>
      </w:r>
      <w:r w:rsidRPr="00AF5798">
        <w:rPr>
          <w:b/>
          <w:bCs/>
          <w:sz w:val="24"/>
          <w:szCs w:val="24"/>
        </w:rPr>
        <w:t xml:space="preserve"> since the Covid-19 lockdown</w:t>
      </w:r>
      <w:r w:rsidRPr="00AF5798">
        <w:rPr>
          <w:sz w:val="24"/>
          <w:szCs w:val="24"/>
        </w:rPr>
        <w:t>; only 12% reported their ability to meet those costs had decreased (</w:t>
      </w:r>
      <w:proofErr w:type="spellStart"/>
      <w:r w:rsidR="001A2EA4">
        <w:fldChar w:fldCharType="begin"/>
      </w:r>
      <w:r w:rsidR="001A2EA4">
        <w:instrText xml:space="preserve"> HYPERLINK "https://www.cpag.org.nz/assets/Covid%2019%20survey%20report%2012%20October%20final.pdf" </w:instrText>
      </w:r>
      <w:r w:rsidR="001A2EA4">
        <w:fldChar w:fldCharType="separate"/>
      </w:r>
      <w:r w:rsidRPr="00AF5798">
        <w:rPr>
          <w:rStyle w:val="Hyperlink"/>
          <w:sz w:val="24"/>
          <w:szCs w:val="24"/>
        </w:rPr>
        <w:t>Humpage</w:t>
      </w:r>
      <w:proofErr w:type="spellEnd"/>
      <w:r w:rsidRPr="00AF5798">
        <w:rPr>
          <w:rStyle w:val="Hyperlink"/>
          <w:sz w:val="24"/>
          <w:szCs w:val="24"/>
        </w:rPr>
        <w:t xml:space="preserve"> &amp; </w:t>
      </w:r>
      <w:proofErr w:type="spellStart"/>
      <w:r w:rsidRPr="00AF5798">
        <w:rPr>
          <w:rStyle w:val="Hyperlink"/>
          <w:sz w:val="24"/>
          <w:szCs w:val="24"/>
        </w:rPr>
        <w:t>Neuwelt</w:t>
      </w:r>
      <w:proofErr w:type="spellEnd"/>
      <w:r w:rsidRPr="00AF5798">
        <w:rPr>
          <w:rStyle w:val="Hyperlink"/>
          <w:sz w:val="24"/>
          <w:szCs w:val="24"/>
        </w:rPr>
        <w:t>-Kearns, 2020</w:t>
      </w:r>
      <w:r w:rsidR="001A2EA4">
        <w:rPr>
          <w:rStyle w:val="Hyperlink"/>
          <w:sz w:val="24"/>
          <w:szCs w:val="24"/>
        </w:rPr>
        <w:fldChar w:fldCharType="end"/>
      </w:r>
      <w:r w:rsidRPr="00AF5798">
        <w:rPr>
          <w:sz w:val="24"/>
          <w:szCs w:val="24"/>
        </w:rPr>
        <w:t xml:space="preserve">). This is in line with </w:t>
      </w:r>
      <w:proofErr w:type="spellStart"/>
      <w:r w:rsidRPr="00AF5798">
        <w:rPr>
          <w:sz w:val="24"/>
          <w:szCs w:val="24"/>
        </w:rPr>
        <w:t>StatsNZ’s</w:t>
      </w:r>
      <w:proofErr w:type="spellEnd"/>
      <w:r w:rsidRPr="00AF5798">
        <w:rPr>
          <w:sz w:val="24"/>
          <w:szCs w:val="24"/>
        </w:rPr>
        <w:t xml:space="preserve"> </w:t>
      </w:r>
      <w:r w:rsidR="00687A23">
        <w:rPr>
          <w:sz w:val="24"/>
          <w:szCs w:val="24"/>
        </w:rPr>
        <w:t>household living-costs price index (</w:t>
      </w:r>
      <w:r w:rsidRPr="00AF5798">
        <w:rPr>
          <w:sz w:val="24"/>
          <w:szCs w:val="24"/>
        </w:rPr>
        <w:t>HLPIs</w:t>
      </w:r>
      <w:r w:rsidR="00687A23">
        <w:rPr>
          <w:sz w:val="24"/>
          <w:szCs w:val="24"/>
        </w:rPr>
        <w:t>)</w:t>
      </w:r>
      <w:r w:rsidRPr="00AF5798">
        <w:rPr>
          <w:sz w:val="24"/>
          <w:szCs w:val="24"/>
        </w:rPr>
        <w:t xml:space="preserve"> for beneficiaries, which rose at 2.5 times the rate for all households in the year ended September 2020 (2% vs 0.8%</w:t>
      </w:r>
      <w:r>
        <w:rPr>
          <w:sz w:val="24"/>
          <w:szCs w:val="24"/>
        </w:rPr>
        <w:t>; Fallow, 2020</w:t>
      </w:r>
      <w:r w:rsidRPr="00AF5798">
        <w:rPr>
          <w:sz w:val="24"/>
          <w:szCs w:val="24"/>
        </w:rPr>
        <w:t>)</w:t>
      </w:r>
      <w:r>
        <w:rPr>
          <w:sz w:val="24"/>
          <w:szCs w:val="24"/>
        </w:rPr>
        <w:t>.</w:t>
      </w:r>
    </w:p>
    <w:p w14:paraId="5FEF5E39" w14:textId="77777777" w:rsidR="007D7FC9" w:rsidRDefault="007D7FC9" w:rsidP="0038672A">
      <w:pPr>
        <w:pStyle w:val="ListParagraph"/>
        <w:ind w:left="0"/>
        <w:contextualSpacing w:val="0"/>
        <w:rPr>
          <w:i/>
          <w:iCs/>
          <w:sz w:val="20"/>
          <w:szCs w:val="20"/>
          <w:lang w:val="en-US"/>
        </w:rPr>
      </w:pPr>
    </w:p>
    <w:p w14:paraId="66A551A4" w14:textId="77777777" w:rsidR="00D54986" w:rsidRDefault="00D54986">
      <w:pPr>
        <w:rPr>
          <w:sz w:val="36"/>
          <w:szCs w:val="36"/>
          <w:lang w:val="en-US"/>
        </w:rPr>
      </w:pPr>
      <w:r>
        <w:rPr>
          <w:sz w:val="36"/>
          <w:szCs w:val="36"/>
          <w:lang w:val="en-US"/>
        </w:rPr>
        <w:br w:type="page"/>
      </w:r>
    </w:p>
    <w:p w14:paraId="327CDBB6" w14:textId="4C68AC43" w:rsidR="007D7FC9" w:rsidRPr="007D7FC9" w:rsidRDefault="007D7FC9">
      <w:pPr>
        <w:rPr>
          <w:sz w:val="36"/>
          <w:szCs w:val="36"/>
          <w:lang w:val="en-US"/>
        </w:rPr>
      </w:pPr>
      <w:r w:rsidRPr="007D7FC9">
        <w:rPr>
          <w:sz w:val="36"/>
          <w:szCs w:val="36"/>
          <w:lang w:val="en-US"/>
        </w:rPr>
        <w:lastRenderedPageBreak/>
        <w:t>References</w:t>
      </w:r>
    </w:p>
    <w:p w14:paraId="64F54FCD" w14:textId="77777777" w:rsidR="00D54986" w:rsidRPr="00493F9A" w:rsidRDefault="00D54986" w:rsidP="00493F9A">
      <w:pPr>
        <w:pStyle w:val="ListParagraph"/>
        <w:spacing w:after="40" w:line="240" w:lineRule="auto"/>
        <w:ind w:left="270" w:hanging="180"/>
        <w:contextualSpacing w:val="0"/>
        <w:rPr>
          <w:rFonts w:ascii="Calibri" w:hAnsi="Calibri" w:cs="Calibri"/>
        </w:rPr>
      </w:pPr>
      <w:r w:rsidRPr="00493F9A">
        <w:rPr>
          <w:rFonts w:ascii="Calibri" w:hAnsi="Calibri" w:cs="Calibri"/>
        </w:rPr>
        <w:t xml:space="preserve">1news (2020) “Children's Commissioner says too many Kiwi kids leaving school to help </w:t>
      </w:r>
      <w:proofErr w:type="spellStart"/>
      <w:r w:rsidRPr="00493F9A">
        <w:rPr>
          <w:rFonts w:ascii="Calibri" w:hAnsi="Calibri" w:cs="Calibri"/>
        </w:rPr>
        <w:t>whānau</w:t>
      </w:r>
      <w:proofErr w:type="spellEnd"/>
      <w:r w:rsidRPr="00493F9A">
        <w:rPr>
          <w:rFonts w:ascii="Calibri" w:hAnsi="Calibri" w:cs="Calibri"/>
        </w:rPr>
        <w:t xml:space="preserve"> with Covid-19 financial burdens” 19 August 2020, TVNZ. </w:t>
      </w:r>
      <w:hyperlink r:id="rId35" w:history="1">
        <w:r w:rsidRPr="00493F9A">
          <w:rPr>
            <w:rStyle w:val="Hyperlink"/>
            <w:rFonts w:ascii="Calibri" w:hAnsi="Calibri" w:cs="Calibri"/>
          </w:rPr>
          <w:t>https://www.tvnz.co.nz/one-news/new-zealand/childrenscommissioner-says-too-many-kiwi-kids-leaving-school-help-wh-nau-covid-19-financial-burdens</w:t>
        </w:r>
      </w:hyperlink>
      <w:r w:rsidRPr="00493F9A">
        <w:rPr>
          <w:rFonts w:ascii="Calibri" w:hAnsi="Calibri" w:cs="Calibri"/>
        </w:rPr>
        <w:t xml:space="preserve">  </w:t>
      </w:r>
    </w:p>
    <w:p w14:paraId="03C02CC4" w14:textId="50AA517B" w:rsidR="00D54986" w:rsidRPr="00493F9A" w:rsidRDefault="00D54986" w:rsidP="00493F9A">
      <w:pPr>
        <w:pStyle w:val="ListParagraph"/>
        <w:spacing w:after="40" w:line="240" w:lineRule="auto"/>
        <w:ind w:left="270" w:hanging="180"/>
        <w:contextualSpacing w:val="0"/>
        <w:rPr>
          <w:rFonts w:ascii="Calibri" w:hAnsi="Calibri" w:cs="Calibri"/>
        </w:rPr>
      </w:pPr>
      <w:r w:rsidRPr="00493F9A">
        <w:rPr>
          <w:rFonts w:ascii="Calibri" w:hAnsi="Calibri" w:cs="Calibri"/>
        </w:rPr>
        <w:t xml:space="preserve">Biddle, D.L. (2020) “The </w:t>
      </w:r>
      <w:proofErr w:type="spellStart"/>
      <w:r w:rsidRPr="00493F9A">
        <w:rPr>
          <w:rFonts w:ascii="Calibri" w:hAnsi="Calibri" w:cs="Calibri"/>
        </w:rPr>
        <w:t>Covid</w:t>
      </w:r>
      <w:proofErr w:type="spellEnd"/>
      <w:r w:rsidRPr="00493F9A">
        <w:rPr>
          <w:rFonts w:ascii="Calibri" w:hAnsi="Calibri" w:cs="Calibri"/>
        </w:rPr>
        <w:t xml:space="preserve"> Diaries: Kia Aroha College, the students forgotten during lockdown” 16 August 2020, Stuff. </w:t>
      </w:r>
      <w:hyperlink r:id="rId36" w:history="1">
        <w:r w:rsidRPr="00493F9A">
          <w:rPr>
            <w:rStyle w:val="Hyperlink"/>
            <w:rFonts w:ascii="Calibri" w:hAnsi="Calibri" w:cs="Calibri"/>
          </w:rPr>
          <w:t>https://www.stuff.co.nz/national/122188758/the-covid-diaries-kia-aroha-college-the-students-forgottenduring-lockdown</w:t>
        </w:r>
      </w:hyperlink>
    </w:p>
    <w:p w14:paraId="3104C555" w14:textId="1BE83E13" w:rsidR="001A2EA4" w:rsidRPr="00493F9A" w:rsidRDefault="001A2EA4" w:rsidP="00493F9A">
      <w:pPr>
        <w:pStyle w:val="ListParagraph"/>
        <w:spacing w:after="40" w:line="240" w:lineRule="auto"/>
        <w:ind w:left="270" w:hanging="180"/>
        <w:contextualSpacing w:val="0"/>
        <w:rPr>
          <w:rFonts w:ascii="Calibri" w:hAnsi="Calibri" w:cs="Calibri"/>
        </w:rPr>
      </w:pPr>
      <w:r w:rsidRPr="00493F9A">
        <w:rPr>
          <w:rFonts w:ascii="Calibri" w:hAnsi="Calibri" w:cs="Calibri"/>
        </w:rPr>
        <w:t xml:space="preserve">Corlett, E. (2020) Homeless youth 'not able to get the support they need'. RNZ. </w:t>
      </w:r>
      <w:hyperlink r:id="rId37" w:history="1">
        <w:r w:rsidRPr="00493F9A">
          <w:rPr>
            <w:rStyle w:val="Hyperlink"/>
            <w:rFonts w:ascii="Calibri" w:hAnsi="Calibri" w:cs="Calibri"/>
          </w:rPr>
          <w:t>https://www.rnz.co.nz/news/national/428193/homeless-youth-not-able-to-get-the-support-they-need</w:t>
        </w:r>
      </w:hyperlink>
      <w:r w:rsidRPr="00493F9A">
        <w:rPr>
          <w:rFonts w:ascii="Calibri" w:hAnsi="Calibri" w:cs="Calibri"/>
        </w:rPr>
        <w:t xml:space="preserve"> </w:t>
      </w:r>
    </w:p>
    <w:p w14:paraId="130B9E33" w14:textId="07A2D33D" w:rsidR="00D54986" w:rsidRPr="00493F9A" w:rsidRDefault="003A301B" w:rsidP="00493F9A">
      <w:pPr>
        <w:pStyle w:val="ListParagraph"/>
        <w:spacing w:after="40" w:line="240" w:lineRule="auto"/>
        <w:ind w:left="270" w:hanging="180"/>
        <w:contextualSpacing w:val="0"/>
        <w:rPr>
          <w:rFonts w:ascii="Calibri" w:hAnsi="Calibri" w:cs="Calibri"/>
          <w:lang w:val="en-US"/>
        </w:rPr>
      </w:pPr>
      <w:r w:rsidRPr="00D86119">
        <w:rPr>
          <w:rFonts w:ascii="Calibri" w:hAnsi="Calibri" w:cs="Calibri"/>
          <w:lang w:val="en-US"/>
        </w:rPr>
        <w:t xml:space="preserve">CPAG (2020c). </w:t>
      </w:r>
      <w:r w:rsidRPr="00493F9A">
        <w:rPr>
          <w:rFonts w:ascii="Calibri" w:hAnsi="Calibri" w:cs="Calibri"/>
          <w:b/>
          <w:bCs/>
          <w:lang w:val="en-US"/>
        </w:rPr>
        <w:t>“</w:t>
      </w:r>
      <w:r w:rsidRPr="00493F9A">
        <w:rPr>
          <w:rFonts w:ascii="Calibri" w:hAnsi="Calibri" w:cs="Calibri"/>
        </w:rPr>
        <w:t>A scenario for changes in child poverty rates from the COVID-19 recession.” Child Poverty Action Group.</w:t>
      </w:r>
      <w:r w:rsidR="00685C06" w:rsidRPr="00493F9A">
        <w:rPr>
          <w:rFonts w:ascii="Calibri" w:hAnsi="Calibri" w:cs="Calibri"/>
        </w:rPr>
        <w:t xml:space="preserve"> </w:t>
      </w:r>
      <w:hyperlink r:id="rId38" w:history="1">
        <w:r w:rsidR="00685C06" w:rsidRPr="00493F9A">
          <w:rPr>
            <w:rStyle w:val="Hyperlink"/>
            <w:rFonts w:ascii="Calibri" w:hAnsi="Calibri" w:cs="Calibri"/>
          </w:rPr>
          <w:t>https://www.cpag.org.nz/assets/Backgrounders/CPAG%20Child%20Poverty%20Forecasts%20background%20paper%20June%202020%20FINAL.pdf</w:t>
        </w:r>
      </w:hyperlink>
      <w:r w:rsidRPr="00493F9A">
        <w:rPr>
          <w:rFonts w:ascii="Calibri" w:hAnsi="Calibri" w:cs="Calibri"/>
        </w:rPr>
        <w:t xml:space="preserve"> </w:t>
      </w:r>
    </w:p>
    <w:p w14:paraId="510ACB59" w14:textId="3BCB9889" w:rsidR="00D54986" w:rsidRPr="00493F9A" w:rsidRDefault="00D54986" w:rsidP="00493F9A">
      <w:pPr>
        <w:pStyle w:val="ListParagraph"/>
        <w:spacing w:after="40" w:line="240" w:lineRule="auto"/>
        <w:ind w:left="270" w:hanging="180"/>
        <w:contextualSpacing w:val="0"/>
        <w:rPr>
          <w:rFonts w:ascii="Calibri" w:hAnsi="Calibri" w:cs="Calibri"/>
          <w:lang w:val="en-US"/>
        </w:rPr>
      </w:pPr>
      <w:r w:rsidRPr="00493F9A">
        <w:rPr>
          <w:rFonts w:ascii="Calibri" w:hAnsi="Calibri" w:cs="Calibri"/>
        </w:rPr>
        <w:t xml:space="preserve">Fallow, </w:t>
      </w:r>
      <w:r w:rsidR="00685C06" w:rsidRPr="00493F9A">
        <w:rPr>
          <w:rFonts w:ascii="Calibri" w:hAnsi="Calibri" w:cs="Calibri"/>
        </w:rPr>
        <w:t>B. (</w:t>
      </w:r>
      <w:r w:rsidRPr="00493F9A">
        <w:rPr>
          <w:rFonts w:ascii="Calibri" w:hAnsi="Calibri" w:cs="Calibri"/>
        </w:rPr>
        <w:t>2020</w:t>
      </w:r>
      <w:r w:rsidR="00685C06" w:rsidRPr="00493F9A">
        <w:rPr>
          <w:rFonts w:ascii="Calibri" w:hAnsi="Calibri" w:cs="Calibri"/>
        </w:rPr>
        <w:t xml:space="preserve">) “Government could help the kids - and hit the landlords” NZ Herald. https://www.nzherald.co.nz/business/brian-fallow-government-could-help-the-kids-and-hit-the-landlords/Q7ZSYTMNESB5GD64R5EGO7WT6E/ </w:t>
      </w:r>
    </w:p>
    <w:p w14:paraId="3FB6A5D4" w14:textId="521CC716" w:rsidR="00305BFA" w:rsidRDefault="00305BFA" w:rsidP="00493F9A">
      <w:pPr>
        <w:pStyle w:val="ListParagraph"/>
        <w:spacing w:after="40" w:line="240" w:lineRule="auto"/>
        <w:ind w:left="270" w:hanging="180"/>
        <w:contextualSpacing w:val="0"/>
      </w:pPr>
      <w:r>
        <w:t xml:space="preserve">Health and Disability System Review </w:t>
      </w:r>
      <w:r>
        <w:t>(</w:t>
      </w:r>
      <w:r>
        <w:t>2020</w:t>
      </w:r>
      <w:r>
        <w:t>)</w:t>
      </w:r>
      <w:r>
        <w:t xml:space="preserve">. </w:t>
      </w:r>
      <w:r w:rsidRPr="00305BFA">
        <w:rPr>
          <w:i/>
          <w:iCs/>
        </w:rPr>
        <w:t xml:space="preserve">Health and Disability System Review – Final Report – </w:t>
      </w:r>
      <w:proofErr w:type="spellStart"/>
      <w:r w:rsidRPr="00305BFA">
        <w:rPr>
          <w:i/>
          <w:iCs/>
        </w:rPr>
        <w:t>Pūrongo</w:t>
      </w:r>
      <w:proofErr w:type="spellEnd"/>
      <w:r w:rsidRPr="00305BFA">
        <w:rPr>
          <w:i/>
          <w:iCs/>
        </w:rPr>
        <w:t xml:space="preserve"> </w:t>
      </w:r>
      <w:proofErr w:type="spellStart"/>
      <w:r w:rsidRPr="00305BFA">
        <w:rPr>
          <w:i/>
          <w:iCs/>
        </w:rPr>
        <w:t>Whakamutunga</w:t>
      </w:r>
      <w:proofErr w:type="spellEnd"/>
      <w:r>
        <w:t>. Wellington: HDSR</w:t>
      </w:r>
      <w:r>
        <w:t xml:space="preserve"> </w:t>
      </w:r>
      <w:hyperlink r:id="rId39" w:history="1">
        <w:r w:rsidRPr="008A5AF7">
          <w:rPr>
            <w:rStyle w:val="Hyperlink"/>
          </w:rPr>
          <w:t>https://systemreview.health.govt.nz/assets/Uploads/hdsr/health-disability-system-review-final-report.pdf</w:t>
        </w:r>
      </w:hyperlink>
      <w:r>
        <w:t xml:space="preserve"> </w:t>
      </w:r>
    </w:p>
    <w:p w14:paraId="3748606A" w14:textId="0A10C087" w:rsidR="00D54986" w:rsidRPr="00493F9A" w:rsidRDefault="004844C1" w:rsidP="00493F9A">
      <w:pPr>
        <w:pStyle w:val="ListParagraph"/>
        <w:spacing w:after="40" w:line="240" w:lineRule="auto"/>
        <w:ind w:left="270" w:hanging="180"/>
        <w:contextualSpacing w:val="0"/>
        <w:rPr>
          <w:rFonts w:ascii="Calibri" w:hAnsi="Calibri" w:cs="Calibri"/>
          <w:i/>
          <w:iCs/>
        </w:rPr>
      </w:pPr>
      <w:hyperlink r:id="rId40" w:history="1">
        <w:r w:rsidR="00D54986" w:rsidRPr="00493F9A">
          <w:rPr>
            <w:rStyle w:val="Hyperlink"/>
            <w:rFonts w:ascii="Calibri" w:hAnsi="Calibri" w:cs="Calibri"/>
          </w:rPr>
          <w:t>Humpage</w:t>
        </w:r>
        <w:r w:rsidR="00685C06" w:rsidRPr="00493F9A">
          <w:rPr>
            <w:rStyle w:val="Hyperlink"/>
            <w:rFonts w:ascii="Calibri" w:hAnsi="Calibri" w:cs="Calibri"/>
          </w:rPr>
          <w:t>, L.</w:t>
        </w:r>
        <w:r w:rsidR="00D54986" w:rsidRPr="00493F9A">
          <w:rPr>
            <w:rStyle w:val="Hyperlink"/>
            <w:rFonts w:ascii="Calibri" w:hAnsi="Calibri" w:cs="Calibri"/>
          </w:rPr>
          <w:t xml:space="preserve"> &amp; Neuwelt-Kearns, </w:t>
        </w:r>
        <w:r w:rsidR="00685C06" w:rsidRPr="00493F9A">
          <w:rPr>
            <w:rStyle w:val="Hyperlink"/>
            <w:rFonts w:ascii="Calibri" w:hAnsi="Calibri" w:cs="Calibri"/>
          </w:rPr>
          <w:t>C. (</w:t>
        </w:r>
        <w:r w:rsidR="00D54986" w:rsidRPr="00493F9A">
          <w:rPr>
            <w:rStyle w:val="Hyperlink"/>
            <w:rFonts w:ascii="Calibri" w:hAnsi="Calibri" w:cs="Calibri"/>
          </w:rPr>
          <w:t>2020</w:t>
        </w:r>
      </w:hyperlink>
      <w:r w:rsidR="00685C06" w:rsidRPr="00493F9A">
        <w:rPr>
          <w:rFonts w:ascii="Calibri" w:hAnsi="Calibri" w:cs="Calibri"/>
        </w:rPr>
        <w:t xml:space="preserve">) Income support in the wake of Covid-19: survey. University of Auckland, CPAG, AAAP and First Union. </w:t>
      </w:r>
      <w:hyperlink r:id="rId41" w:history="1">
        <w:r w:rsidR="00685C06" w:rsidRPr="00493F9A">
          <w:rPr>
            <w:rStyle w:val="Hyperlink"/>
            <w:rFonts w:ascii="Calibri" w:hAnsi="Calibri" w:cs="Calibri"/>
          </w:rPr>
          <w:t>https://www.cpag.org.nz/assets/Covid%2019%20survey%20report%2012%20October%20final.pdf</w:t>
        </w:r>
      </w:hyperlink>
      <w:r w:rsidR="00685C06" w:rsidRPr="00493F9A">
        <w:rPr>
          <w:rFonts w:ascii="Calibri" w:hAnsi="Calibri" w:cs="Calibri"/>
        </w:rPr>
        <w:t xml:space="preserve"> </w:t>
      </w:r>
    </w:p>
    <w:p w14:paraId="430D3534" w14:textId="0BF643A2" w:rsidR="00D54986" w:rsidRPr="00493F9A" w:rsidRDefault="00685C06" w:rsidP="00493F9A">
      <w:pPr>
        <w:spacing w:after="40" w:line="240" w:lineRule="auto"/>
        <w:ind w:left="270" w:hanging="180"/>
        <w:rPr>
          <w:rFonts w:ascii="Calibri" w:hAnsi="Calibri" w:cs="Calibri"/>
        </w:rPr>
      </w:pPr>
      <w:r w:rsidRPr="00493F9A">
        <w:rPr>
          <w:rFonts w:ascii="Calibri" w:hAnsi="Calibri" w:cs="Calibri"/>
        </w:rPr>
        <w:t xml:space="preserve">Poulton, R. et al., 2002. Association between children’s experience of socioeconomic disadvantage and adult health: a life-course study. Lancet, 360(9346), pp.1640–1645. </w:t>
      </w:r>
    </w:p>
    <w:p w14:paraId="0B37A97F" w14:textId="77777777" w:rsidR="00685C06" w:rsidRPr="00493F9A" w:rsidRDefault="00685C06" w:rsidP="00493F9A">
      <w:pPr>
        <w:spacing w:after="40" w:line="240" w:lineRule="auto"/>
        <w:ind w:left="270" w:hanging="180"/>
        <w:rPr>
          <w:rFonts w:ascii="Calibri" w:hAnsi="Calibri" w:cs="Calibri"/>
        </w:rPr>
      </w:pPr>
      <w:r w:rsidRPr="00493F9A">
        <w:rPr>
          <w:rFonts w:ascii="Calibri" w:hAnsi="Calibri" w:cs="Calibri"/>
        </w:rPr>
        <w:t xml:space="preserve">Manaaki </w:t>
      </w:r>
      <w:proofErr w:type="spellStart"/>
      <w:r w:rsidRPr="00493F9A">
        <w:rPr>
          <w:rFonts w:ascii="Calibri" w:hAnsi="Calibri" w:cs="Calibri"/>
        </w:rPr>
        <w:t>Rangatahi</w:t>
      </w:r>
      <w:proofErr w:type="spellEnd"/>
      <w:r w:rsidRPr="00493F9A">
        <w:rPr>
          <w:rFonts w:ascii="Calibri" w:hAnsi="Calibri" w:cs="Calibri"/>
        </w:rPr>
        <w:t xml:space="preserve"> (2020) “Manaaki </w:t>
      </w:r>
      <w:proofErr w:type="spellStart"/>
      <w:r w:rsidRPr="00493F9A">
        <w:rPr>
          <w:rFonts w:ascii="Calibri" w:hAnsi="Calibri" w:cs="Calibri"/>
        </w:rPr>
        <w:t>Rangatahi</w:t>
      </w:r>
      <w:proofErr w:type="spellEnd"/>
      <w:r w:rsidRPr="00493F9A">
        <w:rPr>
          <w:rFonts w:ascii="Calibri" w:hAnsi="Calibri" w:cs="Calibri"/>
        </w:rPr>
        <w:t xml:space="preserve"> Finds Youth Left Out In The Cold” 18 August 2020, Scoop Media. </w:t>
      </w:r>
      <w:hyperlink r:id="rId42" w:history="1">
        <w:r w:rsidRPr="00493F9A">
          <w:rPr>
            <w:rStyle w:val="Hyperlink"/>
            <w:rFonts w:ascii="Calibri" w:hAnsi="Calibri" w:cs="Calibri"/>
          </w:rPr>
          <w:t>https://www.scoop.co.nz/stories/PO2008/S00227/manaaki-rangatahi-finds-youth-left-out-in-thecold.htm</w:t>
        </w:r>
      </w:hyperlink>
      <w:r w:rsidRPr="00493F9A">
        <w:rPr>
          <w:rFonts w:ascii="Calibri" w:hAnsi="Calibri" w:cs="Calibri"/>
        </w:rPr>
        <w:t xml:space="preserve">  </w:t>
      </w:r>
    </w:p>
    <w:p w14:paraId="2EE37461" w14:textId="141DFF29" w:rsidR="00685C06" w:rsidRPr="00493F9A" w:rsidRDefault="00685C06" w:rsidP="00493F9A">
      <w:pPr>
        <w:spacing w:after="40" w:line="240" w:lineRule="auto"/>
        <w:ind w:left="270" w:hanging="180"/>
        <w:rPr>
          <w:rFonts w:ascii="Calibri" w:hAnsi="Calibri" w:cs="Calibri"/>
        </w:rPr>
      </w:pPr>
      <w:r w:rsidRPr="00493F9A">
        <w:rPr>
          <w:rFonts w:ascii="Calibri" w:hAnsi="Calibri" w:cs="Calibri"/>
        </w:rPr>
        <w:t xml:space="preserve">Martin, H. (2020) “Coronavirus: Auckland City Mission faces 175% rise in demand for food parcels” 10 August 2020. Stuff. </w:t>
      </w:r>
      <w:hyperlink r:id="rId43" w:history="1">
        <w:r w:rsidRPr="00493F9A">
          <w:rPr>
            <w:rStyle w:val="Hyperlink"/>
            <w:rFonts w:ascii="Calibri" w:hAnsi="Calibri" w:cs="Calibri"/>
          </w:rPr>
          <w:t>https://www.stuff.co.nz/national/300077507/coronavirus-auckland-city-mission-faces-175- rise-in-demand-for-food-parcels</w:t>
        </w:r>
      </w:hyperlink>
      <w:r w:rsidRPr="00493F9A">
        <w:rPr>
          <w:rFonts w:ascii="Calibri" w:hAnsi="Calibri" w:cs="Calibri"/>
        </w:rPr>
        <w:t xml:space="preserve"> </w:t>
      </w:r>
    </w:p>
    <w:p w14:paraId="3A75FF7A" w14:textId="77777777" w:rsidR="00687A23" w:rsidRPr="00493F9A" w:rsidRDefault="00687A23" w:rsidP="00687A23">
      <w:pPr>
        <w:shd w:val="clear" w:color="auto" w:fill="FFFFFF"/>
        <w:spacing w:after="40" w:line="240" w:lineRule="auto"/>
        <w:ind w:left="270" w:hanging="180"/>
        <w:rPr>
          <w:rFonts w:ascii="Calibri" w:eastAsia="Times New Roman" w:hAnsi="Calibri" w:cs="Calibri"/>
          <w:lang w:eastAsia="en-NZ"/>
        </w:rPr>
      </w:pPr>
      <w:r w:rsidRPr="00493F9A">
        <w:rPr>
          <w:rFonts w:ascii="Calibri" w:eastAsia="Times New Roman" w:hAnsi="Calibri" w:cs="Calibri"/>
          <w:lang w:eastAsia="en-NZ"/>
        </w:rPr>
        <w:t>McAllister, J.</w:t>
      </w:r>
      <w:r>
        <w:rPr>
          <w:rFonts w:ascii="Calibri" w:eastAsia="Times New Roman" w:hAnsi="Calibri" w:cs="Calibri"/>
          <w:lang w:eastAsia="en-NZ"/>
        </w:rPr>
        <w:t xml:space="preserve"> (2020) </w:t>
      </w:r>
      <w:r w:rsidRPr="00493F9A">
        <w:rPr>
          <w:rFonts w:ascii="Calibri" w:eastAsia="Times New Roman" w:hAnsi="Calibri" w:cs="Calibri"/>
          <w:lang w:eastAsia="en-NZ"/>
        </w:rPr>
        <w:t xml:space="preserve"> ‘</w:t>
      </w:r>
      <w:r w:rsidRPr="00687A23">
        <w:rPr>
          <w:rFonts w:ascii="Calibri" w:eastAsia="Times New Roman" w:hAnsi="Calibri" w:cs="Calibri"/>
          <w:lang w:eastAsia="en-NZ"/>
        </w:rPr>
        <w:t>Sheltering our children from COVID-19 fallout:</w:t>
      </w:r>
      <w:r>
        <w:rPr>
          <w:rFonts w:ascii="Calibri" w:eastAsia="Times New Roman" w:hAnsi="Calibri" w:cs="Calibri"/>
          <w:lang w:eastAsia="en-NZ"/>
        </w:rPr>
        <w:t xml:space="preserve"> </w:t>
      </w:r>
      <w:r w:rsidRPr="00687A23">
        <w:rPr>
          <w:rFonts w:ascii="Calibri" w:eastAsia="Times New Roman" w:hAnsi="Calibri" w:cs="Calibri"/>
          <w:lang w:eastAsia="en-NZ"/>
        </w:rPr>
        <w:t>New Zealand must raise incomes for the financially</w:t>
      </w:r>
      <w:r>
        <w:rPr>
          <w:rFonts w:ascii="Calibri" w:eastAsia="Times New Roman" w:hAnsi="Calibri" w:cs="Calibri"/>
          <w:lang w:eastAsia="en-NZ"/>
        </w:rPr>
        <w:t xml:space="preserve"> </w:t>
      </w:r>
      <w:r w:rsidRPr="00687A23">
        <w:rPr>
          <w:rFonts w:ascii="Calibri" w:eastAsia="Times New Roman" w:hAnsi="Calibri" w:cs="Calibri"/>
          <w:lang w:eastAsia="en-NZ"/>
        </w:rPr>
        <w:t>vulnerable instead of cutting their incomes on 1 October</w:t>
      </w:r>
      <w:r>
        <w:rPr>
          <w:rFonts w:ascii="Calibri" w:eastAsia="Times New Roman" w:hAnsi="Calibri" w:cs="Calibri"/>
          <w:lang w:eastAsia="en-NZ"/>
        </w:rPr>
        <w:t xml:space="preserve"> </w:t>
      </w:r>
      <w:r w:rsidRPr="00687A23">
        <w:rPr>
          <w:rFonts w:ascii="Calibri" w:eastAsia="Times New Roman" w:hAnsi="Calibri" w:cs="Calibri"/>
          <w:lang w:eastAsia="en-NZ"/>
        </w:rPr>
        <w:t>2020 as planned</w:t>
      </w:r>
      <w:r w:rsidRPr="00493F9A">
        <w:rPr>
          <w:rFonts w:ascii="Calibri" w:eastAsia="Times New Roman" w:hAnsi="Calibri" w:cs="Calibri"/>
          <w:lang w:eastAsia="en-NZ"/>
        </w:rPr>
        <w:t xml:space="preserve">. Child Poverty Action Group </w:t>
      </w:r>
      <w:hyperlink r:id="rId44" w:history="1">
        <w:r w:rsidRPr="008A5AF7">
          <w:rPr>
            <w:rStyle w:val="Hyperlink"/>
          </w:rPr>
          <w:t>https://www.cpag.org.nz/assets/Sheltering%20Our%20Children%20from%20COVID19%20Fallout%2028%20Aug.pdf</w:t>
        </w:r>
      </w:hyperlink>
      <w:r>
        <w:t xml:space="preserve"> </w:t>
      </w:r>
    </w:p>
    <w:p w14:paraId="74BEBC32" w14:textId="78088F18" w:rsidR="00687A23" w:rsidRPr="00493F9A" w:rsidRDefault="00687A23" w:rsidP="00687A23">
      <w:pPr>
        <w:pStyle w:val="ListParagraph"/>
        <w:spacing w:after="40" w:line="240" w:lineRule="auto"/>
        <w:ind w:left="270" w:hanging="180"/>
        <w:contextualSpacing w:val="0"/>
        <w:rPr>
          <w:rFonts w:ascii="Calibri" w:hAnsi="Calibri" w:cs="Calibri"/>
        </w:rPr>
      </w:pPr>
      <w:proofErr w:type="spellStart"/>
      <w:r w:rsidRPr="00493F9A">
        <w:rPr>
          <w:rFonts w:ascii="Calibri" w:hAnsi="Calibri" w:cs="Calibri"/>
          <w:color w:val="222222"/>
          <w:shd w:val="clear" w:color="auto" w:fill="FFFFFF"/>
        </w:rPr>
        <w:t>Neuwelt</w:t>
      </w:r>
      <w:proofErr w:type="spellEnd"/>
      <w:r w:rsidRPr="00493F9A">
        <w:rPr>
          <w:rFonts w:ascii="Calibri" w:hAnsi="Calibri" w:cs="Calibri"/>
          <w:color w:val="222222"/>
          <w:shd w:val="clear" w:color="auto" w:fill="FFFFFF"/>
        </w:rPr>
        <w:t>-Kearns, C</w:t>
      </w:r>
      <w:r w:rsidR="0044404D">
        <w:rPr>
          <w:rFonts w:ascii="Calibri" w:hAnsi="Calibri" w:cs="Calibri"/>
          <w:color w:val="222222"/>
          <w:shd w:val="clear" w:color="auto" w:fill="FFFFFF"/>
        </w:rPr>
        <w:t>.</w:t>
      </w:r>
      <w:r w:rsidRPr="00493F9A">
        <w:rPr>
          <w:rFonts w:ascii="Calibri" w:hAnsi="Calibri" w:cs="Calibri"/>
          <w:color w:val="222222"/>
          <w:shd w:val="clear" w:color="auto" w:fill="FFFFFF"/>
        </w:rPr>
        <w:t>, S</w:t>
      </w:r>
      <w:r w:rsidR="0044404D">
        <w:rPr>
          <w:rFonts w:ascii="Calibri" w:hAnsi="Calibri" w:cs="Calibri"/>
          <w:color w:val="222222"/>
          <w:shd w:val="clear" w:color="auto" w:fill="FFFFFF"/>
        </w:rPr>
        <w:t>.</w:t>
      </w:r>
      <w:r w:rsidRPr="00493F9A">
        <w:rPr>
          <w:rFonts w:ascii="Calibri" w:hAnsi="Calibri" w:cs="Calibri"/>
          <w:color w:val="222222"/>
          <w:shd w:val="clear" w:color="auto" w:fill="FFFFFF"/>
        </w:rPr>
        <w:t xml:space="preserve"> Murray, J</w:t>
      </w:r>
      <w:r w:rsidR="0044404D">
        <w:rPr>
          <w:rFonts w:ascii="Calibri" w:hAnsi="Calibri" w:cs="Calibri"/>
          <w:color w:val="222222"/>
          <w:shd w:val="clear" w:color="auto" w:fill="FFFFFF"/>
        </w:rPr>
        <w:t>.</w:t>
      </w:r>
      <w:r w:rsidRPr="00493F9A">
        <w:rPr>
          <w:rFonts w:ascii="Calibri" w:hAnsi="Calibri" w:cs="Calibri"/>
          <w:color w:val="222222"/>
          <w:shd w:val="clear" w:color="auto" w:fill="FFFFFF"/>
        </w:rPr>
        <w:t xml:space="preserve"> Russell &amp; J</w:t>
      </w:r>
      <w:r w:rsidR="0044404D">
        <w:rPr>
          <w:rFonts w:ascii="Calibri" w:hAnsi="Calibri" w:cs="Calibri"/>
          <w:color w:val="222222"/>
          <w:shd w:val="clear" w:color="auto" w:fill="FFFFFF"/>
        </w:rPr>
        <w:t>.</w:t>
      </w:r>
      <w:r w:rsidRPr="00493F9A">
        <w:rPr>
          <w:rFonts w:ascii="Calibri" w:hAnsi="Calibri" w:cs="Calibri"/>
          <w:color w:val="222222"/>
          <w:shd w:val="clear" w:color="auto" w:fill="FFFFFF"/>
        </w:rPr>
        <w:t xml:space="preserve"> Lee</w:t>
      </w:r>
      <w:r>
        <w:rPr>
          <w:rFonts w:ascii="Calibri" w:hAnsi="Calibri" w:cs="Calibri"/>
          <w:color w:val="222222"/>
          <w:shd w:val="clear" w:color="auto" w:fill="FFFFFF"/>
        </w:rPr>
        <w:t xml:space="preserve"> (2020)</w:t>
      </w:r>
      <w:r w:rsidRPr="00493F9A">
        <w:rPr>
          <w:rFonts w:ascii="Calibri" w:hAnsi="Calibri" w:cs="Calibri"/>
          <w:color w:val="222222"/>
          <w:shd w:val="clear" w:color="auto" w:fill="FFFFFF"/>
        </w:rPr>
        <w:t xml:space="preserve">. "‘Living well’? Children with disability need far greater income support in Aotearoa.” Child Poverty Action Group. </w:t>
      </w:r>
      <w:hyperlink r:id="rId45" w:history="1">
        <w:r w:rsidRPr="00493F9A">
          <w:rPr>
            <w:rStyle w:val="Hyperlink"/>
            <w:rFonts w:ascii="Calibri" w:hAnsi="Calibri" w:cs="Calibri"/>
            <w:shd w:val="clear" w:color="auto" w:fill="FFFFFF"/>
          </w:rPr>
          <w:t>https://www.cpag.org.nz/assets/Living%20Well%20Children%20with%20disability%20need%20far%20greater%20income%20support%20in%20Aotearoa%20Sept%202020%20%281%29.pdf</w:t>
        </w:r>
      </w:hyperlink>
      <w:r w:rsidRPr="00493F9A">
        <w:rPr>
          <w:rFonts w:ascii="Calibri" w:hAnsi="Calibri" w:cs="Calibri"/>
          <w:color w:val="222222"/>
          <w:shd w:val="clear" w:color="auto" w:fill="FFFFFF"/>
        </w:rPr>
        <w:t xml:space="preserve"> </w:t>
      </w:r>
    </w:p>
    <w:p w14:paraId="26DDF8D1" w14:textId="2A17C2AE" w:rsidR="00D54986" w:rsidRPr="00493F9A" w:rsidRDefault="001A2EA4" w:rsidP="00493F9A">
      <w:pPr>
        <w:spacing w:after="40" w:line="240" w:lineRule="auto"/>
        <w:ind w:left="270" w:hanging="180"/>
        <w:rPr>
          <w:rFonts w:ascii="Calibri" w:hAnsi="Calibri" w:cs="Calibri"/>
        </w:rPr>
      </w:pPr>
      <w:r w:rsidRPr="00493F9A">
        <w:rPr>
          <w:rFonts w:ascii="Calibri" w:hAnsi="Calibri" w:cs="Calibri"/>
        </w:rPr>
        <w:t xml:space="preserve">Quinn, R. (2020) “Spike in rheumatic fever cases in Wellington” 25 May 2020, RNZ. </w:t>
      </w:r>
      <w:hyperlink r:id="rId46" w:history="1">
        <w:r w:rsidRPr="00493F9A">
          <w:rPr>
            <w:rStyle w:val="Hyperlink"/>
            <w:rFonts w:ascii="Calibri" w:hAnsi="Calibri" w:cs="Calibri"/>
          </w:rPr>
          <w:t>https://www.rnz.co.nz/news/national/417429/spike-in-rheumatic-fever-cases-in-wellington</w:t>
        </w:r>
      </w:hyperlink>
      <w:r w:rsidRPr="00493F9A">
        <w:rPr>
          <w:rFonts w:ascii="Calibri" w:hAnsi="Calibri" w:cs="Calibri"/>
        </w:rPr>
        <w:t xml:space="preserve"> </w:t>
      </w:r>
    </w:p>
    <w:p w14:paraId="1CA4C834" w14:textId="7D0424CF" w:rsidR="00D54986" w:rsidRPr="00493F9A" w:rsidRDefault="001A2EA4" w:rsidP="00493F9A">
      <w:pPr>
        <w:pStyle w:val="ListParagraph"/>
        <w:spacing w:after="40" w:line="240" w:lineRule="auto"/>
        <w:ind w:left="270" w:hanging="180"/>
        <w:contextualSpacing w:val="0"/>
        <w:rPr>
          <w:rFonts w:ascii="Calibri" w:hAnsi="Calibri" w:cs="Calibri"/>
          <w:i/>
          <w:iCs/>
        </w:rPr>
      </w:pPr>
      <w:r w:rsidRPr="00493F9A">
        <w:rPr>
          <w:rFonts w:ascii="Calibri" w:hAnsi="Calibri" w:cs="Calibri"/>
        </w:rPr>
        <w:t>MSD (2018) “</w:t>
      </w:r>
      <w:hyperlink r:id="rId47" w:history="1">
        <w:r w:rsidR="00D54986" w:rsidRPr="00493F9A">
          <w:rPr>
            <w:rStyle w:val="Hyperlink"/>
            <w:rFonts w:ascii="Calibri" w:hAnsi="Calibri" w:cs="Calibri"/>
          </w:rPr>
          <w:t>Rapid Evidence Review (RER) on the impact of poverty on life course outcomes for children</w:t>
        </w:r>
      </w:hyperlink>
      <w:r w:rsidRPr="00493F9A">
        <w:rPr>
          <w:rFonts w:ascii="Calibri" w:hAnsi="Calibri" w:cs="Calibri"/>
        </w:rPr>
        <w:t>”</w:t>
      </w:r>
      <w:r w:rsidR="00D54986" w:rsidRPr="00493F9A">
        <w:rPr>
          <w:rFonts w:ascii="Calibri" w:hAnsi="Calibri" w:cs="Calibri"/>
        </w:rPr>
        <w:t xml:space="preserve"> Ministry of Social Development</w:t>
      </w:r>
      <w:r w:rsidR="00D54986" w:rsidRPr="00493F9A">
        <w:rPr>
          <w:rFonts w:ascii="Calibri" w:hAnsi="Calibri" w:cs="Calibri"/>
          <w:i/>
          <w:iCs/>
        </w:rPr>
        <w:t>.</w:t>
      </w:r>
      <w:r w:rsidRPr="00493F9A">
        <w:rPr>
          <w:rFonts w:ascii="Calibri" w:hAnsi="Calibri" w:cs="Calibri"/>
          <w:i/>
          <w:iCs/>
        </w:rPr>
        <w:t xml:space="preserve"> </w:t>
      </w:r>
      <w:hyperlink r:id="rId48" w:history="1">
        <w:r w:rsidRPr="00493F9A">
          <w:rPr>
            <w:rStyle w:val="Hyperlink"/>
            <w:rFonts w:ascii="Calibri" w:hAnsi="Calibri" w:cs="Calibri"/>
          </w:rPr>
          <w:t>https://www.msd.govt.nz/documents/about-msd-and-our-work/publications-resources/information-releases/weag-report-release/rapid-evidence-</w:t>
        </w:r>
        <w:r w:rsidRPr="00493F9A">
          <w:rPr>
            <w:rStyle w:val="Hyperlink"/>
            <w:rFonts w:ascii="Calibri" w:hAnsi="Calibri" w:cs="Calibri"/>
          </w:rPr>
          <w:lastRenderedPageBreak/>
          <w:t>review-the-impact-of-poverty-on-life-course-outcomes-for-children-and-the-likely-effect-of-increasing-the-adequacy-of-welfare-benef.pdf</w:t>
        </w:r>
      </w:hyperlink>
      <w:r w:rsidRPr="00493F9A">
        <w:rPr>
          <w:rFonts w:ascii="Calibri" w:hAnsi="Calibri" w:cs="Calibri"/>
          <w:i/>
          <w:iCs/>
        </w:rPr>
        <w:t xml:space="preserve"> </w:t>
      </w:r>
    </w:p>
    <w:p w14:paraId="340EDE73" w14:textId="45A6FCA6" w:rsidR="001A2EA4" w:rsidRPr="00493F9A" w:rsidRDefault="001A2EA4" w:rsidP="00493F9A">
      <w:pPr>
        <w:pStyle w:val="ListParagraph"/>
        <w:spacing w:after="40" w:line="240" w:lineRule="auto"/>
        <w:ind w:left="270" w:hanging="180"/>
        <w:contextualSpacing w:val="0"/>
        <w:rPr>
          <w:rFonts w:ascii="Calibri" w:hAnsi="Calibri" w:cs="Calibri"/>
        </w:rPr>
      </w:pPr>
      <w:r w:rsidRPr="00493F9A">
        <w:rPr>
          <w:rFonts w:ascii="Calibri" w:hAnsi="Calibri" w:cs="Calibri"/>
        </w:rPr>
        <w:t xml:space="preserve">MSD (2020). Benefit Fact Sheets National level data tables – September 2020, Ministry of Social Development, </w:t>
      </w:r>
      <w:hyperlink r:id="rId49" w:history="1">
        <w:r w:rsidRPr="00493F9A">
          <w:rPr>
            <w:rStyle w:val="Hyperlink"/>
            <w:rFonts w:ascii="Calibri" w:hAnsi="Calibri" w:cs="Calibri"/>
          </w:rPr>
          <w:t>https://www.msd.govt.nz/about-msd-and-our-work/publications-resources/statistics/benefit/index.html</w:t>
        </w:r>
      </w:hyperlink>
      <w:r w:rsidRPr="00493F9A">
        <w:rPr>
          <w:rFonts w:ascii="Calibri" w:hAnsi="Calibri" w:cs="Calibri"/>
        </w:rPr>
        <w:t xml:space="preserve"> </w:t>
      </w:r>
    </w:p>
    <w:p w14:paraId="4A2226B1" w14:textId="53A95706" w:rsidR="00D54986" w:rsidRPr="00493F9A" w:rsidRDefault="004844C1" w:rsidP="00493F9A">
      <w:pPr>
        <w:pStyle w:val="ListParagraph"/>
        <w:spacing w:after="40" w:line="240" w:lineRule="auto"/>
        <w:ind w:left="270" w:hanging="180"/>
        <w:contextualSpacing w:val="0"/>
        <w:rPr>
          <w:rFonts w:ascii="Calibri" w:hAnsi="Calibri" w:cs="Calibri"/>
          <w:i/>
          <w:iCs/>
        </w:rPr>
      </w:pPr>
      <w:hyperlink r:id="rId50" w:history="1">
        <w:r w:rsidR="00D54986" w:rsidRPr="00493F9A">
          <w:rPr>
            <w:rStyle w:val="Hyperlink"/>
            <w:rFonts w:ascii="Calibri" w:hAnsi="Calibri" w:cs="Calibri"/>
          </w:rPr>
          <w:t xml:space="preserve">Orchard, </w:t>
        </w:r>
        <w:r w:rsidR="001A2EA4" w:rsidRPr="00493F9A">
          <w:rPr>
            <w:rStyle w:val="Hyperlink"/>
            <w:rFonts w:ascii="Calibri" w:hAnsi="Calibri" w:cs="Calibri"/>
          </w:rPr>
          <w:t>S. (</w:t>
        </w:r>
        <w:r w:rsidR="00D54986" w:rsidRPr="00493F9A">
          <w:rPr>
            <w:rStyle w:val="Hyperlink"/>
            <w:rFonts w:ascii="Calibri" w:hAnsi="Calibri" w:cs="Calibri"/>
          </w:rPr>
          <w:t>2018</w:t>
        </w:r>
      </w:hyperlink>
      <w:r w:rsidR="00D54986" w:rsidRPr="00493F9A">
        <w:rPr>
          <w:rFonts w:ascii="Calibri" w:hAnsi="Calibri" w:cs="Calibri"/>
        </w:rPr>
        <w:t>)</w:t>
      </w:r>
      <w:r w:rsidR="001A2EA4" w:rsidRPr="00493F9A">
        <w:rPr>
          <w:rFonts w:ascii="Calibri" w:hAnsi="Calibri" w:cs="Calibri"/>
        </w:rPr>
        <w:t xml:space="preserve"> #We Are Beneficiaries Report. </w:t>
      </w:r>
      <w:hyperlink r:id="rId51" w:history="1">
        <w:r w:rsidR="001A2EA4" w:rsidRPr="00493F9A">
          <w:rPr>
            <w:rStyle w:val="Hyperlink"/>
            <w:rFonts w:ascii="Calibri" w:hAnsi="Calibri" w:cs="Calibri"/>
          </w:rPr>
          <w:t>http://www.thesamorchard.com/wp-content/uploads/2018/03/WAB-Report.pdf</w:t>
        </w:r>
      </w:hyperlink>
      <w:r w:rsidR="001A2EA4" w:rsidRPr="00493F9A">
        <w:rPr>
          <w:rFonts w:ascii="Calibri" w:hAnsi="Calibri" w:cs="Calibri"/>
        </w:rPr>
        <w:t xml:space="preserve"> </w:t>
      </w:r>
    </w:p>
    <w:p w14:paraId="47D14F5F" w14:textId="45DF8DC3" w:rsidR="00D54986" w:rsidRPr="00493F9A" w:rsidRDefault="001A2EA4" w:rsidP="00493F9A">
      <w:pPr>
        <w:pStyle w:val="ListParagraph"/>
        <w:spacing w:after="40" w:line="240" w:lineRule="auto"/>
        <w:ind w:left="270" w:hanging="180"/>
        <w:contextualSpacing w:val="0"/>
        <w:rPr>
          <w:rFonts w:ascii="Calibri" w:hAnsi="Calibri" w:cs="Calibri"/>
          <w:color w:val="385623" w:themeColor="accent6" w:themeShade="80"/>
        </w:rPr>
      </w:pPr>
      <w:proofErr w:type="spellStart"/>
      <w:r w:rsidRPr="00493F9A">
        <w:rPr>
          <w:rFonts w:ascii="Calibri" w:hAnsi="Calibri" w:cs="Calibri"/>
        </w:rPr>
        <w:t>Rua</w:t>
      </w:r>
      <w:proofErr w:type="spellEnd"/>
      <w:r w:rsidRPr="00493F9A">
        <w:rPr>
          <w:rFonts w:ascii="Calibri" w:hAnsi="Calibri" w:cs="Calibri"/>
        </w:rPr>
        <w:t xml:space="preserve">, M et al (2019) “Precariat Māori Households Today”. </w:t>
      </w:r>
      <w:proofErr w:type="spellStart"/>
      <w:r w:rsidRPr="00493F9A">
        <w:rPr>
          <w:rFonts w:ascii="Calibri" w:hAnsi="Calibri" w:cs="Calibri"/>
        </w:rPr>
        <w:t>Ngā</w:t>
      </w:r>
      <w:proofErr w:type="spellEnd"/>
      <w:r w:rsidRPr="00493F9A">
        <w:rPr>
          <w:rFonts w:ascii="Calibri" w:hAnsi="Calibri" w:cs="Calibri"/>
        </w:rPr>
        <w:t xml:space="preserve"> </w:t>
      </w:r>
      <w:proofErr w:type="spellStart"/>
      <w:r w:rsidRPr="00493F9A">
        <w:rPr>
          <w:rFonts w:ascii="Calibri" w:hAnsi="Calibri" w:cs="Calibri"/>
        </w:rPr>
        <w:t>Pae</w:t>
      </w:r>
      <w:proofErr w:type="spellEnd"/>
      <w:r w:rsidRPr="00493F9A">
        <w:rPr>
          <w:rFonts w:ascii="Calibri" w:hAnsi="Calibri" w:cs="Calibri"/>
        </w:rPr>
        <w:t xml:space="preserve"> O </w:t>
      </w:r>
      <w:proofErr w:type="spellStart"/>
      <w:r w:rsidRPr="00493F9A">
        <w:rPr>
          <w:rFonts w:ascii="Calibri" w:hAnsi="Calibri" w:cs="Calibri"/>
        </w:rPr>
        <w:t>Te</w:t>
      </w:r>
      <w:proofErr w:type="spellEnd"/>
      <w:r w:rsidRPr="00493F9A">
        <w:rPr>
          <w:rFonts w:ascii="Calibri" w:hAnsi="Calibri" w:cs="Calibri"/>
        </w:rPr>
        <w:t xml:space="preserve"> </w:t>
      </w:r>
      <w:proofErr w:type="spellStart"/>
      <w:r w:rsidRPr="00493F9A">
        <w:rPr>
          <w:rFonts w:ascii="Calibri" w:hAnsi="Calibri" w:cs="Calibri"/>
        </w:rPr>
        <w:t>Maramatanga</w:t>
      </w:r>
      <w:proofErr w:type="spellEnd"/>
      <w:r w:rsidRPr="00493F9A">
        <w:rPr>
          <w:rFonts w:ascii="Calibri" w:hAnsi="Calibri" w:cs="Calibri"/>
        </w:rPr>
        <w:t xml:space="preserve">. </w:t>
      </w:r>
      <w:hyperlink r:id="rId52" w:history="1">
        <w:r w:rsidRPr="00493F9A">
          <w:rPr>
            <w:rStyle w:val="Hyperlink"/>
            <w:rFonts w:ascii="Calibri" w:hAnsi="Calibri" w:cs="Calibri"/>
          </w:rPr>
          <w:t>http://www.maramatanga.ac.nz/sites/default/files/teArotahi_19-0502%20Rua.pdf</w:t>
        </w:r>
      </w:hyperlink>
      <w:r w:rsidRPr="00493F9A">
        <w:rPr>
          <w:rFonts w:ascii="Calibri" w:hAnsi="Calibri" w:cs="Calibri"/>
          <w:color w:val="385623" w:themeColor="accent6" w:themeShade="80"/>
        </w:rPr>
        <w:t xml:space="preserve"> </w:t>
      </w:r>
    </w:p>
    <w:p w14:paraId="05DFC2D2" w14:textId="626E8694" w:rsidR="00D54986" w:rsidRPr="00493F9A" w:rsidRDefault="00D54986" w:rsidP="00493F9A">
      <w:pPr>
        <w:pStyle w:val="ListParagraph"/>
        <w:spacing w:after="40" w:line="240" w:lineRule="auto"/>
        <w:ind w:left="270" w:hanging="180"/>
        <w:contextualSpacing w:val="0"/>
        <w:rPr>
          <w:rFonts w:ascii="Calibri" w:hAnsi="Calibri" w:cs="Calibri"/>
          <w:lang w:val="en-US"/>
        </w:rPr>
      </w:pPr>
      <w:proofErr w:type="spellStart"/>
      <w:r w:rsidRPr="00493F9A">
        <w:rPr>
          <w:rFonts w:ascii="Calibri" w:hAnsi="Calibri" w:cs="Calibri"/>
          <w:lang w:val="en-US"/>
        </w:rPr>
        <w:t>StatsNZ</w:t>
      </w:r>
      <w:proofErr w:type="spellEnd"/>
      <w:r w:rsidRPr="00493F9A">
        <w:rPr>
          <w:rFonts w:ascii="Calibri" w:hAnsi="Calibri" w:cs="Calibri"/>
          <w:lang w:val="en-US"/>
        </w:rPr>
        <w:t xml:space="preserve"> (2020)</w:t>
      </w:r>
      <w:r w:rsidR="001A2EA4" w:rsidRPr="00493F9A">
        <w:rPr>
          <w:rFonts w:ascii="Calibri" w:hAnsi="Calibri" w:cs="Calibri"/>
          <w:lang w:val="en-US"/>
        </w:rPr>
        <w:t xml:space="preserve">. Child Poverty Statistics for the year ending June 2019. </w:t>
      </w:r>
      <w:proofErr w:type="spellStart"/>
      <w:r w:rsidR="00493F9A" w:rsidRPr="00493F9A">
        <w:rPr>
          <w:rFonts w:ascii="Calibri" w:hAnsi="Calibri" w:cs="Calibri"/>
          <w:lang w:val="en-US"/>
        </w:rPr>
        <w:t>StatsNZ</w:t>
      </w:r>
      <w:proofErr w:type="spellEnd"/>
      <w:r w:rsidR="00493F9A" w:rsidRPr="00493F9A">
        <w:rPr>
          <w:rFonts w:ascii="Calibri" w:hAnsi="Calibri" w:cs="Calibri"/>
          <w:lang w:val="en-US"/>
        </w:rPr>
        <w:t xml:space="preserve">. </w:t>
      </w:r>
      <w:hyperlink r:id="rId53" w:history="1">
        <w:r w:rsidR="00493F9A" w:rsidRPr="00493F9A">
          <w:rPr>
            <w:rStyle w:val="Hyperlink"/>
            <w:rFonts w:ascii="Calibri" w:hAnsi="Calibri" w:cs="Calibri"/>
            <w:lang w:val="en-US"/>
          </w:rPr>
          <w:t>https://www.stats.govt.nz/information-releases/child-poverty-statistics-year-ended-june-2019</w:t>
        </w:r>
      </w:hyperlink>
      <w:r w:rsidR="001A2EA4" w:rsidRPr="00493F9A">
        <w:rPr>
          <w:rFonts w:ascii="Calibri" w:hAnsi="Calibri" w:cs="Calibri"/>
          <w:lang w:val="en-US"/>
        </w:rPr>
        <w:t xml:space="preserve"> </w:t>
      </w:r>
    </w:p>
    <w:p w14:paraId="26C50A63" w14:textId="56FB4F67" w:rsidR="00D54986" w:rsidRDefault="00D54986" w:rsidP="00493F9A">
      <w:pPr>
        <w:pStyle w:val="ListParagraph"/>
        <w:spacing w:after="40" w:line="240" w:lineRule="auto"/>
        <w:ind w:left="270" w:hanging="180"/>
        <w:contextualSpacing w:val="0"/>
        <w:rPr>
          <w:rStyle w:val="Hyperlink"/>
          <w:rFonts w:ascii="Calibri" w:hAnsi="Calibri" w:cs="Calibri"/>
        </w:rPr>
      </w:pPr>
      <w:r w:rsidRPr="00493F9A">
        <w:rPr>
          <w:rFonts w:ascii="Calibri" w:hAnsi="Calibri" w:cs="Calibri"/>
        </w:rPr>
        <w:t xml:space="preserve">TVNZ </w:t>
      </w:r>
      <w:r w:rsidR="00493F9A" w:rsidRPr="00493F9A">
        <w:rPr>
          <w:rFonts w:ascii="Calibri" w:hAnsi="Calibri" w:cs="Calibri"/>
        </w:rPr>
        <w:t>(</w:t>
      </w:r>
      <w:r w:rsidRPr="00493F9A">
        <w:rPr>
          <w:rFonts w:ascii="Calibri" w:hAnsi="Calibri" w:cs="Calibri"/>
        </w:rPr>
        <w:t>2020</w:t>
      </w:r>
      <w:r w:rsidR="00493F9A" w:rsidRPr="00493F9A">
        <w:rPr>
          <w:rFonts w:ascii="Calibri" w:hAnsi="Calibri" w:cs="Calibri"/>
        </w:rPr>
        <w:t>).</w:t>
      </w:r>
      <w:r w:rsidRPr="00493F9A">
        <w:rPr>
          <w:rStyle w:val="Hyperlink"/>
          <w:rFonts w:ascii="Calibri" w:hAnsi="Calibri" w:cs="Calibri"/>
          <w:color w:val="000000" w:themeColor="text1"/>
          <w:u w:val="none"/>
        </w:rPr>
        <w:t xml:space="preserve"> </w:t>
      </w:r>
      <w:r w:rsidR="00493F9A" w:rsidRPr="00493F9A">
        <w:rPr>
          <w:rStyle w:val="Hyperlink"/>
          <w:rFonts w:ascii="Calibri" w:hAnsi="Calibri" w:cs="Calibri"/>
          <w:color w:val="000000" w:themeColor="text1"/>
          <w:u w:val="none"/>
        </w:rPr>
        <w:t xml:space="preserve">Breakfast – Charity </w:t>
      </w:r>
      <w:proofErr w:type="spellStart"/>
      <w:r w:rsidR="00493F9A" w:rsidRPr="00493F9A">
        <w:rPr>
          <w:rStyle w:val="Hyperlink"/>
          <w:rFonts w:ascii="Calibri" w:hAnsi="Calibri" w:cs="Calibri"/>
          <w:color w:val="000000" w:themeColor="text1"/>
          <w:u w:val="none"/>
        </w:rPr>
        <w:t>KidsCan</w:t>
      </w:r>
      <w:proofErr w:type="spellEnd"/>
      <w:r w:rsidR="00493F9A" w:rsidRPr="00493F9A">
        <w:rPr>
          <w:rStyle w:val="Hyperlink"/>
          <w:rFonts w:ascii="Calibri" w:hAnsi="Calibri" w:cs="Calibri"/>
          <w:color w:val="000000" w:themeColor="text1"/>
          <w:u w:val="none"/>
        </w:rPr>
        <w:t xml:space="preserve"> inundated with calls for support from low decile schools. TVNZ </w:t>
      </w:r>
      <w:hyperlink r:id="rId54" w:history="1">
        <w:r w:rsidR="00493F9A" w:rsidRPr="00493F9A">
          <w:rPr>
            <w:rStyle w:val="Hyperlink"/>
            <w:rFonts w:ascii="Calibri" w:hAnsi="Calibri" w:cs="Calibri"/>
          </w:rPr>
          <w:t>https://www.tvnz.co.nz/shows/breakfast/clips/charity-kidscan-inundated-with-calls-for-support-from-low-decile-schools</w:t>
        </w:r>
      </w:hyperlink>
      <w:r w:rsidR="00493F9A" w:rsidRPr="00493F9A">
        <w:rPr>
          <w:rStyle w:val="Hyperlink"/>
          <w:rFonts w:ascii="Calibri" w:hAnsi="Calibri" w:cs="Calibri"/>
        </w:rPr>
        <w:t xml:space="preserve"> </w:t>
      </w:r>
    </w:p>
    <w:p w14:paraId="0221F72A" w14:textId="238A41F3" w:rsidR="00305BFA" w:rsidRPr="0044404D" w:rsidRDefault="00305BFA" w:rsidP="00493F9A">
      <w:pPr>
        <w:pStyle w:val="ListParagraph"/>
        <w:spacing w:after="40" w:line="240" w:lineRule="auto"/>
        <w:ind w:left="270" w:hanging="180"/>
        <w:contextualSpacing w:val="0"/>
        <w:rPr>
          <w:rFonts w:ascii="Calibri" w:hAnsi="Calibri" w:cs="Calibri"/>
          <w:i/>
          <w:iCs/>
          <w:lang w:val="en-US"/>
        </w:rPr>
      </w:pPr>
      <w:r w:rsidRPr="0044404D">
        <w:rPr>
          <w:rFonts w:ascii="Calibri" w:hAnsi="Calibri" w:cs="Calibri"/>
          <w:color w:val="222222"/>
          <w:shd w:val="clear" w:color="auto" w:fill="FFFFFF"/>
        </w:rPr>
        <w:t xml:space="preserve">Waitangi </w:t>
      </w:r>
      <w:r w:rsidRPr="0044404D">
        <w:rPr>
          <w:rFonts w:ascii="Calibri" w:hAnsi="Calibri" w:cs="Calibri"/>
          <w:color w:val="222222"/>
          <w:shd w:val="clear" w:color="auto" w:fill="FFFFFF"/>
        </w:rPr>
        <w:t xml:space="preserve">Tribunal (2019). </w:t>
      </w:r>
      <w:r w:rsidRPr="0044404D">
        <w:rPr>
          <w:rFonts w:ascii="Calibri" w:hAnsi="Calibri" w:cs="Calibri"/>
          <w:i/>
          <w:iCs/>
          <w:color w:val="222222"/>
          <w:shd w:val="clear" w:color="auto" w:fill="FFFFFF"/>
        </w:rPr>
        <w:t>Hauora: report on stage one of the Health Services and Outcomes Kaupapa Inquiry WAI 2575</w:t>
      </w:r>
      <w:r w:rsidRPr="0044404D">
        <w:rPr>
          <w:rFonts w:ascii="Calibri" w:hAnsi="Calibri" w:cs="Calibri"/>
          <w:color w:val="222222"/>
          <w:shd w:val="clear" w:color="auto" w:fill="FFFFFF"/>
        </w:rPr>
        <w:t>. Waitangi Tribunal: Wellington.</w:t>
      </w:r>
      <w:r w:rsidRPr="0044404D">
        <w:rPr>
          <w:rFonts w:ascii="Calibri" w:hAnsi="Calibri" w:cs="Calibri"/>
          <w:color w:val="222222"/>
          <w:shd w:val="clear" w:color="auto" w:fill="FFFFFF"/>
        </w:rPr>
        <w:t xml:space="preserve"> </w:t>
      </w:r>
      <w:hyperlink r:id="rId55" w:history="1">
        <w:r w:rsidRPr="0044404D">
          <w:rPr>
            <w:rStyle w:val="Hyperlink"/>
            <w:rFonts w:ascii="Calibri" w:hAnsi="Calibri" w:cs="Calibri"/>
            <w:shd w:val="clear" w:color="auto" w:fill="FFFFFF"/>
          </w:rPr>
          <w:t>https://forms.justice.govt.nz/search/Documents/WT/wt_DOC_152801817/Hauora%20W.pdf</w:t>
        </w:r>
      </w:hyperlink>
      <w:r w:rsidRPr="0044404D">
        <w:rPr>
          <w:rFonts w:ascii="Calibri" w:hAnsi="Calibri" w:cs="Calibri"/>
          <w:color w:val="222222"/>
          <w:shd w:val="clear" w:color="auto" w:fill="FFFFFF"/>
        </w:rPr>
        <w:t xml:space="preserve"> </w:t>
      </w:r>
    </w:p>
    <w:p w14:paraId="4DE40EBB" w14:textId="7FFF7B4B" w:rsidR="00D54986" w:rsidRPr="00493F9A" w:rsidRDefault="00493F9A" w:rsidP="00493F9A">
      <w:pPr>
        <w:pStyle w:val="ListParagraph"/>
        <w:spacing w:after="40" w:line="240" w:lineRule="auto"/>
        <w:ind w:left="270" w:hanging="180"/>
        <w:contextualSpacing w:val="0"/>
        <w:rPr>
          <w:rFonts w:ascii="Calibri" w:eastAsia="Times New Roman" w:hAnsi="Calibri" w:cs="Calibri"/>
          <w:color w:val="000000"/>
          <w:lang w:eastAsia="en-NZ"/>
        </w:rPr>
      </w:pPr>
      <w:r w:rsidRPr="00493F9A">
        <w:rPr>
          <w:rFonts w:ascii="Calibri" w:eastAsia="Times New Roman" w:hAnsi="Calibri" w:cs="Calibri"/>
          <w:color w:val="000000"/>
          <w:lang w:eastAsia="en-NZ"/>
        </w:rPr>
        <w:t xml:space="preserve">Welfare Expert Advisory Group </w:t>
      </w:r>
      <w:r w:rsidRPr="00493F9A">
        <w:rPr>
          <w:rFonts w:ascii="Calibri" w:hAnsi="Calibri" w:cs="Calibri"/>
          <w:color w:val="222222"/>
          <w:shd w:val="clear" w:color="auto" w:fill="FFFFFF"/>
        </w:rPr>
        <w:t xml:space="preserve">(2019). </w:t>
      </w:r>
      <w:proofErr w:type="spellStart"/>
      <w:r w:rsidRPr="00493F9A">
        <w:rPr>
          <w:rFonts w:ascii="Calibri" w:hAnsi="Calibri" w:cs="Calibri"/>
          <w:color w:val="222222"/>
          <w:shd w:val="clear" w:color="auto" w:fill="FFFFFF"/>
        </w:rPr>
        <w:t>Kiro</w:t>
      </w:r>
      <w:proofErr w:type="spellEnd"/>
      <w:r w:rsidRPr="00493F9A">
        <w:rPr>
          <w:rFonts w:ascii="Calibri" w:hAnsi="Calibri" w:cs="Calibri"/>
          <w:color w:val="222222"/>
          <w:shd w:val="clear" w:color="auto" w:fill="FFFFFF"/>
        </w:rPr>
        <w:t xml:space="preserve">, C., I. Asher, K. Brereton, H. </w:t>
      </w:r>
      <w:proofErr w:type="spellStart"/>
      <w:r w:rsidRPr="00493F9A">
        <w:rPr>
          <w:rFonts w:ascii="Calibri" w:hAnsi="Calibri" w:cs="Calibri"/>
          <w:color w:val="222222"/>
          <w:shd w:val="clear" w:color="auto" w:fill="FFFFFF"/>
        </w:rPr>
        <w:t>Huhanna</w:t>
      </w:r>
      <w:proofErr w:type="spellEnd"/>
      <w:r w:rsidRPr="00493F9A">
        <w:rPr>
          <w:rFonts w:ascii="Calibri" w:hAnsi="Calibri" w:cs="Calibri"/>
          <w:color w:val="222222"/>
          <w:shd w:val="clear" w:color="auto" w:fill="FFFFFF"/>
        </w:rPr>
        <w:t xml:space="preserve">, T. </w:t>
      </w:r>
      <w:proofErr w:type="spellStart"/>
      <w:r w:rsidRPr="00493F9A">
        <w:rPr>
          <w:rFonts w:ascii="Calibri" w:hAnsi="Calibri" w:cs="Calibri"/>
          <w:color w:val="222222"/>
          <w:shd w:val="clear" w:color="auto" w:fill="FFFFFF"/>
        </w:rPr>
        <w:t>McGlinchy</w:t>
      </w:r>
      <w:proofErr w:type="spellEnd"/>
      <w:r w:rsidRPr="00493F9A">
        <w:rPr>
          <w:rFonts w:ascii="Calibri" w:hAnsi="Calibri" w:cs="Calibri"/>
          <w:color w:val="222222"/>
          <w:shd w:val="clear" w:color="auto" w:fill="FFFFFF"/>
        </w:rPr>
        <w:t>, N. Ganesh, P. O'Reilly et al. </w:t>
      </w:r>
      <w:proofErr w:type="spellStart"/>
      <w:r w:rsidRPr="00493F9A">
        <w:rPr>
          <w:rFonts w:ascii="Calibri" w:hAnsi="Calibri" w:cs="Calibri"/>
          <w:i/>
          <w:iCs/>
          <w:color w:val="222222"/>
          <w:shd w:val="clear" w:color="auto" w:fill="FFFFFF"/>
        </w:rPr>
        <w:t>Whakamana</w:t>
      </w:r>
      <w:proofErr w:type="spellEnd"/>
      <w:r w:rsidRPr="00493F9A">
        <w:rPr>
          <w:rFonts w:ascii="Calibri" w:hAnsi="Calibri" w:cs="Calibri"/>
          <w:i/>
          <w:iCs/>
          <w:color w:val="222222"/>
          <w:shd w:val="clear" w:color="auto" w:fill="FFFFFF"/>
        </w:rPr>
        <w:t xml:space="preserve"> </w:t>
      </w:r>
      <w:proofErr w:type="spellStart"/>
      <w:r w:rsidRPr="00493F9A">
        <w:rPr>
          <w:rFonts w:ascii="Calibri" w:hAnsi="Calibri" w:cs="Calibri"/>
          <w:i/>
          <w:iCs/>
          <w:color w:val="222222"/>
          <w:shd w:val="clear" w:color="auto" w:fill="FFFFFF"/>
        </w:rPr>
        <w:t>Tangata</w:t>
      </w:r>
      <w:proofErr w:type="spellEnd"/>
      <w:r w:rsidRPr="00493F9A">
        <w:rPr>
          <w:rFonts w:ascii="Calibri" w:hAnsi="Calibri" w:cs="Calibri"/>
          <w:i/>
          <w:iCs/>
          <w:color w:val="222222"/>
          <w:shd w:val="clear" w:color="auto" w:fill="FFFFFF"/>
        </w:rPr>
        <w:t>: Restoring Dignity to Social Security in New Zealand</w:t>
      </w:r>
      <w:r w:rsidRPr="00493F9A">
        <w:rPr>
          <w:rFonts w:ascii="Calibri" w:hAnsi="Calibri" w:cs="Calibri"/>
          <w:color w:val="222222"/>
          <w:shd w:val="clear" w:color="auto" w:fill="FFFFFF"/>
        </w:rPr>
        <w:t>. Welfare Expert Advisory Group, 2019.</w:t>
      </w:r>
      <w:r w:rsidR="00D54986" w:rsidRPr="00493F9A">
        <w:rPr>
          <w:rFonts w:ascii="Calibri" w:eastAsia="Times New Roman" w:hAnsi="Calibri" w:cs="Calibri"/>
          <w:color w:val="000000"/>
          <w:lang w:eastAsia="en-NZ"/>
        </w:rPr>
        <w:t xml:space="preserve"> </w:t>
      </w:r>
      <w:hyperlink r:id="rId56" w:history="1">
        <w:r w:rsidRPr="00493F9A">
          <w:rPr>
            <w:rStyle w:val="Hyperlink"/>
            <w:rFonts w:ascii="Calibri" w:eastAsia="Times New Roman" w:hAnsi="Calibri" w:cs="Calibri"/>
            <w:lang w:eastAsia="en-NZ"/>
          </w:rPr>
          <w:t>http://www.weag.govt.nz/weag-report/</w:t>
        </w:r>
      </w:hyperlink>
      <w:r w:rsidRPr="00493F9A">
        <w:rPr>
          <w:rFonts w:ascii="Calibri" w:eastAsia="Times New Roman" w:hAnsi="Calibri" w:cs="Calibri"/>
          <w:color w:val="000000"/>
          <w:lang w:eastAsia="en-NZ"/>
        </w:rPr>
        <w:t xml:space="preserve"> </w:t>
      </w:r>
    </w:p>
    <w:p w14:paraId="4A5D0B51" w14:textId="4C9A8F9D" w:rsidR="00D54986" w:rsidRPr="00493F9A" w:rsidRDefault="004844C1" w:rsidP="00493F9A">
      <w:pPr>
        <w:pStyle w:val="ListParagraph"/>
        <w:spacing w:after="40" w:line="240" w:lineRule="auto"/>
        <w:ind w:left="270" w:hanging="180"/>
        <w:contextualSpacing w:val="0"/>
        <w:rPr>
          <w:rFonts w:ascii="Calibri" w:hAnsi="Calibri" w:cs="Calibri"/>
          <w:lang w:val="en-US"/>
        </w:rPr>
      </w:pPr>
      <w:hyperlink r:id="rId57" w:history="1">
        <w:r w:rsidR="00D54986" w:rsidRPr="00493F9A">
          <w:rPr>
            <w:rStyle w:val="Hyperlink"/>
            <w:rFonts w:ascii="Calibri" w:hAnsi="Calibri" w:cs="Calibri"/>
          </w:rPr>
          <w:t>Youth19 survey</w:t>
        </w:r>
      </w:hyperlink>
      <w:r w:rsidR="00D54986" w:rsidRPr="00493F9A">
        <w:rPr>
          <w:rStyle w:val="Hyperlink"/>
          <w:rFonts w:ascii="Calibri" w:hAnsi="Calibri" w:cs="Calibri"/>
        </w:rPr>
        <w:t xml:space="preserve"> </w:t>
      </w:r>
      <w:r w:rsidR="00493F9A" w:rsidRPr="00493F9A">
        <w:rPr>
          <w:rStyle w:val="Hyperlink"/>
          <w:rFonts w:ascii="Calibri" w:hAnsi="Calibri" w:cs="Calibri"/>
        </w:rPr>
        <w:t>(</w:t>
      </w:r>
      <w:r w:rsidR="00D54986" w:rsidRPr="00493F9A">
        <w:rPr>
          <w:rStyle w:val="Hyperlink"/>
          <w:rFonts w:ascii="Calibri" w:hAnsi="Calibri" w:cs="Calibri"/>
        </w:rPr>
        <w:t>2020)</w:t>
      </w:r>
      <w:r w:rsidR="00493F9A" w:rsidRPr="00493F9A">
        <w:rPr>
          <w:rFonts w:ascii="Calibri" w:hAnsi="Calibri" w:cs="Calibri"/>
        </w:rPr>
        <w:t xml:space="preserve">: Fleming, T., </w:t>
      </w:r>
      <w:proofErr w:type="spellStart"/>
      <w:r w:rsidR="00493F9A" w:rsidRPr="00493F9A">
        <w:rPr>
          <w:rFonts w:ascii="Calibri" w:hAnsi="Calibri" w:cs="Calibri"/>
        </w:rPr>
        <w:t>Tiatia-Seath</w:t>
      </w:r>
      <w:proofErr w:type="spellEnd"/>
      <w:r w:rsidR="00493F9A" w:rsidRPr="00493F9A">
        <w:rPr>
          <w:rFonts w:ascii="Calibri" w:hAnsi="Calibri" w:cs="Calibri"/>
        </w:rPr>
        <w:t xml:space="preserve">, J., Peiris-John, R., Sutcliffe, K., Archer, D., </w:t>
      </w:r>
      <w:proofErr w:type="spellStart"/>
      <w:r w:rsidR="00493F9A" w:rsidRPr="00493F9A">
        <w:rPr>
          <w:rFonts w:ascii="Calibri" w:hAnsi="Calibri" w:cs="Calibri"/>
        </w:rPr>
        <w:t>Bavin</w:t>
      </w:r>
      <w:proofErr w:type="spellEnd"/>
      <w:r w:rsidR="00493F9A" w:rsidRPr="00493F9A">
        <w:rPr>
          <w:rFonts w:ascii="Calibri" w:hAnsi="Calibri" w:cs="Calibri"/>
        </w:rPr>
        <w:t xml:space="preserve">, L., </w:t>
      </w:r>
      <w:proofErr w:type="spellStart"/>
      <w:r w:rsidR="00493F9A" w:rsidRPr="00493F9A">
        <w:rPr>
          <w:rFonts w:ascii="Calibri" w:hAnsi="Calibri" w:cs="Calibri"/>
        </w:rPr>
        <w:t>Crengle</w:t>
      </w:r>
      <w:proofErr w:type="spellEnd"/>
      <w:r w:rsidR="00493F9A" w:rsidRPr="00493F9A">
        <w:rPr>
          <w:rFonts w:ascii="Calibri" w:hAnsi="Calibri" w:cs="Calibri"/>
        </w:rPr>
        <w:t xml:space="preserve">, S., &amp; Clark, T. (2020). Youth19 </w:t>
      </w:r>
      <w:proofErr w:type="spellStart"/>
      <w:r w:rsidR="00493F9A" w:rsidRPr="00493F9A">
        <w:rPr>
          <w:rFonts w:ascii="Calibri" w:hAnsi="Calibri" w:cs="Calibri"/>
        </w:rPr>
        <w:t>Rangatahi</w:t>
      </w:r>
      <w:proofErr w:type="spellEnd"/>
      <w:r w:rsidR="00493F9A" w:rsidRPr="00493F9A">
        <w:rPr>
          <w:rFonts w:ascii="Calibri" w:hAnsi="Calibri" w:cs="Calibri"/>
        </w:rPr>
        <w:t xml:space="preserve"> Smart Survey, Initial Findings: Hauora </w:t>
      </w:r>
      <w:proofErr w:type="spellStart"/>
      <w:r w:rsidR="00493F9A" w:rsidRPr="00493F9A">
        <w:rPr>
          <w:rFonts w:ascii="Calibri" w:hAnsi="Calibri" w:cs="Calibri"/>
        </w:rPr>
        <w:t>Hinengaro</w:t>
      </w:r>
      <w:proofErr w:type="spellEnd"/>
      <w:r w:rsidR="00493F9A" w:rsidRPr="00493F9A">
        <w:rPr>
          <w:rFonts w:ascii="Calibri" w:hAnsi="Calibri" w:cs="Calibri"/>
        </w:rPr>
        <w:t xml:space="preserve"> / Emotional and Mental Health. The Youth19 Research Group, The University of Auckland and Victoria University of Wellington, New Zealand.</w:t>
      </w:r>
      <w:r w:rsidR="00493F9A" w:rsidRPr="00493F9A">
        <w:rPr>
          <w:rStyle w:val="Hyperlink"/>
          <w:rFonts w:ascii="Calibri" w:hAnsi="Calibri" w:cs="Calibri"/>
        </w:rPr>
        <w:t xml:space="preserve"> https://static1.squarespace.com/static/5bdbb75ccef37259122e59aa/t/5f338e4cfb539d2246e9e5ce/1597214306382/Youth19+Mental+Health+Report.pdf</w:t>
      </w:r>
    </w:p>
    <w:sectPr w:rsidR="00D54986" w:rsidRPr="00493F9A" w:rsidSect="00AF5798">
      <w:footerReference w:type="default" r:id="rId58"/>
      <w:type w:val="continuous"/>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0D698" w14:textId="77777777" w:rsidR="004844C1" w:rsidRDefault="004844C1" w:rsidP="00802073">
      <w:pPr>
        <w:spacing w:after="0" w:line="240" w:lineRule="auto"/>
      </w:pPr>
      <w:r>
        <w:separator/>
      </w:r>
    </w:p>
  </w:endnote>
  <w:endnote w:type="continuationSeparator" w:id="0">
    <w:p w14:paraId="077CA4AE" w14:textId="77777777" w:rsidR="004844C1" w:rsidRDefault="004844C1" w:rsidP="0080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065498"/>
      <w:docPartObj>
        <w:docPartGallery w:val="Page Numbers (Bottom of Page)"/>
        <w:docPartUnique/>
      </w:docPartObj>
    </w:sdtPr>
    <w:sdtEndPr>
      <w:rPr>
        <w:noProof/>
      </w:rPr>
    </w:sdtEndPr>
    <w:sdtContent>
      <w:p w14:paraId="29070F65" w14:textId="77777777" w:rsidR="001A2EA4" w:rsidRDefault="001A2E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64CFE" w14:textId="77777777" w:rsidR="001A2EA4" w:rsidRDefault="001A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200520"/>
      <w:docPartObj>
        <w:docPartGallery w:val="Page Numbers (Bottom of Page)"/>
        <w:docPartUnique/>
      </w:docPartObj>
    </w:sdtPr>
    <w:sdtEndPr>
      <w:rPr>
        <w:noProof/>
      </w:rPr>
    </w:sdtEndPr>
    <w:sdtContent>
      <w:p w14:paraId="7C4A0245" w14:textId="1F006D9D" w:rsidR="001A2EA4" w:rsidRDefault="001A2E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468CBC" w14:textId="77777777" w:rsidR="001A2EA4" w:rsidRDefault="001A2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C8E8" w14:textId="77777777" w:rsidR="004844C1" w:rsidRDefault="004844C1" w:rsidP="00802073">
      <w:pPr>
        <w:spacing w:after="0" w:line="240" w:lineRule="auto"/>
      </w:pPr>
      <w:r>
        <w:separator/>
      </w:r>
    </w:p>
  </w:footnote>
  <w:footnote w:type="continuationSeparator" w:id="0">
    <w:p w14:paraId="1B746371" w14:textId="77777777" w:rsidR="004844C1" w:rsidRDefault="004844C1" w:rsidP="00802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9CAA1" w14:textId="30FD8CFE" w:rsidR="001A2EA4" w:rsidRPr="00271AF2" w:rsidRDefault="001A2EA4" w:rsidP="00074323">
    <w:pPr>
      <w:pStyle w:val="Header"/>
      <w:spacing w:after="120"/>
      <w:rPr>
        <w:i/>
        <w:iCs/>
        <w:lang w:val="mi-NZ"/>
      </w:rPr>
    </w:pPr>
    <w:r>
      <w:rPr>
        <w:lang w:val="mi-NZ"/>
      </w:rPr>
      <w:tab/>
    </w:r>
    <w:r>
      <w:rPr>
        <w:lang w:val="mi-NZ"/>
      </w:rPr>
      <w:tab/>
    </w:r>
    <w:r w:rsidRPr="00271AF2">
      <w:rPr>
        <w:i/>
        <w:iCs/>
        <w:lang w:val="mi-NZ"/>
      </w:rPr>
      <w:t xml:space="preserve">CPAG BIM 2020: </w:t>
    </w:r>
    <w:proofErr w:type="spellStart"/>
    <w:r w:rsidRPr="00271AF2">
      <w:rPr>
        <w:i/>
        <w:iCs/>
        <w:lang w:val="mi-NZ"/>
      </w:rPr>
      <w:t>Income</w:t>
    </w:r>
    <w:proofErr w:type="spellEnd"/>
    <w:r w:rsidRPr="00271AF2">
      <w:rPr>
        <w:i/>
        <w:iCs/>
        <w:lang w:val="mi-NZ"/>
      </w:rPr>
      <w:t xml:space="preserve"> </w:t>
    </w:r>
    <w:proofErr w:type="spellStart"/>
    <w:r w:rsidRPr="00271AF2">
      <w:rPr>
        <w:i/>
        <w:iCs/>
        <w:lang w:val="mi-NZ"/>
      </w:rPr>
      <w:t>Support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C2C"/>
    <w:multiLevelType w:val="hybridMultilevel"/>
    <w:tmpl w:val="57A4A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C544DC"/>
    <w:multiLevelType w:val="hybridMultilevel"/>
    <w:tmpl w:val="CF48B0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481B84"/>
    <w:multiLevelType w:val="hybridMultilevel"/>
    <w:tmpl w:val="81FC2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204091"/>
    <w:multiLevelType w:val="hybridMultilevel"/>
    <w:tmpl w:val="4AF64F2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6DB1388"/>
    <w:multiLevelType w:val="hybridMultilevel"/>
    <w:tmpl w:val="DABE4B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746CBC"/>
    <w:multiLevelType w:val="hybridMultilevel"/>
    <w:tmpl w:val="621EB27C"/>
    <w:lvl w:ilvl="0" w:tplc="1409000F">
      <w:start w:val="1"/>
      <w:numFmt w:val="decimal"/>
      <w:lvlText w:val="%1."/>
      <w:lvlJc w:val="left"/>
      <w:pPr>
        <w:ind w:left="720" w:hanging="360"/>
      </w:pPr>
      <w:rPr>
        <w:rFonts w:hint="default"/>
      </w:rPr>
    </w:lvl>
    <w:lvl w:ilvl="1" w:tplc="1409001B">
      <w:start w:val="1"/>
      <w:numFmt w:val="lowerRoman"/>
      <w:lvlText w:val="%2."/>
      <w:lvlJc w:val="righ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355D5C"/>
    <w:multiLevelType w:val="hybridMultilevel"/>
    <w:tmpl w:val="A7EC7F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A31795B"/>
    <w:multiLevelType w:val="multilevel"/>
    <w:tmpl w:val="C45C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90FC9"/>
    <w:multiLevelType w:val="hybridMultilevel"/>
    <w:tmpl w:val="BBA41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3EE0B2C"/>
    <w:multiLevelType w:val="hybridMultilevel"/>
    <w:tmpl w:val="B1D24E1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351933F4"/>
    <w:multiLevelType w:val="hybridMultilevel"/>
    <w:tmpl w:val="DD9C5440"/>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6744117"/>
    <w:multiLevelType w:val="hybridMultilevel"/>
    <w:tmpl w:val="578037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3E0573C3"/>
    <w:multiLevelType w:val="hybridMultilevel"/>
    <w:tmpl w:val="BCF0C0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3EE9420D"/>
    <w:multiLevelType w:val="hybridMultilevel"/>
    <w:tmpl w:val="5B14A92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3FBE2211"/>
    <w:multiLevelType w:val="hybridMultilevel"/>
    <w:tmpl w:val="3F7E25D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46E348D1"/>
    <w:multiLevelType w:val="hybridMultilevel"/>
    <w:tmpl w:val="6E8C72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2E2350"/>
    <w:multiLevelType w:val="hybridMultilevel"/>
    <w:tmpl w:val="07E057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5D75ECA"/>
    <w:multiLevelType w:val="hybridMultilevel"/>
    <w:tmpl w:val="6D5868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0741989"/>
    <w:multiLevelType w:val="hybridMultilevel"/>
    <w:tmpl w:val="B8564B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614A307B"/>
    <w:multiLevelType w:val="hybridMultilevel"/>
    <w:tmpl w:val="40266F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69E254B7"/>
    <w:multiLevelType w:val="hybridMultilevel"/>
    <w:tmpl w:val="4D228646"/>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E2C4CF4"/>
    <w:multiLevelType w:val="hybridMultilevel"/>
    <w:tmpl w:val="07162B46"/>
    <w:lvl w:ilvl="0" w:tplc="14090001">
      <w:start w:val="1"/>
      <w:numFmt w:val="bullet"/>
      <w:lvlText w:val=""/>
      <w:lvlJc w:val="left"/>
      <w:pPr>
        <w:ind w:left="1058" w:hanging="360"/>
      </w:pPr>
      <w:rPr>
        <w:rFonts w:ascii="Symbol" w:hAnsi="Symbol" w:hint="default"/>
      </w:rPr>
    </w:lvl>
    <w:lvl w:ilvl="1" w:tplc="14090003" w:tentative="1">
      <w:start w:val="1"/>
      <w:numFmt w:val="bullet"/>
      <w:lvlText w:val="o"/>
      <w:lvlJc w:val="left"/>
      <w:pPr>
        <w:ind w:left="1778" w:hanging="360"/>
      </w:pPr>
      <w:rPr>
        <w:rFonts w:ascii="Courier New" w:hAnsi="Courier New" w:cs="Courier New" w:hint="default"/>
      </w:rPr>
    </w:lvl>
    <w:lvl w:ilvl="2" w:tplc="14090005" w:tentative="1">
      <w:start w:val="1"/>
      <w:numFmt w:val="bullet"/>
      <w:lvlText w:val=""/>
      <w:lvlJc w:val="left"/>
      <w:pPr>
        <w:ind w:left="2498" w:hanging="360"/>
      </w:pPr>
      <w:rPr>
        <w:rFonts w:ascii="Wingdings" w:hAnsi="Wingdings" w:hint="default"/>
      </w:rPr>
    </w:lvl>
    <w:lvl w:ilvl="3" w:tplc="14090001" w:tentative="1">
      <w:start w:val="1"/>
      <w:numFmt w:val="bullet"/>
      <w:lvlText w:val=""/>
      <w:lvlJc w:val="left"/>
      <w:pPr>
        <w:ind w:left="3218" w:hanging="360"/>
      </w:pPr>
      <w:rPr>
        <w:rFonts w:ascii="Symbol" w:hAnsi="Symbol" w:hint="default"/>
      </w:rPr>
    </w:lvl>
    <w:lvl w:ilvl="4" w:tplc="14090003" w:tentative="1">
      <w:start w:val="1"/>
      <w:numFmt w:val="bullet"/>
      <w:lvlText w:val="o"/>
      <w:lvlJc w:val="left"/>
      <w:pPr>
        <w:ind w:left="3938" w:hanging="360"/>
      </w:pPr>
      <w:rPr>
        <w:rFonts w:ascii="Courier New" w:hAnsi="Courier New" w:cs="Courier New" w:hint="default"/>
      </w:rPr>
    </w:lvl>
    <w:lvl w:ilvl="5" w:tplc="14090005" w:tentative="1">
      <w:start w:val="1"/>
      <w:numFmt w:val="bullet"/>
      <w:lvlText w:val=""/>
      <w:lvlJc w:val="left"/>
      <w:pPr>
        <w:ind w:left="4658" w:hanging="360"/>
      </w:pPr>
      <w:rPr>
        <w:rFonts w:ascii="Wingdings" w:hAnsi="Wingdings" w:hint="default"/>
      </w:rPr>
    </w:lvl>
    <w:lvl w:ilvl="6" w:tplc="14090001" w:tentative="1">
      <w:start w:val="1"/>
      <w:numFmt w:val="bullet"/>
      <w:lvlText w:val=""/>
      <w:lvlJc w:val="left"/>
      <w:pPr>
        <w:ind w:left="5378" w:hanging="360"/>
      </w:pPr>
      <w:rPr>
        <w:rFonts w:ascii="Symbol" w:hAnsi="Symbol" w:hint="default"/>
      </w:rPr>
    </w:lvl>
    <w:lvl w:ilvl="7" w:tplc="14090003" w:tentative="1">
      <w:start w:val="1"/>
      <w:numFmt w:val="bullet"/>
      <w:lvlText w:val="o"/>
      <w:lvlJc w:val="left"/>
      <w:pPr>
        <w:ind w:left="6098" w:hanging="360"/>
      </w:pPr>
      <w:rPr>
        <w:rFonts w:ascii="Courier New" w:hAnsi="Courier New" w:cs="Courier New" w:hint="default"/>
      </w:rPr>
    </w:lvl>
    <w:lvl w:ilvl="8" w:tplc="14090005" w:tentative="1">
      <w:start w:val="1"/>
      <w:numFmt w:val="bullet"/>
      <w:lvlText w:val=""/>
      <w:lvlJc w:val="left"/>
      <w:pPr>
        <w:ind w:left="6818" w:hanging="360"/>
      </w:pPr>
      <w:rPr>
        <w:rFonts w:ascii="Wingdings" w:hAnsi="Wingdings" w:hint="default"/>
      </w:rPr>
    </w:lvl>
  </w:abstractNum>
  <w:abstractNum w:abstractNumId="22" w15:restartNumberingAfterBreak="0">
    <w:nsid w:val="77E43C16"/>
    <w:multiLevelType w:val="multilevel"/>
    <w:tmpl w:val="BF965DF4"/>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40541"/>
    <w:multiLevelType w:val="hybridMultilevel"/>
    <w:tmpl w:val="68D2B3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1">
      <w:start w:val="1"/>
      <w:numFmt w:val="bullet"/>
      <w:lvlText w:val=""/>
      <w:lvlJc w:val="left"/>
      <w:pPr>
        <w:ind w:left="2160" w:hanging="360"/>
      </w:pPr>
      <w:rPr>
        <w:rFonts w:ascii="Symbol" w:hAnsi="Symbol"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7A9864A9"/>
    <w:multiLevelType w:val="hybridMultilevel"/>
    <w:tmpl w:val="E822E3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7D5F049E"/>
    <w:multiLevelType w:val="hybridMultilevel"/>
    <w:tmpl w:val="A4F014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DAE4E27"/>
    <w:multiLevelType w:val="hybridMultilevel"/>
    <w:tmpl w:val="035C2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9"/>
  </w:num>
  <w:num w:numId="4">
    <w:abstractNumId w:val="23"/>
  </w:num>
  <w:num w:numId="5">
    <w:abstractNumId w:val="19"/>
  </w:num>
  <w:num w:numId="6">
    <w:abstractNumId w:val="4"/>
  </w:num>
  <w:num w:numId="7">
    <w:abstractNumId w:val="25"/>
  </w:num>
  <w:num w:numId="8">
    <w:abstractNumId w:val="1"/>
  </w:num>
  <w:num w:numId="9">
    <w:abstractNumId w:val="6"/>
  </w:num>
  <w:num w:numId="10">
    <w:abstractNumId w:val="26"/>
  </w:num>
  <w:num w:numId="11">
    <w:abstractNumId w:val="0"/>
  </w:num>
  <w:num w:numId="12">
    <w:abstractNumId w:val="8"/>
  </w:num>
  <w:num w:numId="13">
    <w:abstractNumId w:val="11"/>
  </w:num>
  <w:num w:numId="14">
    <w:abstractNumId w:val="16"/>
  </w:num>
  <w:num w:numId="15">
    <w:abstractNumId w:val="13"/>
  </w:num>
  <w:num w:numId="16">
    <w:abstractNumId w:val="22"/>
  </w:num>
  <w:num w:numId="17">
    <w:abstractNumId w:val="20"/>
  </w:num>
  <w:num w:numId="18">
    <w:abstractNumId w:val="2"/>
  </w:num>
  <w:num w:numId="19">
    <w:abstractNumId w:val="17"/>
  </w:num>
  <w:num w:numId="20">
    <w:abstractNumId w:val="3"/>
  </w:num>
  <w:num w:numId="21">
    <w:abstractNumId w:val="18"/>
  </w:num>
  <w:num w:numId="22">
    <w:abstractNumId w:val="10"/>
  </w:num>
  <w:num w:numId="23">
    <w:abstractNumId w:val="5"/>
  </w:num>
  <w:num w:numId="24">
    <w:abstractNumId w:val="20"/>
  </w:num>
  <w:num w:numId="25">
    <w:abstractNumId w:val="14"/>
  </w:num>
  <w:num w:numId="26">
    <w:abstractNumId w:val="9"/>
  </w:num>
  <w:num w:numId="27">
    <w:abstractNumId w:val="15"/>
  </w:num>
  <w:num w:numId="28">
    <w:abstractNumId w:val="21"/>
  </w:num>
  <w:num w:numId="29">
    <w:abstractNumId w:val="25"/>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00"/>
    <w:rsid w:val="0000266A"/>
    <w:rsid w:val="0000707D"/>
    <w:rsid w:val="0001585E"/>
    <w:rsid w:val="000175E5"/>
    <w:rsid w:val="00022485"/>
    <w:rsid w:val="00031634"/>
    <w:rsid w:val="00042BDF"/>
    <w:rsid w:val="00047F1B"/>
    <w:rsid w:val="00063E19"/>
    <w:rsid w:val="00074323"/>
    <w:rsid w:val="000A123D"/>
    <w:rsid w:val="000A7B23"/>
    <w:rsid w:val="000B26B0"/>
    <w:rsid w:val="000E1ABB"/>
    <w:rsid w:val="000E4C8E"/>
    <w:rsid w:val="0011170E"/>
    <w:rsid w:val="00111870"/>
    <w:rsid w:val="001270C0"/>
    <w:rsid w:val="001842DF"/>
    <w:rsid w:val="00186C54"/>
    <w:rsid w:val="0019010A"/>
    <w:rsid w:val="00196941"/>
    <w:rsid w:val="00196C3A"/>
    <w:rsid w:val="001A004F"/>
    <w:rsid w:val="001A299B"/>
    <w:rsid w:val="001A2EA4"/>
    <w:rsid w:val="001E0044"/>
    <w:rsid w:val="001E4CE6"/>
    <w:rsid w:val="001E6C53"/>
    <w:rsid w:val="001E6C5C"/>
    <w:rsid w:val="001F5607"/>
    <w:rsid w:val="00201979"/>
    <w:rsid w:val="00204B47"/>
    <w:rsid w:val="00223D0D"/>
    <w:rsid w:val="00241E30"/>
    <w:rsid w:val="00250BF4"/>
    <w:rsid w:val="0025108C"/>
    <w:rsid w:val="00253B38"/>
    <w:rsid w:val="00262458"/>
    <w:rsid w:val="00266C64"/>
    <w:rsid w:val="00271416"/>
    <w:rsid w:val="00271AF2"/>
    <w:rsid w:val="00284077"/>
    <w:rsid w:val="0029018A"/>
    <w:rsid w:val="0029188A"/>
    <w:rsid w:val="002B4B62"/>
    <w:rsid w:val="002C43F2"/>
    <w:rsid w:val="002C59A4"/>
    <w:rsid w:val="002C7BD1"/>
    <w:rsid w:val="002F5F82"/>
    <w:rsid w:val="00305BFA"/>
    <w:rsid w:val="00326AD0"/>
    <w:rsid w:val="0033265D"/>
    <w:rsid w:val="003653CE"/>
    <w:rsid w:val="003834C6"/>
    <w:rsid w:val="00385FD8"/>
    <w:rsid w:val="0038672A"/>
    <w:rsid w:val="0039618D"/>
    <w:rsid w:val="003A301B"/>
    <w:rsid w:val="003A4060"/>
    <w:rsid w:val="003C60E3"/>
    <w:rsid w:val="003E6887"/>
    <w:rsid w:val="003E71FD"/>
    <w:rsid w:val="003F249C"/>
    <w:rsid w:val="003F33BA"/>
    <w:rsid w:val="003F3AF7"/>
    <w:rsid w:val="0040503D"/>
    <w:rsid w:val="004270F9"/>
    <w:rsid w:val="00434B57"/>
    <w:rsid w:val="00443865"/>
    <w:rsid w:val="0044404D"/>
    <w:rsid w:val="0044408D"/>
    <w:rsid w:val="00467A42"/>
    <w:rsid w:val="00471130"/>
    <w:rsid w:val="00473FAB"/>
    <w:rsid w:val="004844C1"/>
    <w:rsid w:val="004861FB"/>
    <w:rsid w:val="00493F9A"/>
    <w:rsid w:val="004B4AC5"/>
    <w:rsid w:val="004B57E7"/>
    <w:rsid w:val="004C3A35"/>
    <w:rsid w:val="004D71CA"/>
    <w:rsid w:val="004E3E41"/>
    <w:rsid w:val="004E6742"/>
    <w:rsid w:val="004F19CF"/>
    <w:rsid w:val="00510142"/>
    <w:rsid w:val="0051562A"/>
    <w:rsid w:val="005167FF"/>
    <w:rsid w:val="00520A98"/>
    <w:rsid w:val="00532AB2"/>
    <w:rsid w:val="0054446F"/>
    <w:rsid w:val="00546F32"/>
    <w:rsid w:val="005612C0"/>
    <w:rsid w:val="00566AC3"/>
    <w:rsid w:val="005711F7"/>
    <w:rsid w:val="005808B1"/>
    <w:rsid w:val="00595FC8"/>
    <w:rsid w:val="005A5E9F"/>
    <w:rsid w:val="005B04C2"/>
    <w:rsid w:val="005C5C79"/>
    <w:rsid w:val="005D7D31"/>
    <w:rsid w:val="00610ADF"/>
    <w:rsid w:val="00616390"/>
    <w:rsid w:val="00622797"/>
    <w:rsid w:val="00685C06"/>
    <w:rsid w:val="006872B8"/>
    <w:rsid w:val="00687A23"/>
    <w:rsid w:val="006B4D92"/>
    <w:rsid w:val="006C211B"/>
    <w:rsid w:val="006D4041"/>
    <w:rsid w:val="006E4A92"/>
    <w:rsid w:val="006E5754"/>
    <w:rsid w:val="00714E15"/>
    <w:rsid w:val="00717FC8"/>
    <w:rsid w:val="00726853"/>
    <w:rsid w:val="00726E49"/>
    <w:rsid w:val="00727D38"/>
    <w:rsid w:val="00730FD1"/>
    <w:rsid w:val="00732351"/>
    <w:rsid w:val="00761490"/>
    <w:rsid w:val="00763AC8"/>
    <w:rsid w:val="00773E2B"/>
    <w:rsid w:val="00776655"/>
    <w:rsid w:val="007802F8"/>
    <w:rsid w:val="00787617"/>
    <w:rsid w:val="00787C5C"/>
    <w:rsid w:val="007A3F26"/>
    <w:rsid w:val="007D70C2"/>
    <w:rsid w:val="007D7D45"/>
    <w:rsid w:val="007D7FC9"/>
    <w:rsid w:val="007E2ECA"/>
    <w:rsid w:val="007F3971"/>
    <w:rsid w:val="00802073"/>
    <w:rsid w:val="00806B89"/>
    <w:rsid w:val="00807262"/>
    <w:rsid w:val="00814E01"/>
    <w:rsid w:val="00832E96"/>
    <w:rsid w:val="0086203D"/>
    <w:rsid w:val="00867277"/>
    <w:rsid w:val="0087462E"/>
    <w:rsid w:val="00881624"/>
    <w:rsid w:val="008A7890"/>
    <w:rsid w:val="008B0F57"/>
    <w:rsid w:val="008B5F4F"/>
    <w:rsid w:val="008E1845"/>
    <w:rsid w:val="008F6A17"/>
    <w:rsid w:val="008F729D"/>
    <w:rsid w:val="008F7B32"/>
    <w:rsid w:val="00903155"/>
    <w:rsid w:val="00904743"/>
    <w:rsid w:val="00904D17"/>
    <w:rsid w:val="00904FBA"/>
    <w:rsid w:val="009121E7"/>
    <w:rsid w:val="00923CEC"/>
    <w:rsid w:val="00931C08"/>
    <w:rsid w:val="00943F76"/>
    <w:rsid w:val="009467AA"/>
    <w:rsid w:val="0095168B"/>
    <w:rsid w:val="009671D8"/>
    <w:rsid w:val="00970AE5"/>
    <w:rsid w:val="00971AD3"/>
    <w:rsid w:val="00982553"/>
    <w:rsid w:val="00993193"/>
    <w:rsid w:val="009A0947"/>
    <w:rsid w:val="009B440A"/>
    <w:rsid w:val="009B5639"/>
    <w:rsid w:val="009C7A00"/>
    <w:rsid w:val="009D73D7"/>
    <w:rsid w:val="009E41A0"/>
    <w:rsid w:val="009E5D84"/>
    <w:rsid w:val="009F5274"/>
    <w:rsid w:val="00A00A48"/>
    <w:rsid w:val="00A05CE7"/>
    <w:rsid w:val="00A23D16"/>
    <w:rsid w:val="00A3717D"/>
    <w:rsid w:val="00A41BDF"/>
    <w:rsid w:val="00A4438A"/>
    <w:rsid w:val="00A5546F"/>
    <w:rsid w:val="00A63FC8"/>
    <w:rsid w:val="00A66B44"/>
    <w:rsid w:val="00A66C25"/>
    <w:rsid w:val="00A70CC1"/>
    <w:rsid w:val="00A72CC3"/>
    <w:rsid w:val="00A823E5"/>
    <w:rsid w:val="00A90ADA"/>
    <w:rsid w:val="00A92331"/>
    <w:rsid w:val="00AB25E0"/>
    <w:rsid w:val="00AC49AE"/>
    <w:rsid w:val="00AD2747"/>
    <w:rsid w:val="00AD39E6"/>
    <w:rsid w:val="00AD6340"/>
    <w:rsid w:val="00AD6937"/>
    <w:rsid w:val="00AE1505"/>
    <w:rsid w:val="00AE716B"/>
    <w:rsid w:val="00AF5798"/>
    <w:rsid w:val="00AF789C"/>
    <w:rsid w:val="00B03D0C"/>
    <w:rsid w:val="00B04305"/>
    <w:rsid w:val="00B11106"/>
    <w:rsid w:val="00B16807"/>
    <w:rsid w:val="00B24037"/>
    <w:rsid w:val="00B3689B"/>
    <w:rsid w:val="00B53253"/>
    <w:rsid w:val="00B64142"/>
    <w:rsid w:val="00B90FCE"/>
    <w:rsid w:val="00B92131"/>
    <w:rsid w:val="00B931EB"/>
    <w:rsid w:val="00BC4570"/>
    <w:rsid w:val="00BD60BB"/>
    <w:rsid w:val="00BE3665"/>
    <w:rsid w:val="00C1553F"/>
    <w:rsid w:val="00C155E1"/>
    <w:rsid w:val="00C20EA0"/>
    <w:rsid w:val="00C3436A"/>
    <w:rsid w:val="00C47459"/>
    <w:rsid w:val="00C55EFD"/>
    <w:rsid w:val="00C61504"/>
    <w:rsid w:val="00C91D73"/>
    <w:rsid w:val="00CA2EE0"/>
    <w:rsid w:val="00CA6C98"/>
    <w:rsid w:val="00CF1249"/>
    <w:rsid w:val="00CF6CC5"/>
    <w:rsid w:val="00D23AE3"/>
    <w:rsid w:val="00D3029A"/>
    <w:rsid w:val="00D43928"/>
    <w:rsid w:val="00D54986"/>
    <w:rsid w:val="00D86119"/>
    <w:rsid w:val="00D878C8"/>
    <w:rsid w:val="00DA380D"/>
    <w:rsid w:val="00DA7A34"/>
    <w:rsid w:val="00DB0898"/>
    <w:rsid w:val="00DC13FD"/>
    <w:rsid w:val="00DD02EC"/>
    <w:rsid w:val="00DF1D90"/>
    <w:rsid w:val="00E00469"/>
    <w:rsid w:val="00E1093E"/>
    <w:rsid w:val="00E2351A"/>
    <w:rsid w:val="00E2369A"/>
    <w:rsid w:val="00E26768"/>
    <w:rsid w:val="00E32BE8"/>
    <w:rsid w:val="00E35A29"/>
    <w:rsid w:val="00E35D96"/>
    <w:rsid w:val="00E4123E"/>
    <w:rsid w:val="00E418CD"/>
    <w:rsid w:val="00E551B1"/>
    <w:rsid w:val="00E57B41"/>
    <w:rsid w:val="00E65AEA"/>
    <w:rsid w:val="00E674B6"/>
    <w:rsid w:val="00E7262B"/>
    <w:rsid w:val="00E72FA3"/>
    <w:rsid w:val="00EB7275"/>
    <w:rsid w:val="00ED7D68"/>
    <w:rsid w:val="00EE235F"/>
    <w:rsid w:val="00EF30D2"/>
    <w:rsid w:val="00EF692C"/>
    <w:rsid w:val="00F203E4"/>
    <w:rsid w:val="00F339D7"/>
    <w:rsid w:val="00F458C2"/>
    <w:rsid w:val="00F5668A"/>
    <w:rsid w:val="00F6074C"/>
    <w:rsid w:val="00F60D4F"/>
    <w:rsid w:val="00F6282F"/>
    <w:rsid w:val="00F80066"/>
    <w:rsid w:val="00F85F4F"/>
    <w:rsid w:val="00F865F9"/>
    <w:rsid w:val="00F8701D"/>
    <w:rsid w:val="00F9305B"/>
    <w:rsid w:val="00F96A80"/>
    <w:rsid w:val="00FA0DF5"/>
    <w:rsid w:val="00FA4D74"/>
    <w:rsid w:val="00FA5D46"/>
    <w:rsid w:val="00FA6BB2"/>
    <w:rsid w:val="00FB3C2D"/>
    <w:rsid w:val="00FC11FF"/>
    <w:rsid w:val="00FC2F26"/>
    <w:rsid w:val="00FC3138"/>
    <w:rsid w:val="00FD1582"/>
    <w:rsid w:val="00FD41E9"/>
    <w:rsid w:val="00FE2304"/>
    <w:rsid w:val="00FF47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634F6"/>
  <w15:chartTrackingRefBased/>
  <w15:docId w15:val="{857EC969-2E38-491A-96E4-3C861BE2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E8"/>
  </w:style>
  <w:style w:type="paragraph" w:styleId="Heading1">
    <w:name w:val="heading 1"/>
    <w:basedOn w:val="Normal"/>
    <w:next w:val="Normal"/>
    <w:link w:val="Heading1Char"/>
    <w:uiPriority w:val="9"/>
    <w:qFormat/>
    <w:rsid w:val="00FD1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01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832E96"/>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32E96"/>
    <w:rPr>
      <w:rFonts w:ascii="Times New Roman" w:eastAsia="Times New Roman" w:hAnsi="Times New Roman" w:cs="Times New Roman"/>
      <w:b/>
      <w:bCs/>
      <w:sz w:val="20"/>
      <w:szCs w:val="20"/>
      <w:lang w:eastAsia="en-NZ"/>
    </w:rPr>
  </w:style>
  <w:style w:type="character" w:customStyle="1" w:styleId="label">
    <w:name w:val="label"/>
    <w:basedOn w:val="DefaultParagraphFont"/>
    <w:rsid w:val="00832E96"/>
  </w:style>
  <w:style w:type="paragraph" w:customStyle="1" w:styleId="text">
    <w:name w:val="text"/>
    <w:basedOn w:val="Normal"/>
    <w:rsid w:val="00832E9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802073"/>
    <w:pPr>
      <w:spacing w:after="0" w:line="240" w:lineRule="auto"/>
    </w:pPr>
    <w:rPr>
      <w:rFonts w:ascii="Arial" w:eastAsia="Times New Roman" w:hAnsi="Arial" w:cs="Times New Roman"/>
      <w:szCs w:val="20"/>
      <w:lang w:val="en-GB"/>
    </w:rPr>
  </w:style>
  <w:style w:type="character" w:customStyle="1" w:styleId="FootnoteTextChar">
    <w:name w:val="Footnote Text Char"/>
    <w:basedOn w:val="DefaultParagraphFont"/>
    <w:link w:val="FootnoteText"/>
    <w:uiPriority w:val="99"/>
    <w:semiHidden/>
    <w:rsid w:val="00802073"/>
    <w:rPr>
      <w:rFonts w:ascii="Arial" w:eastAsia="Times New Roman" w:hAnsi="Arial" w:cs="Times New Roman"/>
      <w:szCs w:val="20"/>
      <w:lang w:val="en-GB"/>
    </w:rPr>
  </w:style>
  <w:style w:type="character" w:styleId="FootnoteReference">
    <w:name w:val="footnote reference"/>
    <w:semiHidden/>
    <w:unhideWhenUsed/>
    <w:rsid w:val="00802073"/>
    <w:rPr>
      <w:vertAlign w:val="superscript"/>
    </w:rPr>
  </w:style>
  <w:style w:type="paragraph" w:styleId="ListParagraph">
    <w:name w:val="List Paragraph"/>
    <w:basedOn w:val="Normal"/>
    <w:uiPriority w:val="34"/>
    <w:qFormat/>
    <w:rsid w:val="00DB0898"/>
    <w:pPr>
      <w:ind w:left="720"/>
      <w:contextualSpacing/>
    </w:pPr>
  </w:style>
  <w:style w:type="character" w:customStyle="1" w:styleId="Heading1Char">
    <w:name w:val="Heading 1 Char"/>
    <w:basedOn w:val="DefaultParagraphFont"/>
    <w:link w:val="Heading1"/>
    <w:uiPriority w:val="9"/>
    <w:rsid w:val="00FD158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D1582"/>
    <w:rPr>
      <w:color w:val="0563C1" w:themeColor="hyperlink"/>
      <w:u w:val="single"/>
    </w:rPr>
  </w:style>
  <w:style w:type="character" w:customStyle="1" w:styleId="Heading2Char">
    <w:name w:val="Heading 2 Char"/>
    <w:basedOn w:val="DefaultParagraphFont"/>
    <w:link w:val="Heading2"/>
    <w:uiPriority w:val="9"/>
    <w:rsid w:val="0019010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3717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l">
    <w:name w:val="il"/>
    <w:basedOn w:val="DefaultParagraphFont"/>
    <w:rsid w:val="00E418CD"/>
  </w:style>
  <w:style w:type="paragraph" w:styleId="Header">
    <w:name w:val="header"/>
    <w:basedOn w:val="Normal"/>
    <w:link w:val="HeaderChar"/>
    <w:uiPriority w:val="99"/>
    <w:unhideWhenUsed/>
    <w:rsid w:val="00A90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ADA"/>
  </w:style>
  <w:style w:type="paragraph" w:styleId="Footer">
    <w:name w:val="footer"/>
    <w:basedOn w:val="Normal"/>
    <w:link w:val="FooterChar"/>
    <w:uiPriority w:val="99"/>
    <w:unhideWhenUsed/>
    <w:rsid w:val="00A90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ADA"/>
  </w:style>
  <w:style w:type="character" w:styleId="UnresolvedMention">
    <w:name w:val="Unresolved Mention"/>
    <w:basedOn w:val="DefaultParagraphFont"/>
    <w:uiPriority w:val="99"/>
    <w:semiHidden/>
    <w:unhideWhenUsed/>
    <w:rsid w:val="00A90ADA"/>
    <w:rPr>
      <w:color w:val="605E5C"/>
      <w:shd w:val="clear" w:color="auto" w:fill="E1DFDD"/>
    </w:rPr>
  </w:style>
  <w:style w:type="table" w:styleId="TableGrid">
    <w:name w:val="Table Grid"/>
    <w:basedOn w:val="TableNormal"/>
    <w:uiPriority w:val="39"/>
    <w:rsid w:val="00EB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65F9"/>
    <w:pPr>
      <w:autoSpaceDE w:val="0"/>
      <w:autoSpaceDN w:val="0"/>
      <w:adjustRightInd w:val="0"/>
      <w:spacing w:after="0" w:line="240" w:lineRule="auto"/>
    </w:pPr>
    <w:rPr>
      <w:rFonts w:ascii="Museo Sans 300" w:hAnsi="Museo Sans 300" w:cs="Museo Sans 300"/>
      <w:color w:val="000000"/>
      <w:sz w:val="24"/>
      <w:szCs w:val="24"/>
    </w:rPr>
  </w:style>
  <w:style w:type="character" w:styleId="FollowedHyperlink">
    <w:name w:val="FollowedHyperlink"/>
    <w:basedOn w:val="DefaultParagraphFont"/>
    <w:uiPriority w:val="99"/>
    <w:semiHidden/>
    <w:unhideWhenUsed/>
    <w:rsid w:val="00196941"/>
    <w:rPr>
      <w:color w:val="954F72" w:themeColor="followedHyperlink"/>
      <w:u w:val="single"/>
    </w:rPr>
  </w:style>
  <w:style w:type="character" w:styleId="CommentReference">
    <w:name w:val="annotation reference"/>
    <w:basedOn w:val="DefaultParagraphFont"/>
    <w:uiPriority w:val="99"/>
    <w:semiHidden/>
    <w:unhideWhenUsed/>
    <w:rsid w:val="00FC2F26"/>
    <w:rPr>
      <w:sz w:val="16"/>
      <w:szCs w:val="16"/>
    </w:rPr>
  </w:style>
  <w:style w:type="paragraph" w:styleId="CommentText">
    <w:name w:val="annotation text"/>
    <w:basedOn w:val="Normal"/>
    <w:link w:val="CommentTextChar"/>
    <w:uiPriority w:val="99"/>
    <w:semiHidden/>
    <w:unhideWhenUsed/>
    <w:rsid w:val="00FC2F26"/>
    <w:pPr>
      <w:spacing w:line="240" w:lineRule="auto"/>
    </w:pPr>
    <w:rPr>
      <w:sz w:val="20"/>
      <w:szCs w:val="20"/>
    </w:rPr>
  </w:style>
  <w:style w:type="character" w:customStyle="1" w:styleId="CommentTextChar">
    <w:name w:val="Comment Text Char"/>
    <w:basedOn w:val="DefaultParagraphFont"/>
    <w:link w:val="CommentText"/>
    <w:uiPriority w:val="99"/>
    <w:semiHidden/>
    <w:rsid w:val="00FC2F26"/>
    <w:rPr>
      <w:sz w:val="20"/>
      <w:szCs w:val="20"/>
    </w:rPr>
  </w:style>
  <w:style w:type="paragraph" w:styleId="CommentSubject">
    <w:name w:val="annotation subject"/>
    <w:basedOn w:val="CommentText"/>
    <w:next w:val="CommentText"/>
    <w:link w:val="CommentSubjectChar"/>
    <w:uiPriority w:val="99"/>
    <w:semiHidden/>
    <w:unhideWhenUsed/>
    <w:rsid w:val="00FC2F26"/>
    <w:rPr>
      <w:b/>
      <w:bCs/>
    </w:rPr>
  </w:style>
  <w:style w:type="character" w:customStyle="1" w:styleId="CommentSubjectChar">
    <w:name w:val="Comment Subject Char"/>
    <w:basedOn w:val="CommentTextChar"/>
    <w:link w:val="CommentSubject"/>
    <w:uiPriority w:val="99"/>
    <w:semiHidden/>
    <w:rsid w:val="00FC2F26"/>
    <w:rPr>
      <w:b/>
      <w:bCs/>
      <w:sz w:val="20"/>
      <w:szCs w:val="20"/>
    </w:rPr>
  </w:style>
  <w:style w:type="paragraph" w:styleId="BalloonText">
    <w:name w:val="Balloon Text"/>
    <w:basedOn w:val="Normal"/>
    <w:link w:val="BalloonTextChar"/>
    <w:uiPriority w:val="99"/>
    <w:semiHidden/>
    <w:unhideWhenUsed/>
    <w:rsid w:val="00FC2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F26"/>
    <w:rPr>
      <w:rFonts w:ascii="Segoe UI" w:hAnsi="Segoe UI" w:cs="Segoe UI"/>
      <w:sz w:val="18"/>
      <w:szCs w:val="18"/>
    </w:rPr>
  </w:style>
  <w:style w:type="paragraph" w:styleId="Revision">
    <w:name w:val="Revision"/>
    <w:hidden/>
    <w:uiPriority w:val="99"/>
    <w:semiHidden/>
    <w:rsid w:val="00FA4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21552">
      <w:bodyDiv w:val="1"/>
      <w:marLeft w:val="0"/>
      <w:marRight w:val="0"/>
      <w:marTop w:val="0"/>
      <w:marBottom w:val="0"/>
      <w:divBdr>
        <w:top w:val="none" w:sz="0" w:space="0" w:color="auto"/>
        <w:left w:val="none" w:sz="0" w:space="0" w:color="auto"/>
        <w:bottom w:val="none" w:sz="0" w:space="0" w:color="auto"/>
        <w:right w:val="none" w:sz="0" w:space="0" w:color="auto"/>
      </w:divBdr>
    </w:div>
    <w:div w:id="230115138">
      <w:bodyDiv w:val="1"/>
      <w:marLeft w:val="0"/>
      <w:marRight w:val="0"/>
      <w:marTop w:val="0"/>
      <w:marBottom w:val="0"/>
      <w:divBdr>
        <w:top w:val="none" w:sz="0" w:space="0" w:color="auto"/>
        <w:left w:val="none" w:sz="0" w:space="0" w:color="auto"/>
        <w:bottom w:val="none" w:sz="0" w:space="0" w:color="auto"/>
        <w:right w:val="none" w:sz="0" w:space="0" w:color="auto"/>
      </w:divBdr>
    </w:div>
    <w:div w:id="275211641">
      <w:bodyDiv w:val="1"/>
      <w:marLeft w:val="0"/>
      <w:marRight w:val="0"/>
      <w:marTop w:val="0"/>
      <w:marBottom w:val="0"/>
      <w:divBdr>
        <w:top w:val="none" w:sz="0" w:space="0" w:color="auto"/>
        <w:left w:val="none" w:sz="0" w:space="0" w:color="auto"/>
        <w:bottom w:val="none" w:sz="0" w:space="0" w:color="auto"/>
        <w:right w:val="none" w:sz="0" w:space="0" w:color="auto"/>
      </w:divBdr>
    </w:div>
    <w:div w:id="307511592">
      <w:bodyDiv w:val="1"/>
      <w:marLeft w:val="0"/>
      <w:marRight w:val="0"/>
      <w:marTop w:val="0"/>
      <w:marBottom w:val="0"/>
      <w:divBdr>
        <w:top w:val="none" w:sz="0" w:space="0" w:color="auto"/>
        <w:left w:val="none" w:sz="0" w:space="0" w:color="auto"/>
        <w:bottom w:val="none" w:sz="0" w:space="0" w:color="auto"/>
        <w:right w:val="none" w:sz="0" w:space="0" w:color="auto"/>
      </w:divBdr>
    </w:div>
    <w:div w:id="327025354">
      <w:bodyDiv w:val="1"/>
      <w:marLeft w:val="0"/>
      <w:marRight w:val="0"/>
      <w:marTop w:val="0"/>
      <w:marBottom w:val="0"/>
      <w:divBdr>
        <w:top w:val="none" w:sz="0" w:space="0" w:color="auto"/>
        <w:left w:val="none" w:sz="0" w:space="0" w:color="auto"/>
        <w:bottom w:val="none" w:sz="0" w:space="0" w:color="auto"/>
        <w:right w:val="none" w:sz="0" w:space="0" w:color="auto"/>
      </w:divBdr>
    </w:div>
    <w:div w:id="363141409">
      <w:bodyDiv w:val="1"/>
      <w:marLeft w:val="0"/>
      <w:marRight w:val="0"/>
      <w:marTop w:val="0"/>
      <w:marBottom w:val="0"/>
      <w:divBdr>
        <w:top w:val="none" w:sz="0" w:space="0" w:color="auto"/>
        <w:left w:val="none" w:sz="0" w:space="0" w:color="auto"/>
        <w:bottom w:val="none" w:sz="0" w:space="0" w:color="auto"/>
        <w:right w:val="none" w:sz="0" w:space="0" w:color="auto"/>
      </w:divBdr>
    </w:div>
    <w:div w:id="370692273">
      <w:bodyDiv w:val="1"/>
      <w:marLeft w:val="0"/>
      <w:marRight w:val="0"/>
      <w:marTop w:val="0"/>
      <w:marBottom w:val="0"/>
      <w:divBdr>
        <w:top w:val="none" w:sz="0" w:space="0" w:color="auto"/>
        <w:left w:val="none" w:sz="0" w:space="0" w:color="auto"/>
        <w:bottom w:val="none" w:sz="0" w:space="0" w:color="auto"/>
        <w:right w:val="none" w:sz="0" w:space="0" w:color="auto"/>
      </w:divBdr>
      <w:divsChild>
        <w:div w:id="466315358">
          <w:marLeft w:val="0"/>
          <w:marRight w:val="0"/>
          <w:marTop w:val="83"/>
          <w:marBottom w:val="0"/>
          <w:divBdr>
            <w:top w:val="none" w:sz="0" w:space="0" w:color="auto"/>
            <w:left w:val="none" w:sz="0" w:space="0" w:color="auto"/>
            <w:bottom w:val="none" w:sz="0" w:space="0" w:color="auto"/>
            <w:right w:val="none" w:sz="0" w:space="0" w:color="auto"/>
          </w:divBdr>
          <w:divsChild>
            <w:div w:id="87234223">
              <w:marLeft w:val="0"/>
              <w:marRight w:val="0"/>
              <w:marTop w:val="83"/>
              <w:marBottom w:val="0"/>
              <w:divBdr>
                <w:top w:val="none" w:sz="0" w:space="0" w:color="auto"/>
                <w:left w:val="none" w:sz="0" w:space="0" w:color="auto"/>
                <w:bottom w:val="none" w:sz="0" w:space="0" w:color="auto"/>
                <w:right w:val="none" w:sz="0" w:space="0" w:color="auto"/>
              </w:divBdr>
            </w:div>
            <w:div w:id="1151869657">
              <w:marLeft w:val="0"/>
              <w:marRight w:val="0"/>
              <w:marTop w:val="83"/>
              <w:marBottom w:val="0"/>
              <w:divBdr>
                <w:top w:val="none" w:sz="0" w:space="0" w:color="auto"/>
                <w:left w:val="none" w:sz="0" w:space="0" w:color="auto"/>
                <w:bottom w:val="none" w:sz="0" w:space="0" w:color="auto"/>
                <w:right w:val="none" w:sz="0" w:space="0" w:color="auto"/>
              </w:divBdr>
            </w:div>
            <w:div w:id="2143232847">
              <w:marLeft w:val="0"/>
              <w:marRight w:val="0"/>
              <w:marTop w:val="83"/>
              <w:marBottom w:val="0"/>
              <w:divBdr>
                <w:top w:val="none" w:sz="0" w:space="0" w:color="auto"/>
                <w:left w:val="none" w:sz="0" w:space="0" w:color="auto"/>
                <w:bottom w:val="none" w:sz="0" w:space="0" w:color="auto"/>
                <w:right w:val="none" w:sz="0" w:space="0" w:color="auto"/>
              </w:divBdr>
            </w:div>
            <w:div w:id="44257406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442576062">
      <w:bodyDiv w:val="1"/>
      <w:marLeft w:val="0"/>
      <w:marRight w:val="0"/>
      <w:marTop w:val="0"/>
      <w:marBottom w:val="0"/>
      <w:divBdr>
        <w:top w:val="none" w:sz="0" w:space="0" w:color="auto"/>
        <w:left w:val="none" w:sz="0" w:space="0" w:color="auto"/>
        <w:bottom w:val="none" w:sz="0" w:space="0" w:color="auto"/>
        <w:right w:val="none" w:sz="0" w:space="0" w:color="auto"/>
      </w:divBdr>
    </w:div>
    <w:div w:id="474420011">
      <w:bodyDiv w:val="1"/>
      <w:marLeft w:val="0"/>
      <w:marRight w:val="0"/>
      <w:marTop w:val="0"/>
      <w:marBottom w:val="0"/>
      <w:divBdr>
        <w:top w:val="none" w:sz="0" w:space="0" w:color="auto"/>
        <w:left w:val="none" w:sz="0" w:space="0" w:color="auto"/>
        <w:bottom w:val="none" w:sz="0" w:space="0" w:color="auto"/>
        <w:right w:val="none" w:sz="0" w:space="0" w:color="auto"/>
      </w:divBdr>
    </w:div>
    <w:div w:id="629436222">
      <w:bodyDiv w:val="1"/>
      <w:marLeft w:val="0"/>
      <w:marRight w:val="0"/>
      <w:marTop w:val="0"/>
      <w:marBottom w:val="0"/>
      <w:divBdr>
        <w:top w:val="none" w:sz="0" w:space="0" w:color="auto"/>
        <w:left w:val="none" w:sz="0" w:space="0" w:color="auto"/>
        <w:bottom w:val="none" w:sz="0" w:space="0" w:color="auto"/>
        <w:right w:val="none" w:sz="0" w:space="0" w:color="auto"/>
      </w:divBdr>
    </w:div>
    <w:div w:id="648634593">
      <w:bodyDiv w:val="1"/>
      <w:marLeft w:val="0"/>
      <w:marRight w:val="0"/>
      <w:marTop w:val="0"/>
      <w:marBottom w:val="0"/>
      <w:divBdr>
        <w:top w:val="none" w:sz="0" w:space="0" w:color="auto"/>
        <w:left w:val="none" w:sz="0" w:space="0" w:color="auto"/>
        <w:bottom w:val="none" w:sz="0" w:space="0" w:color="auto"/>
        <w:right w:val="none" w:sz="0" w:space="0" w:color="auto"/>
      </w:divBdr>
      <w:divsChild>
        <w:div w:id="1395161979">
          <w:marLeft w:val="0"/>
          <w:marRight w:val="0"/>
          <w:marTop w:val="0"/>
          <w:marBottom w:val="0"/>
          <w:divBdr>
            <w:top w:val="none" w:sz="0" w:space="0" w:color="auto"/>
            <w:left w:val="none" w:sz="0" w:space="0" w:color="auto"/>
            <w:bottom w:val="none" w:sz="0" w:space="0" w:color="auto"/>
            <w:right w:val="none" w:sz="0" w:space="0" w:color="auto"/>
          </w:divBdr>
        </w:div>
        <w:div w:id="1201354950">
          <w:marLeft w:val="0"/>
          <w:marRight w:val="0"/>
          <w:marTop w:val="0"/>
          <w:marBottom w:val="0"/>
          <w:divBdr>
            <w:top w:val="none" w:sz="0" w:space="0" w:color="auto"/>
            <w:left w:val="none" w:sz="0" w:space="0" w:color="auto"/>
            <w:bottom w:val="none" w:sz="0" w:space="0" w:color="auto"/>
            <w:right w:val="none" w:sz="0" w:space="0" w:color="auto"/>
          </w:divBdr>
        </w:div>
        <w:div w:id="214245759">
          <w:marLeft w:val="0"/>
          <w:marRight w:val="0"/>
          <w:marTop w:val="0"/>
          <w:marBottom w:val="0"/>
          <w:divBdr>
            <w:top w:val="none" w:sz="0" w:space="0" w:color="auto"/>
            <w:left w:val="none" w:sz="0" w:space="0" w:color="auto"/>
            <w:bottom w:val="none" w:sz="0" w:space="0" w:color="auto"/>
            <w:right w:val="none" w:sz="0" w:space="0" w:color="auto"/>
          </w:divBdr>
        </w:div>
      </w:divsChild>
    </w:div>
    <w:div w:id="668675493">
      <w:bodyDiv w:val="1"/>
      <w:marLeft w:val="0"/>
      <w:marRight w:val="0"/>
      <w:marTop w:val="0"/>
      <w:marBottom w:val="0"/>
      <w:divBdr>
        <w:top w:val="none" w:sz="0" w:space="0" w:color="auto"/>
        <w:left w:val="none" w:sz="0" w:space="0" w:color="auto"/>
        <w:bottom w:val="none" w:sz="0" w:space="0" w:color="auto"/>
        <w:right w:val="none" w:sz="0" w:space="0" w:color="auto"/>
      </w:divBdr>
    </w:div>
    <w:div w:id="882063267">
      <w:bodyDiv w:val="1"/>
      <w:marLeft w:val="0"/>
      <w:marRight w:val="0"/>
      <w:marTop w:val="0"/>
      <w:marBottom w:val="0"/>
      <w:divBdr>
        <w:top w:val="none" w:sz="0" w:space="0" w:color="auto"/>
        <w:left w:val="none" w:sz="0" w:space="0" w:color="auto"/>
        <w:bottom w:val="none" w:sz="0" w:space="0" w:color="auto"/>
        <w:right w:val="none" w:sz="0" w:space="0" w:color="auto"/>
      </w:divBdr>
    </w:div>
    <w:div w:id="905333279">
      <w:bodyDiv w:val="1"/>
      <w:marLeft w:val="0"/>
      <w:marRight w:val="0"/>
      <w:marTop w:val="0"/>
      <w:marBottom w:val="0"/>
      <w:divBdr>
        <w:top w:val="none" w:sz="0" w:space="0" w:color="auto"/>
        <w:left w:val="none" w:sz="0" w:space="0" w:color="auto"/>
        <w:bottom w:val="none" w:sz="0" w:space="0" w:color="auto"/>
        <w:right w:val="none" w:sz="0" w:space="0" w:color="auto"/>
      </w:divBdr>
    </w:div>
    <w:div w:id="911507422">
      <w:bodyDiv w:val="1"/>
      <w:marLeft w:val="0"/>
      <w:marRight w:val="0"/>
      <w:marTop w:val="0"/>
      <w:marBottom w:val="0"/>
      <w:divBdr>
        <w:top w:val="none" w:sz="0" w:space="0" w:color="auto"/>
        <w:left w:val="none" w:sz="0" w:space="0" w:color="auto"/>
        <w:bottom w:val="none" w:sz="0" w:space="0" w:color="auto"/>
        <w:right w:val="none" w:sz="0" w:space="0" w:color="auto"/>
      </w:divBdr>
    </w:div>
    <w:div w:id="930090667">
      <w:bodyDiv w:val="1"/>
      <w:marLeft w:val="0"/>
      <w:marRight w:val="0"/>
      <w:marTop w:val="0"/>
      <w:marBottom w:val="0"/>
      <w:divBdr>
        <w:top w:val="none" w:sz="0" w:space="0" w:color="auto"/>
        <w:left w:val="none" w:sz="0" w:space="0" w:color="auto"/>
        <w:bottom w:val="none" w:sz="0" w:space="0" w:color="auto"/>
        <w:right w:val="none" w:sz="0" w:space="0" w:color="auto"/>
      </w:divBdr>
    </w:div>
    <w:div w:id="1278833813">
      <w:bodyDiv w:val="1"/>
      <w:marLeft w:val="0"/>
      <w:marRight w:val="0"/>
      <w:marTop w:val="0"/>
      <w:marBottom w:val="0"/>
      <w:divBdr>
        <w:top w:val="none" w:sz="0" w:space="0" w:color="auto"/>
        <w:left w:val="none" w:sz="0" w:space="0" w:color="auto"/>
        <w:bottom w:val="none" w:sz="0" w:space="0" w:color="auto"/>
        <w:right w:val="none" w:sz="0" w:space="0" w:color="auto"/>
      </w:divBdr>
    </w:div>
    <w:div w:id="1285429542">
      <w:bodyDiv w:val="1"/>
      <w:marLeft w:val="0"/>
      <w:marRight w:val="0"/>
      <w:marTop w:val="0"/>
      <w:marBottom w:val="0"/>
      <w:divBdr>
        <w:top w:val="none" w:sz="0" w:space="0" w:color="auto"/>
        <w:left w:val="none" w:sz="0" w:space="0" w:color="auto"/>
        <w:bottom w:val="none" w:sz="0" w:space="0" w:color="auto"/>
        <w:right w:val="none" w:sz="0" w:space="0" w:color="auto"/>
      </w:divBdr>
    </w:div>
    <w:div w:id="1349866275">
      <w:bodyDiv w:val="1"/>
      <w:marLeft w:val="0"/>
      <w:marRight w:val="0"/>
      <w:marTop w:val="0"/>
      <w:marBottom w:val="0"/>
      <w:divBdr>
        <w:top w:val="none" w:sz="0" w:space="0" w:color="auto"/>
        <w:left w:val="none" w:sz="0" w:space="0" w:color="auto"/>
        <w:bottom w:val="none" w:sz="0" w:space="0" w:color="auto"/>
        <w:right w:val="none" w:sz="0" w:space="0" w:color="auto"/>
      </w:divBdr>
    </w:div>
    <w:div w:id="1453985341">
      <w:bodyDiv w:val="1"/>
      <w:marLeft w:val="0"/>
      <w:marRight w:val="0"/>
      <w:marTop w:val="0"/>
      <w:marBottom w:val="0"/>
      <w:divBdr>
        <w:top w:val="none" w:sz="0" w:space="0" w:color="auto"/>
        <w:left w:val="none" w:sz="0" w:space="0" w:color="auto"/>
        <w:bottom w:val="none" w:sz="0" w:space="0" w:color="auto"/>
        <w:right w:val="none" w:sz="0" w:space="0" w:color="auto"/>
      </w:divBdr>
    </w:div>
    <w:div w:id="1508790575">
      <w:bodyDiv w:val="1"/>
      <w:marLeft w:val="0"/>
      <w:marRight w:val="0"/>
      <w:marTop w:val="0"/>
      <w:marBottom w:val="0"/>
      <w:divBdr>
        <w:top w:val="none" w:sz="0" w:space="0" w:color="auto"/>
        <w:left w:val="none" w:sz="0" w:space="0" w:color="auto"/>
        <w:bottom w:val="none" w:sz="0" w:space="0" w:color="auto"/>
        <w:right w:val="none" w:sz="0" w:space="0" w:color="auto"/>
      </w:divBdr>
    </w:div>
    <w:div w:id="1579091941">
      <w:bodyDiv w:val="1"/>
      <w:marLeft w:val="0"/>
      <w:marRight w:val="0"/>
      <w:marTop w:val="0"/>
      <w:marBottom w:val="0"/>
      <w:divBdr>
        <w:top w:val="none" w:sz="0" w:space="0" w:color="auto"/>
        <w:left w:val="none" w:sz="0" w:space="0" w:color="auto"/>
        <w:bottom w:val="none" w:sz="0" w:space="0" w:color="auto"/>
        <w:right w:val="none" w:sz="0" w:space="0" w:color="auto"/>
      </w:divBdr>
    </w:div>
    <w:div w:id="2042169640">
      <w:bodyDiv w:val="1"/>
      <w:marLeft w:val="0"/>
      <w:marRight w:val="0"/>
      <w:marTop w:val="0"/>
      <w:marBottom w:val="0"/>
      <w:divBdr>
        <w:top w:val="none" w:sz="0" w:space="0" w:color="auto"/>
        <w:left w:val="none" w:sz="0" w:space="0" w:color="auto"/>
        <w:bottom w:val="none" w:sz="0" w:space="0" w:color="auto"/>
        <w:right w:val="none" w:sz="0" w:space="0" w:color="auto"/>
      </w:divBdr>
    </w:div>
    <w:div w:id="2122263442">
      <w:bodyDiv w:val="1"/>
      <w:marLeft w:val="0"/>
      <w:marRight w:val="0"/>
      <w:marTop w:val="0"/>
      <w:marBottom w:val="0"/>
      <w:divBdr>
        <w:top w:val="none" w:sz="0" w:space="0" w:color="auto"/>
        <w:left w:val="none" w:sz="0" w:space="0" w:color="auto"/>
        <w:bottom w:val="none" w:sz="0" w:space="0" w:color="auto"/>
        <w:right w:val="none" w:sz="0" w:space="0" w:color="auto"/>
      </w:divBdr>
    </w:div>
    <w:div w:id="2123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ag.org.nz/assets/Living%20Well%20Children%20with%20disability%20need%20far%20greater%20income%20support%20in%20Aotearoa%20Sept%202020%20%281%29.pdf" TargetMode="External"/><Relationship Id="rId18" Type="http://schemas.openxmlformats.org/officeDocument/2006/relationships/chart" Target="charts/chart2.xml"/><Relationship Id="rId26" Type="http://schemas.openxmlformats.org/officeDocument/2006/relationships/hyperlink" Target="https://www.stuff.co.nz/national/300077507/coronavirus-auckland-city-mission-faces-175-rise-in-demand-for-food-parcels" TargetMode="External"/><Relationship Id="rId39" Type="http://schemas.openxmlformats.org/officeDocument/2006/relationships/hyperlink" Target="https://systemreview.health.govt.nz/assets/Uploads/hdsr/health-disability-system-review-final-report.pdf" TargetMode="External"/><Relationship Id="rId21" Type="http://schemas.openxmlformats.org/officeDocument/2006/relationships/image" Target="media/image3.png"/><Relationship Id="rId34" Type="http://schemas.openxmlformats.org/officeDocument/2006/relationships/footer" Target="footer1.xml"/><Relationship Id="rId42" Type="http://schemas.openxmlformats.org/officeDocument/2006/relationships/hyperlink" Target="https://www.scoop.co.nz/stories/PO2008/S00227/manaaki-rangatahi-finds-youth-left-out-in-thecold.htm" TargetMode="External"/><Relationship Id="rId47" Type="http://schemas.openxmlformats.org/officeDocument/2006/relationships/hyperlink" Target="https://www.msd.govt.nz/documents/about-msd-and-our-work/publications-resources/information-releases/weag-report-release/rapid-evidence-review-the-impact-of-poverty-on-life-course-outcomes-for-children-and-the-likely-effect-of-increasing-the-adequacy-of-welfare-benef.pdf" TargetMode="External"/><Relationship Id="rId50" Type="http://schemas.openxmlformats.org/officeDocument/2006/relationships/hyperlink" Target="http://www.thesamorchard.com/wp-content/uploads/2018/03/WAB-Report.pdf" TargetMode="External"/><Relationship Id="rId55" Type="http://schemas.openxmlformats.org/officeDocument/2006/relationships/hyperlink" Target="https://forms.justice.govt.nz/search/Documents/WT/wt_DOC_152801817/Hauora%20W.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hesamorchard.com/wp-content/uploads/2018/03/WAB-Report.pdf" TargetMode="External"/><Relationship Id="rId29" Type="http://schemas.openxmlformats.org/officeDocument/2006/relationships/image" Target="media/image4.png"/><Relationship Id="rId11" Type="http://schemas.openxmlformats.org/officeDocument/2006/relationships/hyperlink" Target="https://systemreview.health.govt.nz/assets/Uploads/hdsr/health-disability-system-review-final-report.pdf" TargetMode="External"/><Relationship Id="rId24" Type="http://schemas.openxmlformats.org/officeDocument/2006/relationships/hyperlink" Target="https://www.tvnz.co.nz/one-news/new-zealand/childrens-commissioner-says-too-many-kiwi-kids-leaving-school-help-wh-nau-covid-19-financial-burdens" TargetMode="External"/><Relationship Id="rId32" Type="http://schemas.openxmlformats.org/officeDocument/2006/relationships/chart" Target="charts/chart6.xml"/><Relationship Id="rId37" Type="http://schemas.openxmlformats.org/officeDocument/2006/relationships/hyperlink" Target="https://www.rnz.co.nz/news/national/428193/homeless-youth-not-able-to-get-the-support-they-need" TargetMode="External"/><Relationship Id="rId40" Type="http://schemas.openxmlformats.org/officeDocument/2006/relationships/hyperlink" Target="https://www.cpag.org.nz/assets/Covid%2019%20survey%20report%2012%20October%20final.pdf" TargetMode="External"/><Relationship Id="rId45" Type="http://schemas.openxmlformats.org/officeDocument/2006/relationships/hyperlink" Target="https://www.cpag.org.nz/assets/Living%20Well%20Children%20with%20disability%20need%20far%20greater%20income%20support%20in%20Aotearoa%20Sept%202020%20%281%29.pdf" TargetMode="External"/><Relationship Id="rId53" Type="http://schemas.openxmlformats.org/officeDocument/2006/relationships/hyperlink" Target="https://www.stats.govt.nz/information-releases/child-poverty-statistics-year-ended-june-2019" TargetMode="External"/><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sd.govt.nz/documents/about-msd-and-our-work/publications-resources/information-releases/weag-report-release/rapid-evidence-review-the-impact-of-poverty-on-life-course-outcomes-for-children-and-the-likely-effect-of-increasing-the-adequacy-of-welfare-benef.pdf" TargetMode="External"/><Relationship Id="rId22" Type="http://schemas.openxmlformats.org/officeDocument/2006/relationships/hyperlink" Target="https://www.rnz.co.nz/news/national/428193/homeless-youth-not-able-to-get-the-support-they-need" TargetMode="External"/><Relationship Id="rId27" Type="http://schemas.openxmlformats.org/officeDocument/2006/relationships/hyperlink" Target="https://www.tvnz.co.nz/shows/breakfast/clips/charity-kidscan-inundated-with-calls-for-support-from-low-decile-schools" TargetMode="External"/><Relationship Id="rId30" Type="http://schemas.openxmlformats.org/officeDocument/2006/relationships/hyperlink" Target="https://www.cpag.org.nz/assets/Sheltering%20Our%20Children%20from%20COVID19%20Fallout%2028%20Aug.pdf" TargetMode="External"/><Relationship Id="rId35" Type="http://schemas.openxmlformats.org/officeDocument/2006/relationships/hyperlink" Target="https://www.tvnz.co.nz/one-news/new-zealand/childrenscommissioner-says-too-many-kiwi-kids-leaving-school-help-wh-nau-covid-19-financial-burdens" TargetMode="External"/><Relationship Id="rId43" Type="http://schemas.openxmlformats.org/officeDocument/2006/relationships/hyperlink" Target="https://www.stuff.co.nz/national/300077507/coronavirus-auckland-city-mission-faces-175-%20rise-in-demand-for-food-parcels" TargetMode="External"/><Relationship Id="rId48" Type="http://schemas.openxmlformats.org/officeDocument/2006/relationships/hyperlink" Target="https://www.msd.govt.nz/documents/about-msd-and-our-work/publications-resources/information-releases/weag-report-release/rapid-evidence-review-the-impact-of-poverty-on-life-course-outcomes-for-children-and-the-likely-effect-of-increasing-the-adequacy-of-welfare-benef.pdf" TargetMode="External"/><Relationship Id="rId56" Type="http://schemas.openxmlformats.org/officeDocument/2006/relationships/hyperlink" Target="http://www.weag.govt.nz/weag-report/" TargetMode="External"/><Relationship Id="rId8" Type="http://schemas.openxmlformats.org/officeDocument/2006/relationships/image" Target="media/image1.jpeg"/><Relationship Id="rId51" Type="http://schemas.openxmlformats.org/officeDocument/2006/relationships/hyperlink" Target="http://www.thesamorchard.com/wp-content/uploads/2018/03/WAB-Report.pdf"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www.maramatanga.ac.nz/sites/default/files/teArotahi_19-0502%20Rua.pdf" TargetMode="External"/><Relationship Id="rId25" Type="http://schemas.openxmlformats.org/officeDocument/2006/relationships/hyperlink" Target="https://www.stuff.co.nz/national/122188758/the-covid-diaries-kia-aroha-college-the-students-forgotten-during-lockdown" TargetMode="External"/><Relationship Id="rId33" Type="http://schemas.openxmlformats.org/officeDocument/2006/relationships/header" Target="header1.xml"/><Relationship Id="rId38" Type="http://schemas.openxmlformats.org/officeDocument/2006/relationships/hyperlink" Target="https://www.cpag.org.nz/assets/Backgrounders/CPAG%20Child%20Poverty%20Forecasts%20background%20paper%20June%202020%20FINAL.pdf" TargetMode="External"/><Relationship Id="rId46" Type="http://schemas.openxmlformats.org/officeDocument/2006/relationships/hyperlink" Target="https://www.rnz.co.nz/news/national/417429/spike-in-rheumatic-fever-cases-in-wellington" TargetMode="External"/><Relationship Id="rId59" Type="http://schemas.openxmlformats.org/officeDocument/2006/relationships/fontTable" Target="fontTable.xml"/><Relationship Id="rId20" Type="http://schemas.openxmlformats.org/officeDocument/2006/relationships/chart" Target="charts/chart4.xml"/><Relationship Id="rId41" Type="http://schemas.openxmlformats.org/officeDocument/2006/relationships/hyperlink" Target="https://www.cpag.org.nz/assets/Covid%2019%20survey%20report%2012%20October%20final.pdf" TargetMode="External"/><Relationship Id="rId54" Type="http://schemas.openxmlformats.org/officeDocument/2006/relationships/hyperlink" Target="https://www.tvnz.co.nz/shows/breakfast/clips/charity-kidscan-inundated-with-calls-for-support-from-low-decile-schoo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h19.ac.nz/publications/2020/8/12/youth19-rangatahi-smart-survey-initial-findings-hauora-hinengaro-emotional-and-mental-health" TargetMode="External"/><Relationship Id="rId23" Type="http://schemas.openxmlformats.org/officeDocument/2006/relationships/hyperlink" Target="https://www.scoop.co.nz/stories/PO2008/S00227/manaaki-rangatahi-finds-youth-left-out-in-the-cold.htm" TargetMode="External"/><Relationship Id="rId28" Type="http://schemas.openxmlformats.org/officeDocument/2006/relationships/hyperlink" Target="https://www.rnz.co.nz/news/national/417429/spike-in-rheumatic-fever-cases-in-wellington" TargetMode="External"/><Relationship Id="rId36" Type="http://schemas.openxmlformats.org/officeDocument/2006/relationships/hyperlink" Target="https://www.stuff.co.nz/national/122188758/the-covid-diaries-kia-aroha-college-the-students-forgottenduring-lockdown" TargetMode="External"/><Relationship Id="rId49" Type="http://schemas.openxmlformats.org/officeDocument/2006/relationships/hyperlink" Target="https://www.msd.govt.nz/about-msd-and-our-work/publications-resources/statistics/benefit/index.html" TargetMode="External"/><Relationship Id="rId57" Type="http://schemas.openxmlformats.org/officeDocument/2006/relationships/hyperlink" Target="https://www.youth19.ac.nz/publications/2020/8/12/youth19-rangatahi-smart-survey-initial-findings-hauora-hinengaro-emotional-and-mental-health" TargetMode="External"/><Relationship Id="rId10" Type="http://schemas.openxmlformats.org/officeDocument/2006/relationships/hyperlink" Target="https://forms.justice.govt.nz/search/Documents/WT/wt_DOC_152801817/Hauora%20W.pdf" TargetMode="External"/><Relationship Id="rId31" Type="http://schemas.openxmlformats.org/officeDocument/2006/relationships/chart" Target="charts/chart5.xml"/><Relationship Id="rId44" Type="http://schemas.openxmlformats.org/officeDocument/2006/relationships/hyperlink" Target="https://www.cpag.org.nz/assets/Sheltering%20Our%20Children%20from%20COVID19%20Fallout%2028%20Aug.pdf" TargetMode="External"/><Relationship Id="rId52" Type="http://schemas.openxmlformats.org/officeDocument/2006/relationships/hyperlink" Target="http://www.maramatanga.ac.nz/sites/default/files/teArotahi_19-0502%20Rua.pdf" TargetMode="External"/><Relationship Id="rId6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anet%20McA\Documents\modelling%20fixed%20line%20non%20doubled%20WE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anet%20McA\Documents\ethnicity%20analysis%20CP%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anet%20McA\Documents\ethnicity%20analysis%20CP%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anet%20McA\Downloads\quarterly-benefit-fact-sheets-national-benefit-tables-september-2020%20(4).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anet%20McA\Downloads\quarterly-benefit-fact-sheets-national-benefit-tables-september-2020%20(4).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'Data, workings, tables'!$BO$4</c:f>
              <c:strCache>
                <c:ptCount val="1"/>
                <c:pt idx="0">
                  <c:v>Current (standard WEP)</c:v>
                </c:pt>
              </c:strCache>
            </c:strRef>
          </c:tx>
          <c:spPr>
            <a:solidFill>
              <a:srgbClr val="C00000"/>
            </a:solidFill>
            <a:ln>
              <a:noFill/>
            </a:ln>
            <a:effectLst/>
          </c:spPr>
          <c:invertIfNegative val="0"/>
          <c:cat>
            <c:multiLvlStrRef>
              <c:f>'Data, workings, tables'!$BK$5:$BL$20</c:f>
              <c:multiLvlStrCache>
                <c:ptCount val="8"/>
                <c:lvl>
                  <c:pt idx="0">
                    <c:v>2A, 1C, 2B</c:v>
                  </c:pt>
                  <c:pt idx="1">
                    <c:v>2A, 2C, 2B</c:v>
                  </c:pt>
                  <c:pt idx="2">
                    <c:v>2A, 2C, 3B</c:v>
                  </c:pt>
                  <c:pt idx="3">
                    <c:v>2A, 3C, 3B</c:v>
                  </c:pt>
                  <c:pt idx="4">
                    <c:v>2A, 1C, 2B</c:v>
                  </c:pt>
                  <c:pt idx="5">
                    <c:v>2A, 2C, 2B</c:v>
                  </c:pt>
                  <c:pt idx="6">
                    <c:v>2A, 2C, 3B</c:v>
                  </c:pt>
                  <c:pt idx="7">
                    <c:v>2A, 3C, 3B</c:v>
                  </c:pt>
                </c:lvl>
                <c:lvl/>
              </c:multiLvlStrCache>
              <c:extLst/>
            </c:multiLvlStrRef>
          </c:cat>
          <c:val>
            <c:numRef>
              <c:f>'Data, workings, tables'!$BO$5:$BO$20</c:f>
              <c:numCache>
                <c:formatCode>_("$"* #,##0_);_("$"* \(#,##0\);_("$"* "-"??_);_(@_)</c:formatCode>
                <c:ptCount val="8"/>
                <c:pt idx="0">
                  <c:v>171.20239355581134</c:v>
                </c:pt>
                <c:pt idx="1">
                  <c:v>164.14945914844657</c:v>
                </c:pt>
                <c:pt idx="2">
                  <c:v>191.14945914844657</c:v>
                </c:pt>
                <c:pt idx="3">
                  <c:v>184.09652474108179</c:v>
                </c:pt>
                <c:pt idx="4">
                  <c:v>124.70239355581134</c:v>
                </c:pt>
                <c:pt idx="5">
                  <c:v>117.64945914844657</c:v>
                </c:pt>
                <c:pt idx="6">
                  <c:v>120.64945914844657</c:v>
                </c:pt>
                <c:pt idx="7">
                  <c:v>113.59652474108179</c:v>
                </c:pt>
              </c:numCache>
              <c:extLst/>
            </c:numRef>
          </c:val>
          <c:extLst>
            <c:ext xmlns:c16="http://schemas.microsoft.com/office/drawing/2014/chart" uri="{C3380CC4-5D6E-409C-BE32-E72D297353CC}">
              <c16:uniqueId val="{00000000-58C6-4077-A7EC-5AC1C0FC6CE1}"/>
            </c:ext>
          </c:extLst>
        </c:ser>
        <c:ser>
          <c:idx val="4"/>
          <c:order val="1"/>
          <c:tx>
            <c:strRef>
              <c:f>'Data, workings, tables'!$BQ$4</c:f>
              <c:strCache>
                <c:ptCount val="1"/>
                <c:pt idx="0">
                  <c:v>CPAG Rec 1i (w IWTC)</c:v>
                </c:pt>
              </c:strCache>
            </c:strRef>
          </c:tx>
          <c:spPr>
            <a:solidFill>
              <a:schemeClr val="accent2">
                <a:lumMod val="60000"/>
                <a:lumOff val="40000"/>
              </a:schemeClr>
            </a:solidFill>
            <a:ln>
              <a:noFill/>
            </a:ln>
            <a:effectLst/>
          </c:spPr>
          <c:invertIfNegative val="0"/>
          <c:cat>
            <c:multiLvlStrRef>
              <c:f>'Data, workings, tables'!$BK$5:$BL$20</c:f>
              <c:multiLvlStrCache>
                <c:ptCount val="8"/>
                <c:lvl>
                  <c:pt idx="0">
                    <c:v>2A, 1C, 2B</c:v>
                  </c:pt>
                  <c:pt idx="1">
                    <c:v>2A, 2C, 2B</c:v>
                  </c:pt>
                  <c:pt idx="2">
                    <c:v>2A, 2C, 3B</c:v>
                  </c:pt>
                  <c:pt idx="3">
                    <c:v>2A, 3C, 3B</c:v>
                  </c:pt>
                  <c:pt idx="4">
                    <c:v>2A, 1C, 2B</c:v>
                  </c:pt>
                  <c:pt idx="5">
                    <c:v>2A, 2C, 2B</c:v>
                  </c:pt>
                  <c:pt idx="6">
                    <c:v>2A, 2C, 3B</c:v>
                  </c:pt>
                  <c:pt idx="7">
                    <c:v>2A, 3C, 3B</c:v>
                  </c:pt>
                </c:lvl>
                <c:lvl/>
              </c:multiLvlStrCache>
              <c:extLst/>
            </c:multiLvlStrRef>
          </c:cat>
          <c:val>
            <c:numRef>
              <c:f>'Data, workings, tables'!$BQ$5:$BQ$20</c:f>
              <c:numCache>
                <c:formatCode>_("$"* #,##0_);_("$"* \(#,##0\);_("$"* "-"??_);_(@_)</c:formatCode>
                <c:ptCount val="8"/>
                <c:pt idx="0">
                  <c:v>111.9878935558113</c:v>
                </c:pt>
                <c:pt idx="1">
                  <c:v>104.93495914844652</c:v>
                </c:pt>
                <c:pt idx="2">
                  <c:v>131.93495914844652</c:v>
                </c:pt>
                <c:pt idx="3">
                  <c:v>124.88202474108164</c:v>
                </c:pt>
                <c:pt idx="4">
                  <c:v>65.487893555811297</c:v>
                </c:pt>
                <c:pt idx="5">
                  <c:v>58.434959148446524</c:v>
                </c:pt>
                <c:pt idx="6">
                  <c:v>61.434959148446524</c:v>
                </c:pt>
                <c:pt idx="7">
                  <c:v>54.38202474108175</c:v>
                </c:pt>
              </c:numCache>
              <c:extLst/>
            </c:numRef>
          </c:val>
          <c:extLst>
            <c:ext xmlns:c16="http://schemas.microsoft.com/office/drawing/2014/chart" uri="{C3380CC4-5D6E-409C-BE32-E72D297353CC}">
              <c16:uniqueId val="{00000001-58C6-4077-A7EC-5AC1C0FC6CE1}"/>
            </c:ext>
          </c:extLst>
        </c:ser>
        <c:dLbls>
          <c:showLegendKey val="0"/>
          <c:showVal val="0"/>
          <c:showCatName val="0"/>
          <c:showSerName val="0"/>
          <c:showPercent val="0"/>
          <c:showBubbleSize val="0"/>
        </c:dLbls>
        <c:gapWidth val="150"/>
        <c:axId val="747372792"/>
        <c:axId val="747373120"/>
      </c:barChart>
      <c:catAx>
        <c:axId val="747372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7373120"/>
        <c:crosses val="autoZero"/>
        <c:auto val="1"/>
        <c:lblAlgn val="ctr"/>
        <c:lblOffset val="100"/>
        <c:noMultiLvlLbl val="0"/>
      </c:catAx>
      <c:valAx>
        <c:axId val="747373120"/>
        <c:scaling>
          <c:orientation val="minMax"/>
          <c:max val="200"/>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7372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D609-495A-8264-A4A8A205129E}"/>
              </c:ext>
            </c:extLst>
          </c:dPt>
          <c:dPt>
            <c:idx val="1"/>
            <c:invertIfNegative val="0"/>
            <c:bubble3D val="0"/>
            <c:spPr>
              <a:solidFill>
                <a:srgbClr val="FFC000"/>
              </a:solidFill>
              <a:ln>
                <a:noFill/>
              </a:ln>
              <a:effectLst/>
            </c:spPr>
            <c:extLst>
              <c:ext xmlns:c16="http://schemas.microsoft.com/office/drawing/2014/chart" uri="{C3380CC4-5D6E-409C-BE32-E72D297353CC}">
                <c16:uniqueId val="{00000003-D609-495A-8264-A4A8A205129E}"/>
              </c:ext>
            </c:extLst>
          </c:dPt>
          <c:dPt>
            <c:idx val="3"/>
            <c:invertIfNegative val="0"/>
            <c:bubble3D val="0"/>
            <c:spPr>
              <a:solidFill>
                <a:srgbClr val="00B050"/>
              </a:solidFill>
              <a:ln>
                <a:noFill/>
              </a:ln>
              <a:effectLst/>
            </c:spPr>
            <c:extLst>
              <c:ext xmlns:c16="http://schemas.microsoft.com/office/drawing/2014/chart" uri="{C3380CC4-5D6E-409C-BE32-E72D297353CC}">
                <c16:uniqueId val="{00000005-D609-495A-8264-A4A8A205129E}"/>
              </c:ext>
            </c:extLst>
          </c:dPt>
          <c:dLbls>
            <c:dLbl>
              <c:idx val="0"/>
              <c:layout>
                <c:manualLayout>
                  <c:x val="5.5555555555555558E-3"/>
                  <c:y val="0.16666666666666666"/>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09-495A-8264-A4A8A205129E}"/>
                </c:ext>
              </c:extLst>
            </c:dLbl>
            <c:dLbl>
              <c:idx val="1"/>
              <c:layout>
                <c:manualLayout>
                  <c:x val="-2.7777777777778286E-3"/>
                  <c:y val="0.15277777777777779"/>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09-495A-8264-A4A8A205129E}"/>
                </c:ext>
              </c:extLst>
            </c:dLbl>
            <c:dLbl>
              <c:idx val="2"/>
              <c:layout>
                <c:manualLayout>
                  <c:x val="0"/>
                  <c:y val="0.1111111111111111"/>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09-495A-8264-A4A8A205129E}"/>
                </c:ext>
              </c:extLst>
            </c:dLbl>
            <c:dLbl>
              <c:idx val="3"/>
              <c:layout>
                <c:manualLayout>
                  <c:x val="0"/>
                  <c:y val="0.125"/>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09-495A-8264-A4A8A205129E}"/>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Sheet1!$N$27:$R$27</c:f>
              <c:strCache>
                <c:ptCount val="4"/>
                <c:pt idx="0">
                  <c:v>0-17 yrs</c:v>
                </c:pt>
                <c:pt idx="1">
                  <c:v>18-24 yrs</c:v>
                </c:pt>
                <c:pt idx="2">
                  <c:v>25-64 yrs</c:v>
                </c:pt>
                <c:pt idx="3">
                  <c:v>65+ yrs</c:v>
                </c:pt>
              </c:strCache>
            </c:strRef>
          </c:cat>
          <c:val>
            <c:numRef>
              <c:f>Sheet1!$N$28:$Q$28</c:f>
              <c:numCache>
                <c:formatCode>General</c:formatCode>
                <c:ptCount val="4"/>
                <c:pt idx="0">
                  <c:v>21</c:v>
                </c:pt>
                <c:pt idx="1">
                  <c:v>20</c:v>
                </c:pt>
                <c:pt idx="2">
                  <c:v>14</c:v>
                </c:pt>
                <c:pt idx="3">
                  <c:v>11</c:v>
                </c:pt>
              </c:numCache>
            </c:numRef>
          </c:val>
          <c:extLst>
            <c:ext xmlns:c16="http://schemas.microsoft.com/office/drawing/2014/chart" uri="{C3380CC4-5D6E-409C-BE32-E72D297353CC}">
              <c16:uniqueId val="{00000007-D609-495A-8264-A4A8A205129E}"/>
            </c:ext>
          </c:extLst>
        </c:ser>
        <c:dLbls>
          <c:showLegendKey val="0"/>
          <c:showVal val="0"/>
          <c:showCatName val="0"/>
          <c:showSerName val="0"/>
          <c:showPercent val="0"/>
          <c:showBubbleSize val="0"/>
        </c:dLbls>
        <c:gapWidth val="94"/>
        <c:overlap val="-5"/>
        <c:axId val="889148543"/>
        <c:axId val="945838527"/>
      </c:barChart>
      <c:catAx>
        <c:axId val="889148543"/>
        <c:scaling>
          <c:orientation val="minMax"/>
        </c:scaling>
        <c:delete val="0"/>
        <c:axPos val="b"/>
        <c:title>
          <c:tx>
            <c:rich>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r>
                  <a:rPr lang="en-US" sz="1000" b="0" i="1" u="none" strike="noStrike" baseline="0">
                    <a:effectLst/>
                  </a:rPr>
                  <a:t>Source: Perry (2019) Table G3, p151</a:t>
                </a:r>
                <a:endParaRPr lang="en-NZ"/>
              </a:p>
            </c:rich>
          </c:tx>
          <c:layout>
            <c:manualLayout>
              <c:xMode val="edge"/>
              <c:yMode val="edge"/>
              <c:x val="2.387270279040794E-2"/>
              <c:y val="0.8148057224637254"/>
            </c:manualLayout>
          </c:layout>
          <c:overlay val="0"/>
          <c:spPr>
            <a:noFill/>
            <a:ln>
              <a:noFill/>
            </a:ln>
            <a:effectLst/>
          </c:spPr>
          <c:txPr>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945838527"/>
        <c:crosses val="autoZero"/>
        <c:auto val="1"/>
        <c:lblAlgn val="ctr"/>
        <c:lblOffset val="100"/>
        <c:noMultiLvlLbl val="0"/>
      </c:catAx>
      <c:valAx>
        <c:axId val="945838527"/>
        <c:scaling>
          <c:orientation val="minMax"/>
          <c:max val="2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91485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'Table 2.03'!$H$29</c:f>
              <c:strCache>
                <c:ptCount val="1"/>
                <c:pt idx="0">
                  <c:v>Māori</c:v>
                </c:pt>
              </c:strCache>
            </c:strRef>
          </c:tx>
          <c:spPr>
            <a:ln w="28575" cap="rnd">
              <a:solidFill>
                <a:srgbClr val="FFC000"/>
              </a:solidFill>
              <a:round/>
            </a:ln>
            <a:effectLst/>
          </c:spPr>
          <c:marker>
            <c:symbol val="circle"/>
            <c:size val="9"/>
            <c:spPr>
              <a:solidFill>
                <a:srgbClr val="FFC000"/>
              </a:solidFill>
              <a:ln w="9525">
                <a:solidFill>
                  <a:srgbClr val="FFC000"/>
                </a:solidFill>
              </a:ln>
              <a:effectLst/>
            </c:spPr>
          </c:marker>
          <c:cat>
            <c:numRef>
              <c:f>'Table 2.03'!$I$27:$Q$27</c:f>
              <c:numCache>
                <c:formatCode>General</c:formatCode>
                <c:ptCount val="6"/>
                <c:pt idx="0">
                  <c:v>1</c:v>
                </c:pt>
                <c:pt idx="1">
                  <c:v>4</c:v>
                </c:pt>
                <c:pt idx="2">
                  <c:v>2</c:v>
                </c:pt>
                <c:pt idx="3">
                  <c:v>5</c:v>
                </c:pt>
                <c:pt idx="4">
                  <c:v>6</c:v>
                </c:pt>
                <c:pt idx="5">
                  <c:v>7</c:v>
                </c:pt>
              </c:numCache>
            </c:numRef>
          </c:cat>
          <c:val>
            <c:numRef>
              <c:f>'Table 2.03'!$I$29:$Q$29</c:f>
              <c:numCache>
                <c:formatCode>0.00</c:formatCode>
                <c:ptCount val="6"/>
                <c:pt idx="0">
                  <c:v>1</c:v>
                </c:pt>
                <c:pt idx="1">
                  <c:v>1</c:v>
                </c:pt>
                <c:pt idx="2">
                  <c:v>1</c:v>
                </c:pt>
                <c:pt idx="3">
                  <c:v>1</c:v>
                </c:pt>
                <c:pt idx="4">
                  <c:v>1</c:v>
                </c:pt>
                <c:pt idx="5">
                  <c:v>1</c:v>
                </c:pt>
              </c:numCache>
            </c:numRef>
          </c:val>
          <c:smooth val="0"/>
          <c:extLst>
            <c:ext xmlns:c16="http://schemas.microsoft.com/office/drawing/2014/chart" uri="{C3380CC4-5D6E-409C-BE32-E72D297353CC}">
              <c16:uniqueId val="{00000000-A61C-4727-BCB2-EB62CA0E3F5B}"/>
            </c:ext>
          </c:extLst>
        </c:ser>
        <c:ser>
          <c:idx val="2"/>
          <c:order val="1"/>
          <c:tx>
            <c:strRef>
              <c:f>'Table 2.03'!$H$30</c:f>
              <c:strCache>
                <c:ptCount val="1"/>
                <c:pt idx="0">
                  <c:v>Pacific</c:v>
                </c:pt>
              </c:strCache>
            </c:strRef>
          </c:tx>
          <c:spPr>
            <a:ln w="6350" cap="rnd">
              <a:noFill/>
              <a:round/>
            </a:ln>
            <a:effectLst/>
          </c:spPr>
          <c:marker>
            <c:symbol val="diamond"/>
            <c:size val="8"/>
            <c:spPr>
              <a:solidFill>
                <a:srgbClr val="00B050"/>
              </a:solidFill>
              <a:ln w="9525">
                <a:noFill/>
              </a:ln>
              <a:effectLst/>
            </c:spPr>
          </c:marker>
          <c:dPt>
            <c:idx val="5"/>
            <c:marker>
              <c:symbol val="diamond"/>
              <c:size val="8"/>
              <c:spPr>
                <a:solidFill>
                  <a:srgbClr val="00B050"/>
                </a:solidFill>
                <a:ln w="9525">
                  <a:solidFill>
                    <a:srgbClr val="00B050"/>
                  </a:solidFill>
                </a:ln>
                <a:effectLst/>
              </c:spPr>
            </c:marker>
            <c:bubble3D val="0"/>
            <c:extLst>
              <c:ext xmlns:c16="http://schemas.microsoft.com/office/drawing/2014/chart" uri="{C3380CC4-5D6E-409C-BE32-E72D297353CC}">
                <c16:uniqueId val="{00000001-A61C-4727-BCB2-EB62CA0E3F5B}"/>
              </c:ext>
            </c:extLst>
          </c:dPt>
          <c:cat>
            <c:numRef>
              <c:f>'Table 2.03'!$I$27:$Q$27</c:f>
              <c:numCache>
                <c:formatCode>General</c:formatCode>
                <c:ptCount val="6"/>
                <c:pt idx="0">
                  <c:v>1</c:v>
                </c:pt>
                <c:pt idx="1">
                  <c:v>4</c:v>
                </c:pt>
                <c:pt idx="2">
                  <c:v>2</c:v>
                </c:pt>
                <c:pt idx="3">
                  <c:v>5</c:v>
                </c:pt>
                <c:pt idx="4">
                  <c:v>6</c:v>
                </c:pt>
                <c:pt idx="5">
                  <c:v>7</c:v>
                </c:pt>
              </c:numCache>
            </c:numRef>
          </c:cat>
          <c:val>
            <c:numRef>
              <c:f>'Table 2.03'!$I$30:$Q$30</c:f>
              <c:numCache>
                <c:formatCode>0.00</c:formatCode>
                <c:ptCount val="6"/>
                <c:pt idx="0">
                  <c:v>1.0816326530612244</c:v>
                </c:pt>
                <c:pt idx="1">
                  <c:v>1.0751633986928104</c:v>
                </c:pt>
                <c:pt idx="2">
                  <c:v>1</c:v>
                </c:pt>
                <c:pt idx="3">
                  <c:v>1.0313390313390314</c:v>
                </c:pt>
                <c:pt idx="4">
                  <c:v>1.003921568627451</c:v>
                </c:pt>
                <c:pt idx="5">
                  <c:v>1.0126582278481011</c:v>
                </c:pt>
              </c:numCache>
            </c:numRef>
          </c:val>
          <c:smooth val="0"/>
          <c:extLst>
            <c:ext xmlns:c16="http://schemas.microsoft.com/office/drawing/2014/chart" uri="{C3380CC4-5D6E-409C-BE32-E72D297353CC}">
              <c16:uniqueId val="{00000002-A61C-4727-BCB2-EB62CA0E3F5B}"/>
            </c:ext>
          </c:extLst>
        </c:ser>
        <c:ser>
          <c:idx val="3"/>
          <c:order val="2"/>
          <c:tx>
            <c:strRef>
              <c:f>'Table 2.03'!$H$31</c:f>
              <c:strCache>
                <c:ptCount val="1"/>
                <c:pt idx="0">
                  <c:v>Asian</c:v>
                </c:pt>
              </c:strCache>
            </c:strRef>
          </c:tx>
          <c:spPr>
            <a:ln w="6350" cap="rnd">
              <a:noFill/>
              <a:round/>
            </a:ln>
            <a:effectLst/>
          </c:spPr>
          <c:marker>
            <c:symbol val="star"/>
            <c:size val="8"/>
            <c:spPr>
              <a:noFill/>
              <a:ln w="9525">
                <a:solidFill>
                  <a:srgbClr val="C00000"/>
                </a:solidFill>
              </a:ln>
              <a:effectLst/>
            </c:spPr>
          </c:marker>
          <c:cat>
            <c:numRef>
              <c:f>'Table 2.03'!$I$27:$Q$27</c:f>
              <c:numCache>
                <c:formatCode>General</c:formatCode>
                <c:ptCount val="6"/>
                <c:pt idx="0">
                  <c:v>1</c:v>
                </c:pt>
                <c:pt idx="1">
                  <c:v>4</c:v>
                </c:pt>
                <c:pt idx="2">
                  <c:v>2</c:v>
                </c:pt>
                <c:pt idx="3">
                  <c:v>5</c:v>
                </c:pt>
                <c:pt idx="4">
                  <c:v>6</c:v>
                </c:pt>
                <c:pt idx="5">
                  <c:v>7</c:v>
                </c:pt>
              </c:numCache>
            </c:numRef>
          </c:cat>
          <c:val>
            <c:numRef>
              <c:f>'Table 2.03'!$I$31:$Q$31</c:f>
              <c:numCache>
                <c:formatCode>0.00</c:formatCode>
                <c:ptCount val="6"/>
                <c:pt idx="0">
                  <c:v>0.8214285714285714</c:v>
                </c:pt>
                <c:pt idx="1">
                  <c:v>0.76143790849673199</c:v>
                </c:pt>
                <c:pt idx="2">
                  <c:v>1.0404858299595141</c:v>
                </c:pt>
                <c:pt idx="3">
                  <c:v>0.9202279202279201</c:v>
                </c:pt>
                <c:pt idx="4">
                  <c:v>1.0274509803921568</c:v>
                </c:pt>
                <c:pt idx="5">
                  <c:v>1.3354430379746836</c:v>
                </c:pt>
              </c:numCache>
            </c:numRef>
          </c:val>
          <c:smooth val="0"/>
          <c:extLst>
            <c:ext xmlns:c16="http://schemas.microsoft.com/office/drawing/2014/chart" uri="{C3380CC4-5D6E-409C-BE32-E72D297353CC}">
              <c16:uniqueId val="{00000003-A61C-4727-BCB2-EB62CA0E3F5B}"/>
            </c:ext>
          </c:extLst>
        </c:ser>
        <c:ser>
          <c:idx val="0"/>
          <c:order val="3"/>
          <c:tx>
            <c:strRef>
              <c:f>'Table 2.03'!$H$28</c:f>
              <c:strCache>
                <c:ptCount val="1"/>
                <c:pt idx="0">
                  <c:v>Pākehā</c:v>
                </c:pt>
              </c:strCache>
            </c:strRef>
          </c:tx>
          <c:spPr>
            <a:ln w="6350" cap="rnd">
              <a:noFill/>
              <a:round/>
            </a:ln>
            <a:effectLst/>
          </c:spPr>
          <c:marker>
            <c:symbol val="square"/>
            <c:size val="5"/>
            <c:spPr>
              <a:solidFill>
                <a:schemeClr val="accent1"/>
              </a:solidFill>
              <a:ln w="9525">
                <a:solidFill>
                  <a:schemeClr val="accent1"/>
                </a:solidFill>
              </a:ln>
              <a:effectLst/>
            </c:spPr>
          </c:marker>
          <c:cat>
            <c:numRef>
              <c:f>'Table 2.03'!$I$27:$Q$27</c:f>
              <c:numCache>
                <c:formatCode>General</c:formatCode>
                <c:ptCount val="6"/>
                <c:pt idx="0">
                  <c:v>1</c:v>
                </c:pt>
                <c:pt idx="1">
                  <c:v>4</c:v>
                </c:pt>
                <c:pt idx="2">
                  <c:v>2</c:v>
                </c:pt>
                <c:pt idx="3">
                  <c:v>5</c:v>
                </c:pt>
                <c:pt idx="4">
                  <c:v>6</c:v>
                </c:pt>
                <c:pt idx="5">
                  <c:v>7</c:v>
                </c:pt>
              </c:numCache>
            </c:numRef>
          </c:cat>
          <c:val>
            <c:numRef>
              <c:f>'Table 2.03'!$I$28:$Q$28</c:f>
              <c:numCache>
                <c:formatCode>0.00</c:formatCode>
                <c:ptCount val="6"/>
                <c:pt idx="0">
                  <c:v>0.56122448979591832</c:v>
                </c:pt>
                <c:pt idx="1">
                  <c:v>0.59150326797385622</c:v>
                </c:pt>
                <c:pt idx="2">
                  <c:v>0.68825910931174095</c:v>
                </c:pt>
                <c:pt idx="3">
                  <c:v>0.69515669515669509</c:v>
                </c:pt>
                <c:pt idx="4">
                  <c:v>0.6823529411764705</c:v>
                </c:pt>
                <c:pt idx="5">
                  <c:v>0.74683544303797467</c:v>
                </c:pt>
              </c:numCache>
            </c:numRef>
          </c:val>
          <c:smooth val="0"/>
          <c:extLst>
            <c:ext xmlns:c16="http://schemas.microsoft.com/office/drawing/2014/chart" uri="{C3380CC4-5D6E-409C-BE32-E72D297353CC}">
              <c16:uniqueId val="{00000004-A61C-4727-BCB2-EB62CA0E3F5B}"/>
            </c:ext>
          </c:extLst>
        </c:ser>
        <c:dLbls>
          <c:showLegendKey val="0"/>
          <c:showVal val="0"/>
          <c:showCatName val="0"/>
          <c:showSerName val="0"/>
          <c:showPercent val="0"/>
          <c:showBubbleSize val="0"/>
        </c:dLbls>
        <c:marker val="1"/>
        <c:smooth val="0"/>
        <c:axId val="1281630575"/>
        <c:axId val="945879295"/>
      </c:lineChart>
      <c:catAx>
        <c:axId val="128163057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Official Measure # (BHC 1&amp;4; AHC 2, 5-7)</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5879295"/>
        <c:crosses val="autoZero"/>
        <c:auto val="1"/>
        <c:lblAlgn val="ctr"/>
        <c:lblOffset val="95"/>
        <c:noMultiLvlLbl val="0"/>
      </c:catAx>
      <c:valAx>
        <c:axId val="945879295"/>
        <c:scaling>
          <c:orientation val="minMax"/>
          <c:max val="1.4"/>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1630575"/>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'Table 2.03'!$H$29</c:f>
              <c:strCache>
                <c:ptCount val="1"/>
                <c:pt idx="0">
                  <c:v>Māori</c:v>
                </c:pt>
              </c:strCache>
            </c:strRef>
          </c:tx>
          <c:spPr>
            <a:ln w="28575" cap="rnd">
              <a:solidFill>
                <a:srgbClr val="FFC000"/>
              </a:solidFill>
              <a:round/>
            </a:ln>
            <a:effectLst/>
          </c:spPr>
          <c:marker>
            <c:symbol val="circle"/>
            <c:size val="7"/>
            <c:spPr>
              <a:solidFill>
                <a:srgbClr val="FFC000"/>
              </a:solidFill>
              <a:ln w="9525">
                <a:solidFill>
                  <a:srgbClr val="FFC000"/>
                </a:solidFill>
              </a:ln>
              <a:effectLst/>
            </c:spPr>
          </c:marker>
          <c:cat>
            <c:numRef>
              <c:f>'Table 2.03'!$O$27:$Q$27</c:f>
              <c:numCache>
                <c:formatCode>General</c:formatCode>
                <c:ptCount val="3"/>
                <c:pt idx="0">
                  <c:v>3</c:v>
                </c:pt>
                <c:pt idx="1">
                  <c:v>8</c:v>
                </c:pt>
                <c:pt idx="2">
                  <c:v>9</c:v>
                </c:pt>
              </c:numCache>
            </c:numRef>
          </c:cat>
          <c:val>
            <c:numRef>
              <c:f>'Table 2.03'!$O$29:$Q$29</c:f>
              <c:numCache>
                <c:formatCode>0.00</c:formatCode>
                <c:ptCount val="3"/>
                <c:pt idx="0">
                  <c:v>1</c:v>
                </c:pt>
                <c:pt idx="1">
                  <c:v>1</c:v>
                </c:pt>
                <c:pt idx="2">
                  <c:v>1</c:v>
                </c:pt>
              </c:numCache>
            </c:numRef>
          </c:val>
          <c:smooth val="0"/>
          <c:extLst>
            <c:ext xmlns:c16="http://schemas.microsoft.com/office/drawing/2014/chart" uri="{C3380CC4-5D6E-409C-BE32-E72D297353CC}">
              <c16:uniqueId val="{00000000-0960-4863-B131-0FC84FBAEB2E}"/>
            </c:ext>
          </c:extLst>
        </c:ser>
        <c:ser>
          <c:idx val="2"/>
          <c:order val="1"/>
          <c:tx>
            <c:strRef>
              <c:f>'Table 2.03'!$H$30</c:f>
              <c:strCache>
                <c:ptCount val="1"/>
                <c:pt idx="0">
                  <c:v>Pacific</c:v>
                </c:pt>
              </c:strCache>
            </c:strRef>
          </c:tx>
          <c:spPr>
            <a:ln w="28575" cap="rnd">
              <a:noFill/>
              <a:round/>
            </a:ln>
            <a:effectLst/>
          </c:spPr>
          <c:marker>
            <c:symbol val="diamond"/>
            <c:size val="6"/>
            <c:spPr>
              <a:solidFill>
                <a:srgbClr val="00B050"/>
              </a:solidFill>
              <a:ln w="9525">
                <a:solidFill>
                  <a:srgbClr val="00B050"/>
                </a:solidFill>
              </a:ln>
              <a:effectLst/>
            </c:spPr>
          </c:marker>
          <c:cat>
            <c:numRef>
              <c:f>'Table 2.03'!$O$27:$Q$27</c:f>
              <c:numCache>
                <c:formatCode>General</c:formatCode>
                <c:ptCount val="3"/>
                <c:pt idx="0">
                  <c:v>3</c:v>
                </c:pt>
                <c:pt idx="1">
                  <c:v>8</c:v>
                </c:pt>
                <c:pt idx="2">
                  <c:v>9</c:v>
                </c:pt>
              </c:numCache>
            </c:numRef>
          </c:cat>
          <c:val>
            <c:numRef>
              <c:f>'Table 2.03'!$O$30:$Q$30</c:f>
              <c:numCache>
                <c:formatCode>0.00</c:formatCode>
                <c:ptCount val="3"/>
                <c:pt idx="0">
                  <c:v>1.2274678111587982</c:v>
                </c:pt>
                <c:pt idx="1">
                  <c:v>1.2434782608695654</c:v>
                </c:pt>
                <c:pt idx="2">
                  <c:v>1.0942028985507246</c:v>
                </c:pt>
              </c:numCache>
            </c:numRef>
          </c:val>
          <c:smooth val="0"/>
          <c:extLst>
            <c:ext xmlns:c16="http://schemas.microsoft.com/office/drawing/2014/chart" uri="{C3380CC4-5D6E-409C-BE32-E72D297353CC}">
              <c16:uniqueId val="{00000001-0960-4863-B131-0FC84FBAEB2E}"/>
            </c:ext>
          </c:extLst>
        </c:ser>
        <c:ser>
          <c:idx val="3"/>
          <c:order val="2"/>
          <c:tx>
            <c:strRef>
              <c:f>'Table 2.03'!$H$31</c:f>
              <c:strCache>
                <c:ptCount val="1"/>
                <c:pt idx="0">
                  <c:v>Asian</c:v>
                </c:pt>
              </c:strCache>
            </c:strRef>
          </c:tx>
          <c:spPr>
            <a:ln w="28575" cap="rnd">
              <a:noFill/>
              <a:round/>
            </a:ln>
            <a:effectLst/>
          </c:spPr>
          <c:marker>
            <c:symbol val="star"/>
            <c:size val="7"/>
            <c:spPr>
              <a:noFill/>
              <a:ln w="9525">
                <a:solidFill>
                  <a:srgbClr val="C00000"/>
                </a:solidFill>
              </a:ln>
              <a:effectLst/>
            </c:spPr>
          </c:marker>
          <c:cat>
            <c:numRef>
              <c:f>'Table 2.03'!$O$27:$Q$27</c:f>
              <c:numCache>
                <c:formatCode>General</c:formatCode>
                <c:ptCount val="3"/>
                <c:pt idx="0">
                  <c:v>3</c:v>
                </c:pt>
                <c:pt idx="1">
                  <c:v>8</c:v>
                </c:pt>
                <c:pt idx="2">
                  <c:v>9</c:v>
                </c:pt>
              </c:numCache>
            </c:numRef>
          </c:cat>
          <c:val>
            <c:numRef>
              <c:f>'Table 2.03'!$O$31:$Q$31</c:f>
              <c:numCache>
                <c:formatCode>0.00</c:formatCode>
                <c:ptCount val="3"/>
                <c:pt idx="0">
                  <c:v>0.27038626609442057</c:v>
                </c:pt>
                <c:pt idx="1">
                  <c:v>0.14782608695652175</c:v>
                </c:pt>
                <c:pt idx="2">
                  <c:v>0.26811594202898553</c:v>
                </c:pt>
              </c:numCache>
            </c:numRef>
          </c:val>
          <c:smooth val="0"/>
          <c:extLst>
            <c:ext xmlns:c16="http://schemas.microsoft.com/office/drawing/2014/chart" uri="{C3380CC4-5D6E-409C-BE32-E72D297353CC}">
              <c16:uniqueId val="{00000002-0960-4863-B131-0FC84FBAEB2E}"/>
            </c:ext>
          </c:extLst>
        </c:ser>
        <c:ser>
          <c:idx val="0"/>
          <c:order val="3"/>
          <c:tx>
            <c:strRef>
              <c:f>'Table 2.03'!$H$28</c:f>
              <c:strCache>
                <c:ptCount val="1"/>
                <c:pt idx="0">
                  <c:v>Pākehā</c:v>
                </c:pt>
              </c:strCache>
            </c:strRef>
          </c:tx>
          <c:spPr>
            <a:ln w="28575" cap="rnd">
              <a:noFill/>
              <a:round/>
            </a:ln>
            <a:effectLst/>
          </c:spPr>
          <c:marker>
            <c:symbol val="square"/>
            <c:size val="6"/>
            <c:spPr>
              <a:solidFill>
                <a:schemeClr val="accent1"/>
              </a:solidFill>
              <a:ln w="9525">
                <a:solidFill>
                  <a:schemeClr val="accent1"/>
                </a:solidFill>
              </a:ln>
              <a:effectLst/>
            </c:spPr>
          </c:marker>
          <c:cat>
            <c:numRef>
              <c:f>'Table 2.03'!$O$27:$Q$27</c:f>
              <c:numCache>
                <c:formatCode>General</c:formatCode>
                <c:ptCount val="3"/>
                <c:pt idx="0">
                  <c:v>3</c:v>
                </c:pt>
                <c:pt idx="1">
                  <c:v>8</c:v>
                </c:pt>
                <c:pt idx="2">
                  <c:v>9</c:v>
                </c:pt>
              </c:numCache>
            </c:numRef>
          </c:cat>
          <c:val>
            <c:numRef>
              <c:f>'Table 2.03'!$O$28:$Q$28</c:f>
              <c:numCache>
                <c:formatCode>0.00</c:formatCode>
                <c:ptCount val="3"/>
                <c:pt idx="0">
                  <c:v>0.42060085836909872</c:v>
                </c:pt>
                <c:pt idx="1">
                  <c:v>0.37391304347826088</c:v>
                </c:pt>
                <c:pt idx="2">
                  <c:v>0.44927536231884058</c:v>
                </c:pt>
              </c:numCache>
            </c:numRef>
          </c:val>
          <c:smooth val="0"/>
          <c:extLst>
            <c:ext xmlns:c16="http://schemas.microsoft.com/office/drawing/2014/chart" uri="{C3380CC4-5D6E-409C-BE32-E72D297353CC}">
              <c16:uniqueId val="{00000003-0960-4863-B131-0FC84FBAEB2E}"/>
            </c:ext>
          </c:extLst>
        </c:ser>
        <c:dLbls>
          <c:showLegendKey val="0"/>
          <c:showVal val="0"/>
          <c:showCatName val="0"/>
          <c:showSerName val="0"/>
          <c:showPercent val="0"/>
          <c:showBubbleSize val="0"/>
        </c:dLbls>
        <c:marker val="1"/>
        <c:smooth val="0"/>
        <c:axId val="1179518047"/>
        <c:axId val="1291466911"/>
      </c:lineChart>
      <c:catAx>
        <c:axId val="11795180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Measure # (MH</a:t>
                </a:r>
                <a:r>
                  <a:rPr lang="en-NZ" baseline="0"/>
                  <a:t> 3&amp;8; MH+AHC 9)</a:t>
                </a:r>
                <a:endParaRPr lang="en-NZ"/>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1466911"/>
        <c:crosses val="autoZero"/>
        <c:auto val="1"/>
        <c:lblAlgn val="ctr"/>
        <c:lblOffset val="100"/>
        <c:noMultiLvlLbl val="0"/>
      </c:catAx>
      <c:valAx>
        <c:axId val="12914669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95180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b="1"/>
              <a:t>Fig 3: TAS</a:t>
            </a:r>
            <a:r>
              <a:rPr lang="en-NZ" sz="1000" b="1" baseline="0"/>
              <a:t> recipients 03/18 - 9/20</a:t>
            </a:r>
            <a:endParaRPr lang="en-NZ" sz="10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256123493037947"/>
          <c:y val="0.14446777486147563"/>
          <c:w val="0.74935966902442275"/>
          <c:h val="0.66926691455234766"/>
        </c:manualLayout>
      </c:layout>
      <c:lineChart>
        <c:grouping val="standard"/>
        <c:varyColors val="0"/>
        <c:ser>
          <c:idx val="0"/>
          <c:order val="0"/>
          <c:spPr>
            <a:ln w="28575" cap="rnd">
              <a:solidFill>
                <a:srgbClr val="C00000"/>
              </a:solidFill>
              <a:round/>
            </a:ln>
            <a:effectLst/>
          </c:spPr>
          <c:marker>
            <c:symbol val="none"/>
          </c:marker>
          <c:cat>
            <c:strRef>
              <c:f>'Supplementary - last 5 years'!$C$3:$X$3</c:f>
              <c:strCache>
                <c:ptCount val="11"/>
                <c:pt idx="0">
                  <c:v>Mar-18</c:v>
                </c:pt>
                <c:pt idx="1">
                  <c:v>Jun-18</c:v>
                </c:pt>
                <c:pt idx="2">
                  <c:v>Sep-18</c:v>
                </c:pt>
                <c:pt idx="3">
                  <c:v>Dec-18</c:v>
                </c:pt>
                <c:pt idx="4">
                  <c:v>Mar-19</c:v>
                </c:pt>
                <c:pt idx="5">
                  <c:v>Jun-19</c:v>
                </c:pt>
                <c:pt idx="6">
                  <c:v>Sep-19</c:v>
                </c:pt>
                <c:pt idx="7">
                  <c:v>Dec-19</c:v>
                </c:pt>
                <c:pt idx="8">
                  <c:v>Mar-20</c:v>
                </c:pt>
                <c:pt idx="9">
                  <c:v>Jun-20</c:v>
                </c:pt>
                <c:pt idx="10">
                  <c:v>Sep-20</c:v>
                </c:pt>
              </c:strCache>
            </c:strRef>
          </c:cat>
          <c:val>
            <c:numRef>
              <c:f>'Supplementary - last 5 years'!$C$4:$X$4</c:f>
              <c:numCache>
                <c:formatCode>#,##0</c:formatCode>
                <c:ptCount val="11"/>
                <c:pt idx="0">
                  <c:v>63067</c:v>
                </c:pt>
                <c:pt idx="1">
                  <c:v>60945</c:v>
                </c:pt>
                <c:pt idx="2">
                  <c:v>60816</c:v>
                </c:pt>
                <c:pt idx="3">
                  <c:v>64788</c:v>
                </c:pt>
                <c:pt idx="4">
                  <c:v>64391</c:v>
                </c:pt>
                <c:pt idx="5">
                  <c:v>65727</c:v>
                </c:pt>
                <c:pt idx="6">
                  <c:v>69583</c:v>
                </c:pt>
                <c:pt idx="7">
                  <c:v>75218</c:v>
                </c:pt>
                <c:pt idx="8">
                  <c:v>76628</c:v>
                </c:pt>
                <c:pt idx="9">
                  <c:v>87834</c:v>
                </c:pt>
                <c:pt idx="10">
                  <c:v>97136</c:v>
                </c:pt>
              </c:numCache>
            </c:numRef>
          </c:val>
          <c:smooth val="0"/>
          <c:extLst>
            <c:ext xmlns:c16="http://schemas.microsoft.com/office/drawing/2014/chart" uri="{C3380CC4-5D6E-409C-BE32-E72D297353CC}">
              <c16:uniqueId val="{00000000-6758-4BBB-9196-60E8FFC37DDA}"/>
            </c:ext>
          </c:extLst>
        </c:ser>
        <c:dLbls>
          <c:showLegendKey val="0"/>
          <c:showVal val="0"/>
          <c:showCatName val="0"/>
          <c:showSerName val="0"/>
          <c:showPercent val="0"/>
          <c:showBubbleSize val="0"/>
        </c:dLbls>
        <c:smooth val="0"/>
        <c:axId val="135615696"/>
        <c:axId val="124547104"/>
      </c:lineChart>
      <c:catAx>
        <c:axId val="13561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547104"/>
        <c:crosses val="autoZero"/>
        <c:auto val="1"/>
        <c:lblAlgn val="ctr"/>
        <c:lblOffset val="100"/>
        <c:noMultiLvlLbl val="0"/>
      </c:catAx>
      <c:valAx>
        <c:axId val="124547104"/>
        <c:scaling>
          <c:orientation val="minMax"/>
          <c:max val="1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6156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000" b="1"/>
              <a:t>Fig 4: AS Recipients 03/18-09/20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rgbClr val="C00000"/>
              </a:solidFill>
              <a:round/>
            </a:ln>
            <a:effectLst/>
          </c:spPr>
          <c:marker>
            <c:symbol val="none"/>
          </c:marker>
          <c:cat>
            <c:strRef>
              <c:f>'Supplementary - last 5 years'!$C$3:$W$3</c:f>
              <c:strCache>
                <c:ptCount val="11"/>
                <c:pt idx="0">
                  <c:v>Mar-18</c:v>
                </c:pt>
                <c:pt idx="1">
                  <c:v>Jun-18</c:v>
                </c:pt>
                <c:pt idx="2">
                  <c:v>Sep-18</c:v>
                </c:pt>
                <c:pt idx="3">
                  <c:v>Dec-18</c:v>
                </c:pt>
                <c:pt idx="4">
                  <c:v>Mar-19</c:v>
                </c:pt>
                <c:pt idx="5">
                  <c:v>Jun-19</c:v>
                </c:pt>
                <c:pt idx="6">
                  <c:v>Sep-19</c:v>
                </c:pt>
                <c:pt idx="7">
                  <c:v>Dec-19</c:v>
                </c:pt>
                <c:pt idx="8">
                  <c:v>Mar-20</c:v>
                </c:pt>
                <c:pt idx="9">
                  <c:v>Jun-20</c:v>
                </c:pt>
                <c:pt idx="10">
                  <c:v>Sep-20</c:v>
                </c:pt>
              </c:strCache>
            </c:strRef>
          </c:cat>
          <c:val>
            <c:numRef>
              <c:f>'Supplementary - last 5 years'!$C$6:$W$6</c:f>
              <c:numCache>
                <c:formatCode>#,##0</c:formatCode>
                <c:ptCount val="11"/>
                <c:pt idx="0">
                  <c:v>279283</c:v>
                </c:pt>
                <c:pt idx="1">
                  <c:v>284686</c:v>
                </c:pt>
                <c:pt idx="2">
                  <c:v>292006</c:v>
                </c:pt>
                <c:pt idx="3">
                  <c:v>302840</c:v>
                </c:pt>
                <c:pt idx="4">
                  <c:v>295410</c:v>
                </c:pt>
                <c:pt idx="5">
                  <c:v>300741</c:v>
                </c:pt>
                <c:pt idx="6">
                  <c:v>308047</c:v>
                </c:pt>
                <c:pt idx="7">
                  <c:v>319564</c:v>
                </c:pt>
                <c:pt idx="8">
                  <c:v>317527</c:v>
                </c:pt>
                <c:pt idx="9">
                  <c:v>348754</c:v>
                </c:pt>
                <c:pt idx="10">
                  <c:v>366159</c:v>
                </c:pt>
              </c:numCache>
            </c:numRef>
          </c:val>
          <c:smooth val="0"/>
          <c:extLst>
            <c:ext xmlns:c16="http://schemas.microsoft.com/office/drawing/2014/chart" uri="{C3380CC4-5D6E-409C-BE32-E72D297353CC}">
              <c16:uniqueId val="{00000000-5956-45CD-8FF1-8F372F43E0F2}"/>
            </c:ext>
          </c:extLst>
        </c:ser>
        <c:dLbls>
          <c:showLegendKey val="0"/>
          <c:showVal val="0"/>
          <c:showCatName val="0"/>
          <c:showSerName val="0"/>
          <c:showPercent val="0"/>
          <c:showBubbleSize val="0"/>
        </c:dLbls>
        <c:smooth val="0"/>
        <c:axId val="218923504"/>
        <c:axId val="215477520"/>
      </c:lineChart>
      <c:catAx>
        <c:axId val="21892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477520"/>
        <c:crosses val="autoZero"/>
        <c:auto val="1"/>
        <c:lblAlgn val="ctr"/>
        <c:lblOffset val="100"/>
        <c:noMultiLvlLbl val="0"/>
      </c:catAx>
      <c:valAx>
        <c:axId val="215477520"/>
        <c:scaling>
          <c:orientation val="minMax"/>
          <c:max val="38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89235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CEC3F-3F6B-4894-AF35-73550A18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5158</Words>
  <Characters>28422</Characters>
  <Application>Microsoft Office Word</Application>
  <DocSecurity>0</DocSecurity>
  <Lines>580</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McAllister</dc:creator>
  <cp:keywords/>
  <dc:description/>
  <cp:lastModifiedBy>Janet McA</cp:lastModifiedBy>
  <cp:revision>12</cp:revision>
  <cp:lastPrinted>2020-12-17T00:35:00Z</cp:lastPrinted>
  <dcterms:created xsi:type="dcterms:W3CDTF">2020-12-16T18:43:00Z</dcterms:created>
  <dcterms:modified xsi:type="dcterms:W3CDTF">2020-12-17T00:39:00Z</dcterms:modified>
</cp:coreProperties>
</file>