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F1F38" w14:textId="77777777" w:rsidR="00210A9D" w:rsidRDefault="00210A9D" w:rsidP="00210A9D">
      <w:pPr>
        <w:ind w:left="1440"/>
        <w:jc w:val="right"/>
        <w:rPr>
          <w:b/>
          <w:sz w:val="36"/>
        </w:rPr>
      </w:pPr>
      <w:r>
        <w:rPr>
          <w:b/>
          <w:noProof/>
          <w:sz w:val="36"/>
        </w:rPr>
        <w:drawing>
          <wp:anchor distT="0" distB="0" distL="114300" distR="114300" simplePos="0" relativeHeight="251659264" behindDoc="0" locked="0" layoutInCell="1" allowOverlap="1" wp14:anchorId="10A3B46D" wp14:editId="734D807A">
            <wp:simplePos x="0" y="0"/>
            <wp:positionH relativeFrom="margin">
              <wp:posOffset>-635</wp:posOffset>
            </wp:positionH>
            <wp:positionV relativeFrom="paragraph">
              <wp:posOffset>321310</wp:posOffset>
            </wp:positionV>
            <wp:extent cx="1952625" cy="1376045"/>
            <wp:effectExtent l="0" t="0" r="0" b="0"/>
            <wp:wrapTopAndBottom/>
            <wp:docPr id="2" name="Picture 2" descr="A white cross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cross on a black background&#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376045"/>
                    </a:xfrm>
                    <a:prstGeom prst="rect">
                      <a:avLst/>
                    </a:prstGeom>
                    <a:noFill/>
                  </pic:spPr>
                </pic:pic>
              </a:graphicData>
            </a:graphic>
            <wp14:sizeRelH relativeFrom="page">
              <wp14:pctWidth>0</wp14:pctWidth>
            </wp14:sizeRelH>
            <wp14:sizeRelV relativeFrom="page">
              <wp14:pctHeight>0</wp14:pctHeight>
            </wp14:sizeRelV>
          </wp:anchor>
        </w:drawing>
      </w:r>
      <w:r>
        <w:rPr>
          <w:b/>
          <w:noProof/>
          <w:sz w:val="36"/>
        </w:rPr>
        <w:drawing>
          <wp:anchor distT="0" distB="0" distL="114300" distR="114300" simplePos="0" relativeHeight="251660288" behindDoc="1" locked="0" layoutInCell="1" allowOverlap="1" wp14:anchorId="7F46C213" wp14:editId="5890598C">
            <wp:simplePos x="0" y="0"/>
            <wp:positionH relativeFrom="margin">
              <wp:align>right</wp:align>
            </wp:positionH>
            <wp:positionV relativeFrom="paragraph">
              <wp:posOffset>85725</wp:posOffset>
            </wp:positionV>
            <wp:extent cx="2932430" cy="652145"/>
            <wp:effectExtent l="0" t="0" r="1270" b="0"/>
            <wp:wrapTight wrapText="bothSides">
              <wp:wrapPolygon edited="0">
                <wp:start x="0" y="0"/>
                <wp:lineTo x="0" y="20822"/>
                <wp:lineTo x="21469" y="20822"/>
                <wp:lineTo x="21469" y="0"/>
                <wp:lineTo x="0" y="0"/>
              </wp:wrapPolygon>
            </wp:wrapTight>
            <wp:docPr id="3" name="Picture 3" descr="A collage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llage of a person&#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2430" cy="652145"/>
                    </a:xfrm>
                    <a:prstGeom prst="rect">
                      <a:avLst/>
                    </a:prstGeom>
                    <a:noFill/>
                  </pic:spPr>
                </pic:pic>
              </a:graphicData>
            </a:graphic>
          </wp:anchor>
        </w:drawing>
      </w:r>
    </w:p>
    <w:p w14:paraId="73FDB0C2" w14:textId="77777777" w:rsidR="00210A9D" w:rsidRDefault="00210A9D" w:rsidP="00210A9D">
      <w:pPr>
        <w:ind w:left="1440"/>
        <w:jc w:val="right"/>
        <w:rPr>
          <w:b/>
          <w:sz w:val="36"/>
        </w:rPr>
      </w:pPr>
    </w:p>
    <w:p w14:paraId="667307C6" w14:textId="6A64D8CC" w:rsidR="00210A9D" w:rsidRPr="003A083E" w:rsidRDefault="00210A9D" w:rsidP="00210A9D">
      <w:pPr>
        <w:ind w:left="1440"/>
        <w:jc w:val="right"/>
        <w:rPr>
          <w:b/>
          <w:sz w:val="36"/>
        </w:rPr>
      </w:pPr>
      <w:r w:rsidRPr="003A083E">
        <w:rPr>
          <w:b/>
          <w:sz w:val="36"/>
        </w:rPr>
        <w:t xml:space="preserve">Submission on </w:t>
      </w:r>
      <w:r w:rsidR="002C6F92">
        <w:rPr>
          <w:b/>
          <w:sz w:val="36"/>
        </w:rPr>
        <w:t>Buy-Now, Pay-Later</w:t>
      </w:r>
      <w:r w:rsidR="001E0941">
        <w:rPr>
          <w:b/>
          <w:sz w:val="36"/>
        </w:rPr>
        <w:t xml:space="preserve"> discussion document</w:t>
      </w:r>
    </w:p>
    <w:p w14:paraId="65FE1629" w14:textId="77777777" w:rsidR="00210A9D" w:rsidRDefault="00210A9D" w:rsidP="00210A9D">
      <w:pPr>
        <w:ind w:left="1440"/>
      </w:pPr>
    </w:p>
    <w:p w14:paraId="5FA51DED" w14:textId="70EBCA51" w:rsidR="00210A9D" w:rsidRDefault="00210A9D" w:rsidP="00210A9D">
      <w:r>
        <w:t xml:space="preserve">To: </w:t>
      </w:r>
      <w:r w:rsidR="0009174D">
        <w:t>Ministry of Business, Innovation and Employment</w:t>
      </w:r>
      <w:r>
        <w:t xml:space="preserve"> </w:t>
      </w:r>
      <w:r w:rsidR="00D26735">
        <w:t>(MBIE)</w:t>
      </w:r>
    </w:p>
    <w:p w14:paraId="5C79F0AD" w14:textId="77777777" w:rsidR="00210A9D" w:rsidRDefault="00210A9D" w:rsidP="00210A9D"/>
    <w:p w14:paraId="4D13060C" w14:textId="77777777" w:rsidR="00210A9D" w:rsidRPr="00DE4D94" w:rsidRDefault="00210A9D" w:rsidP="00210A9D">
      <w:pPr>
        <w:rPr>
          <w:b/>
        </w:rPr>
      </w:pPr>
      <w:r w:rsidRPr="00DE4D94">
        <w:rPr>
          <w:b/>
        </w:rPr>
        <w:t>This submission is from:</w:t>
      </w:r>
    </w:p>
    <w:p w14:paraId="6DDBD518" w14:textId="0ABC8653" w:rsidR="00210A9D" w:rsidRDefault="00210A9D" w:rsidP="00210A9D">
      <w:r>
        <w:t>Caitlin Neuwelt-Kearns (</w:t>
      </w:r>
      <w:hyperlink r:id="rId13" w:history="1">
        <w:r w:rsidR="0009174D" w:rsidRPr="0085193F">
          <w:rPr>
            <w:rStyle w:val="Hyperlink"/>
          </w:rPr>
          <w:t>caitlin@cpag.org.nz</w:t>
        </w:r>
      </w:hyperlink>
      <w:r>
        <w:t>)</w:t>
      </w:r>
      <w:r w:rsidR="0009174D">
        <w:t xml:space="preserve"> and </w:t>
      </w:r>
      <w:r w:rsidR="008F55DF">
        <w:t xml:space="preserve">Dr </w:t>
      </w:r>
      <w:r w:rsidR="0009174D">
        <w:t>M. Claire Dale (</w:t>
      </w:r>
      <w:hyperlink r:id="rId14" w:history="1">
        <w:r w:rsidR="005075E8" w:rsidRPr="0085193F">
          <w:rPr>
            <w:rStyle w:val="Hyperlink"/>
          </w:rPr>
          <w:t>m.dale@auckland.ac.nz</w:t>
        </w:r>
      </w:hyperlink>
      <w:r w:rsidR="005075E8">
        <w:t xml:space="preserve">) </w:t>
      </w:r>
    </w:p>
    <w:p w14:paraId="5F71C6C1" w14:textId="77777777" w:rsidR="00210A9D" w:rsidRDefault="00210A9D" w:rsidP="00210A9D">
      <w:r>
        <w:t>Child Poverty Action Group</w:t>
      </w:r>
    </w:p>
    <w:p w14:paraId="2AE2BAC6" w14:textId="77777777" w:rsidR="00210A9D" w:rsidRDefault="00210A9D" w:rsidP="00210A9D">
      <w:r>
        <w:t>PO Box 5611</w:t>
      </w:r>
    </w:p>
    <w:p w14:paraId="5723FD8B" w14:textId="77777777" w:rsidR="00210A9D" w:rsidRDefault="00210A9D" w:rsidP="00210A9D">
      <w:r>
        <w:t>Wellesley St</w:t>
      </w:r>
    </w:p>
    <w:p w14:paraId="1AC29F81" w14:textId="77777777" w:rsidR="00210A9D" w:rsidRDefault="00210A9D" w:rsidP="00210A9D">
      <w:r>
        <w:t>Auckland 1141</w:t>
      </w:r>
    </w:p>
    <w:p w14:paraId="376DE1D1" w14:textId="77777777" w:rsidR="00210A9D" w:rsidRDefault="00210A9D" w:rsidP="00210A9D"/>
    <w:p w14:paraId="0D7CF37C" w14:textId="77777777" w:rsidR="00210A9D" w:rsidRDefault="00210A9D" w:rsidP="00210A9D">
      <w:r w:rsidRPr="00DE4D94">
        <w:rPr>
          <w:b/>
        </w:rPr>
        <w:t>Child Poverty Action Group (CPAG)</w:t>
      </w:r>
      <w:r>
        <w:t xml:space="preserve"> is an independent charity working to eliminate child poverty in New Zealand through research, education and advocacy. CPAG believes that New Zealand’s high level of child poverty is not the result of economic necessity, but is due to policy neglect and a flawed ideological emphasis on economic incentives. Through research, CPAG highlights the position of tens of thousands of New Zealand children, and promotes public policies that address the underlying causes of the poverty they live in.</w:t>
      </w:r>
    </w:p>
    <w:p w14:paraId="0D958663" w14:textId="77777777" w:rsidR="00210A9D" w:rsidRDefault="00210A9D" w:rsidP="00210A9D"/>
    <w:p w14:paraId="52391545" w14:textId="77777777" w:rsidR="00674BD5" w:rsidRPr="00674BD5" w:rsidRDefault="00210A9D" w:rsidP="00674BD5">
      <w:r w:rsidRPr="00674BD5">
        <w:t>We are grateful for the opportunity to submit on</w:t>
      </w:r>
      <w:r w:rsidR="00B4427E" w:rsidRPr="00674BD5">
        <w:t xml:space="preserve"> MBIE’s discussion document regarding the</w:t>
      </w:r>
      <w:r w:rsidRPr="00674BD5">
        <w:t xml:space="preserve"> </w:t>
      </w:r>
      <w:r w:rsidR="00717DAF" w:rsidRPr="00674BD5">
        <w:t>Buy-Now, Pay-Later</w:t>
      </w:r>
      <w:r w:rsidR="002B2215" w:rsidRPr="00674BD5">
        <w:t xml:space="preserve"> sector.</w:t>
      </w:r>
      <w:r w:rsidR="00674BD5" w:rsidRPr="00674BD5">
        <w:t xml:space="preserve"> </w:t>
      </w:r>
    </w:p>
    <w:p w14:paraId="4261DF34" w14:textId="77777777" w:rsidR="00674BD5" w:rsidRDefault="00674BD5" w:rsidP="00B4427E">
      <w:pPr>
        <w:jc w:val="center"/>
        <w:rPr>
          <w:b/>
          <w:bCs/>
          <w:sz w:val="32"/>
          <w:szCs w:val="32"/>
        </w:rPr>
      </w:pPr>
    </w:p>
    <w:p w14:paraId="39C67A89" w14:textId="2C5DFEF2" w:rsidR="00C67837" w:rsidRPr="00B4427E" w:rsidRDefault="00674BD5" w:rsidP="00B4427E">
      <w:pPr>
        <w:jc w:val="center"/>
        <w:rPr>
          <w:b/>
          <w:bCs/>
          <w:sz w:val="32"/>
          <w:szCs w:val="32"/>
        </w:rPr>
      </w:pPr>
      <w:r w:rsidRPr="00674BD5">
        <w:rPr>
          <w:b/>
          <w:bCs/>
          <w:sz w:val="32"/>
          <w:szCs w:val="32"/>
        </w:rPr>
        <w:t xml:space="preserve">We strongly support the adoption of Option Three: Apply CCCFA to regulate BNPL products. To CPAG, this is the only acceptable option </w:t>
      </w:r>
      <w:r w:rsidR="00680B52">
        <w:rPr>
          <w:b/>
          <w:bCs/>
          <w:sz w:val="32"/>
          <w:szCs w:val="32"/>
        </w:rPr>
        <w:t xml:space="preserve">of MBIE’s three </w:t>
      </w:r>
      <w:r w:rsidRPr="00674BD5">
        <w:rPr>
          <w:b/>
          <w:bCs/>
          <w:sz w:val="32"/>
          <w:szCs w:val="32"/>
        </w:rPr>
        <w:t>pr</w:t>
      </w:r>
      <w:r w:rsidR="009D36FB">
        <w:rPr>
          <w:b/>
          <w:bCs/>
          <w:sz w:val="32"/>
          <w:szCs w:val="32"/>
        </w:rPr>
        <w:t xml:space="preserve">oposed </w:t>
      </w:r>
      <w:r w:rsidR="00680B52">
        <w:rPr>
          <w:b/>
          <w:bCs/>
          <w:sz w:val="32"/>
          <w:szCs w:val="32"/>
        </w:rPr>
        <w:t xml:space="preserve">options </w:t>
      </w:r>
      <w:r w:rsidR="009D36FB">
        <w:rPr>
          <w:b/>
          <w:bCs/>
          <w:sz w:val="32"/>
          <w:szCs w:val="32"/>
        </w:rPr>
        <w:t>that</w:t>
      </w:r>
      <w:r w:rsidR="00697FB1">
        <w:rPr>
          <w:b/>
          <w:bCs/>
          <w:sz w:val="32"/>
          <w:szCs w:val="32"/>
        </w:rPr>
        <w:t xml:space="preserve"> would ensure the needs of children and young people in low-income households are prioritised</w:t>
      </w:r>
      <w:r w:rsidRPr="00674BD5">
        <w:rPr>
          <w:b/>
          <w:bCs/>
          <w:sz w:val="32"/>
          <w:szCs w:val="32"/>
        </w:rPr>
        <w:t>.</w:t>
      </w:r>
    </w:p>
    <w:p w14:paraId="27B98F60" w14:textId="77777777" w:rsidR="00DC42FE" w:rsidRDefault="00DC42FE" w:rsidP="00210A9D"/>
    <w:p w14:paraId="36DDB39F" w14:textId="6C018D57" w:rsidR="00114CFA" w:rsidRDefault="00B4427E" w:rsidP="00114CFA">
      <w:r>
        <w:t>As an organisation that advocates for</w:t>
      </w:r>
      <w:r w:rsidR="007028C9">
        <w:t xml:space="preserve"> the rights and interests of children in low-income </w:t>
      </w:r>
      <w:r w:rsidR="00AE1FC2">
        <w:t>familie</w:t>
      </w:r>
      <w:r w:rsidR="007028C9">
        <w:t xml:space="preserve">s, we </w:t>
      </w:r>
      <w:r w:rsidR="009A1AB2">
        <w:t>urge MBIE to ensure that</w:t>
      </w:r>
      <w:r w:rsidR="007028C9">
        <w:t xml:space="preserve"> </w:t>
      </w:r>
      <w:r w:rsidR="00A2790A">
        <w:t>any response to the burgeoning</w:t>
      </w:r>
      <w:r w:rsidR="007028C9">
        <w:t xml:space="preserve"> buy-now, pay-later </w:t>
      </w:r>
      <w:r w:rsidR="0009269F">
        <w:t xml:space="preserve">(BNPL) </w:t>
      </w:r>
      <w:r w:rsidR="007028C9">
        <w:t>sector</w:t>
      </w:r>
      <w:r w:rsidR="00AE1FC2">
        <w:t xml:space="preserve"> prioritises</w:t>
      </w:r>
      <w:r w:rsidR="007028C9">
        <w:t xml:space="preserve"> the </w:t>
      </w:r>
      <w:r w:rsidR="00AE1FC2">
        <w:t>wellbeing of low-income</w:t>
      </w:r>
      <w:r w:rsidR="00B36288">
        <w:t xml:space="preserve"> families and wh</w:t>
      </w:r>
      <w:r w:rsidR="00B36288">
        <w:rPr>
          <w:lang w:val="mi-NZ"/>
        </w:rPr>
        <w:t>ānau</w:t>
      </w:r>
      <w:r w:rsidR="00264D6E">
        <w:t>.</w:t>
      </w:r>
      <w:r w:rsidR="0009269F">
        <w:t xml:space="preserve"> </w:t>
      </w:r>
      <w:r w:rsidR="00114CFA">
        <w:t xml:space="preserve">Unmanageable debt </w:t>
      </w:r>
      <w:r w:rsidR="008F55DF">
        <w:t>has</w:t>
      </w:r>
      <w:r w:rsidR="00114CFA">
        <w:t xml:space="preserve"> severe, negative impacts on children</w:t>
      </w:r>
      <w:r w:rsidR="008F55DF">
        <w:t>. P</w:t>
      </w:r>
      <w:r w:rsidR="00114CFA">
        <w:t xml:space="preserve">revious CPAG research has highlighted how debt servicing and repayments can compromise household income for necessities such as </w:t>
      </w:r>
      <w:r w:rsidR="00114CFA">
        <w:lastRenderedPageBreak/>
        <w:t>food and power, impacting child and family wellbeing.</w:t>
      </w:r>
      <w:r w:rsidR="00315E2A">
        <w:rPr>
          <w:rStyle w:val="FootnoteReference"/>
        </w:rPr>
        <w:footnoteReference w:id="1"/>
      </w:r>
      <w:r w:rsidR="00114CFA">
        <w:t xml:space="preserve"> </w:t>
      </w:r>
      <w:r w:rsidR="00D77608">
        <w:t xml:space="preserve">There is great risk that if BNPL products </w:t>
      </w:r>
      <w:r w:rsidR="009A1AB2">
        <w:t xml:space="preserve">remain </w:t>
      </w:r>
      <w:r w:rsidR="00D77608">
        <w:t xml:space="preserve">inadequately regulated, they will (continue to) compound debt burdens for families, </w:t>
      </w:r>
      <w:r w:rsidR="008F55DF">
        <w:t xml:space="preserve">increasing </w:t>
      </w:r>
      <w:r w:rsidR="0069181B">
        <w:t>financial hardship and distress.</w:t>
      </w:r>
    </w:p>
    <w:p w14:paraId="42C38AE2" w14:textId="77777777" w:rsidR="00674BD5" w:rsidRDefault="00674BD5" w:rsidP="00114CFA"/>
    <w:p w14:paraId="54126721" w14:textId="43DDB2DE" w:rsidR="003562F5" w:rsidRDefault="003562F5" w:rsidP="003562F5">
      <w:r>
        <w:t xml:space="preserve">We are concerned that BNPL services may be exacerbating financial hardship for consumers, particularly in light of Covid-19-related increases in online purchasing. </w:t>
      </w:r>
      <w:r w:rsidR="00674BD5">
        <w:t>As the discussion document states, the success of the BNPL industry is related to “its ability to take advantage of consumer psychology – by giving consumers instant access to goods and services at a perceived lower price</w:t>
      </w:r>
      <w:r w:rsidR="00DB63B6">
        <w:t>” (19). This consumer psychology is “even stronger for online purchases, due to the speed at which the consumer is able to make transactions”, which is of concern given increased rates of online purchasing as a result of Covid-19 restrictions</w:t>
      </w:r>
      <w:r>
        <w:t>.</w:t>
      </w:r>
      <w:r w:rsidRPr="007B18B4">
        <w:rPr>
          <w:rStyle w:val="FootnoteReference"/>
        </w:rPr>
        <w:t xml:space="preserve"> </w:t>
      </w:r>
      <w:r>
        <w:rPr>
          <w:rStyle w:val="FootnoteReference"/>
        </w:rPr>
        <w:footnoteReference w:id="2"/>
      </w:r>
      <w:r>
        <w:t xml:space="preserve"> Given </w:t>
      </w:r>
      <w:r w:rsidR="008F55DF">
        <w:t xml:space="preserve">the surge </w:t>
      </w:r>
      <w:r>
        <w:t>in family financial hardship through the pandemic period – evident in, for instance, exponential increases in food bank use</w:t>
      </w:r>
      <w:r>
        <w:rPr>
          <w:rStyle w:val="FootnoteReference"/>
        </w:rPr>
        <w:footnoteReference w:id="3"/>
      </w:r>
      <w:r>
        <w:t xml:space="preserve"> </w:t>
      </w:r>
      <w:r>
        <w:rPr>
          <w:rStyle w:val="FootnoteReference"/>
        </w:rPr>
        <w:footnoteReference w:id="4"/>
      </w:r>
      <w:r>
        <w:t xml:space="preserve"> and growing numbers of children living in benefit-receiving households</w:t>
      </w:r>
      <w:r w:rsidR="00DB63B6">
        <w:rPr>
          <w:rStyle w:val="FootnoteReference"/>
        </w:rPr>
        <w:footnoteReference w:id="5"/>
      </w:r>
      <w:r>
        <w:t xml:space="preserve"> – we are troubled that the ‘perfect storm’ </w:t>
      </w:r>
      <w:r w:rsidR="00E57B66">
        <w:t>of increasing</w:t>
      </w:r>
      <w:r w:rsidR="009D2D63">
        <w:t xml:space="preserve"> debt burdens for</w:t>
      </w:r>
      <w:r w:rsidR="00E57B66">
        <w:t xml:space="preserve"> famil</w:t>
      </w:r>
      <w:r w:rsidR="009D2D63">
        <w:t>ies</w:t>
      </w:r>
      <w:r w:rsidR="00E57B66">
        <w:t xml:space="preserve"> and wh</w:t>
      </w:r>
      <w:r w:rsidR="009D2D63">
        <w:t>ā</w:t>
      </w:r>
      <w:r w:rsidR="00E57B66">
        <w:t xml:space="preserve">nau </w:t>
      </w:r>
      <w:r>
        <w:t>may be brewing, requiring urgent attention</w:t>
      </w:r>
      <w:r w:rsidR="00E57B66">
        <w:t xml:space="preserve"> in the form of regulatory action</w:t>
      </w:r>
      <w:r>
        <w:t xml:space="preserve">. </w:t>
      </w:r>
    </w:p>
    <w:p w14:paraId="0FF11481" w14:textId="77777777" w:rsidR="00ED4CB3" w:rsidRDefault="00ED4CB3" w:rsidP="00210A9D"/>
    <w:p w14:paraId="53A5EE5F" w14:textId="012E6D67" w:rsidR="00306E44" w:rsidRDefault="00DD5C2F" w:rsidP="00350D65">
      <w:r>
        <w:t xml:space="preserve">We acknowledge that there are some benefits </w:t>
      </w:r>
      <w:r w:rsidR="00A06CD2">
        <w:t>of BNPL products for low-income families</w:t>
      </w:r>
      <w:r w:rsidR="007174EF">
        <w:t>, such as those listed in point 21</w:t>
      </w:r>
      <w:r w:rsidR="00A06CD2">
        <w:t xml:space="preserve">. </w:t>
      </w:r>
      <w:r w:rsidR="00E57B66">
        <w:t xml:space="preserve">For example, we agree that BNPL products may “provide an effective way for consumers to spread the costs of their purchases at peak purchase times (for example, holidays or the start of the school year)”, and </w:t>
      </w:r>
      <w:r w:rsidR="00350D65">
        <w:t xml:space="preserve">“allow consumers to purchase goods and services in bulk, or in one payment to the business, allowing consumers to take advantage of any discounts” (21a, 21c). </w:t>
      </w:r>
      <w:r w:rsidR="005F1EC0">
        <w:t xml:space="preserve">If repaid promptly, these products </w:t>
      </w:r>
      <w:r w:rsidR="003622EF">
        <w:t>may</w:t>
      </w:r>
      <w:r w:rsidR="005F1EC0">
        <w:t xml:space="preserve"> offer a useful alternative to high-interest borrowing</w:t>
      </w:r>
      <w:r w:rsidR="00306E44">
        <w:t xml:space="preserve">. </w:t>
      </w:r>
    </w:p>
    <w:p w14:paraId="37BD7B2E" w14:textId="77777777" w:rsidR="00306E44" w:rsidRDefault="00306E44" w:rsidP="00350D65"/>
    <w:p w14:paraId="3C61DD4F" w14:textId="1B46C5A7" w:rsidR="00350D65" w:rsidRDefault="00306E44" w:rsidP="00350D65">
      <w:r>
        <w:t>Ho</w:t>
      </w:r>
      <w:r w:rsidR="00ED4CB3">
        <w:t>wever, the benefi</w:t>
      </w:r>
      <w:r>
        <w:t xml:space="preserve">ts </w:t>
      </w:r>
      <w:r w:rsidR="00ED4CB3">
        <w:t>of</w:t>
      </w:r>
      <w:r>
        <w:t xml:space="preserve"> using</w:t>
      </w:r>
      <w:r w:rsidR="00ED4CB3">
        <w:t xml:space="preserve"> these products </w:t>
      </w:r>
      <w:r>
        <w:t>are</w:t>
      </w:r>
      <w:r w:rsidR="00ED4CB3">
        <w:t xml:space="preserve"> contingent on families being able to </w:t>
      </w:r>
      <w:r w:rsidR="00205DBD">
        <w:t>meet their repayment obligations</w:t>
      </w:r>
      <w:r w:rsidR="00350D65">
        <w:t>. F</w:t>
      </w:r>
      <w:r w:rsidR="00ED4CB3">
        <w:t xml:space="preserve">or those living on tight weekly budgets, there </w:t>
      </w:r>
      <w:r w:rsidR="00345A87">
        <w:t xml:space="preserve">is </w:t>
      </w:r>
      <w:r w:rsidR="00ED4CB3">
        <w:t xml:space="preserve">significant risk of going into arrears. </w:t>
      </w:r>
      <w:r w:rsidR="00350D65">
        <w:t>As is highlighted in point 40, the proportion of customers in arrears is higher among BNPL customers (8.3 percent) than among</w:t>
      </w:r>
      <w:r w:rsidR="009E08F1">
        <w:t xml:space="preserve"> those accessing</w:t>
      </w:r>
      <w:r w:rsidR="00350D65">
        <w:t xml:space="preserve"> personal loans (7.9 percent) </w:t>
      </w:r>
      <w:r w:rsidR="009E08F1">
        <w:t>or</w:t>
      </w:r>
      <w:r w:rsidR="00350D65">
        <w:t xml:space="preserve"> credit cards (4.2 percent), suggesting that there may be an increased risk of </w:t>
      </w:r>
      <w:r w:rsidR="00465D2F">
        <w:t xml:space="preserve">parents and caregivers </w:t>
      </w:r>
      <w:r w:rsidR="00350D65">
        <w:t xml:space="preserve">spending beyond </w:t>
      </w:r>
      <w:r w:rsidR="00465D2F">
        <w:t>their</w:t>
      </w:r>
      <w:r w:rsidR="00350D65">
        <w:t xml:space="preserve"> ability to repay with BNPL products</w:t>
      </w:r>
      <w:r w:rsidR="00465D2F">
        <w:t xml:space="preserve"> compared to other credit options. </w:t>
      </w:r>
    </w:p>
    <w:p w14:paraId="27618A04" w14:textId="77777777" w:rsidR="00350D65" w:rsidRPr="00ED4CB3" w:rsidRDefault="00350D65" w:rsidP="00210A9D"/>
    <w:p w14:paraId="652EBDDB" w14:textId="41F6AF2B" w:rsidR="002E5C4F" w:rsidRDefault="002E5C4F" w:rsidP="00210A9D">
      <w:r>
        <w:t xml:space="preserve">Given the significant risk to </w:t>
      </w:r>
      <w:r w:rsidR="00F87841">
        <w:t>children’s</w:t>
      </w:r>
      <w:r>
        <w:t xml:space="preserve"> wellbeing posed by unaffordable</w:t>
      </w:r>
      <w:r w:rsidR="00F87841">
        <w:t xml:space="preserve"> household</w:t>
      </w:r>
      <w:r>
        <w:t xml:space="preserve"> debt, CPAG is</w:t>
      </w:r>
      <w:r w:rsidR="001A77EB">
        <w:t xml:space="preserve"> </w:t>
      </w:r>
      <w:r>
        <w:t xml:space="preserve">very </w:t>
      </w:r>
      <w:r w:rsidR="001A77EB">
        <w:t>concerned</w:t>
      </w:r>
      <w:r>
        <w:t xml:space="preserve"> about the fact</w:t>
      </w:r>
      <w:r w:rsidR="001A77EB">
        <w:t xml:space="preserve"> that</w:t>
      </w:r>
      <w:r w:rsidR="00F157AB">
        <w:t xml:space="preserve"> currently,</w:t>
      </w:r>
      <w:r w:rsidR="001A77EB">
        <w:t xml:space="preserve"> </w:t>
      </w:r>
      <w:r w:rsidR="004A4389">
        <w:t>BNPL</w:t>
      </w:r>
      <w:r w:rsidR="005C68F8">
        <w:t xml:space="preserve"> products </w:t>
      </w:r>
      <w:r>
        <w:t xml:space="preserve">“are not required to comply with the Credit Contracts and Consumer Finance Act 2003 (CCCFA) obligations for consumer credit contracts” (33). </w:t>
      </w:r>
      <w:r w:rsidR="00E54FB0">
        <w:t>In particular, w</w:t>
      </w:r>
      <w:r w:rsidR="004A4389">
        <w:t xml:space="preserve">e </w:t>
      </w:r>
      <w:r w:rsidR="00D15CAE">
        <w:t xml:space="preserve">are concerned </w:t>
      </w:r>
      <w:r>
        <w:t>that BNPL providers “are not required to assess a consumer’s financial position, or make an assessment as to whether the consumer is likely to be able to repay the credit without substantial hardship, as required under the CCCFA” (33).</w:t>
      </w:r>
      <w:r w:rsidR="00E252FB">
        <w:t xml:space="preserve"> </w:t>
      </w:r>
      <w:r w:rsidR="00F87841">
        <w:t>C</w:t>
      </w:r>
      <w:r>
        <w:t xml:space="preserve">urrent </w:t>
      </w:r>
      <w:r w:rsidR="00F87841">
        <w:t xml:space="preserve">regulatory </w:t>
      </w:r>
      <w:r>
        <w:t>settings</w:t>
      </w:r>
      <w:r w:rsidR="00815310">
        <w:t xml:space="preserve"> pla</w:t>
      </w:r>
      <w:r>
        <w:t>ce</w:t>
      </w:r>
      <w:r w:rsidR="00815310">
        <w:t xml:space="preserve"> all responsibility on the consumer to assess the affordability of their purchase, which </w:t>
      </w:r>
      <w:r w:rsidR="00851CD0">
        <w:t>is problematic given</w:t>
      </w:r>
      <w:r>
        <w:t xml:space="preserve"> that </w:t>
      </w:r>
      <w:r w:rsidR="0029078A">
        <w:t xml:space="preserve">BNPL products </w:t>
      </w:r>
      <w:r w:rsidR="004D2663">
        <w:t xml:space="preserve">take advantage of consumer psychology </w:t>
      </w:r>
      <w:r>
        <w:t xml:space="preserve">“by giving consumers instant access to goods and services at a perceived lower price” (19). The perception of a lower price, </w:t>
      </w:r>
      <w:r w:rsidR="0064624A">
        <w:t>combined with</w:t>
      </w:r>
      <w:r>
        <w:t xml:space="preserve"> the allure of instant access to goods and services, </w:t>
      </w:r>
      <w:r w:rsidR="00AA0FF9">
        <w:t>may</w:t>
      </w:r>
      <w:r w:rsidR="0064624A">
        <w:t xml:space="preserve"> encourage</w:t>
      </w:r>
      <w:r w:rsidR="00AA0FF9">
        <w:t xml:space="preserve"> overspending and impulse buying</w:t>
      </w:r>
      <w:r w:rsidR="00357BA1">
        <w:t>. Pr</w:t>
      </w:r>
      <w:r w:rsidR="00263A53">
        <w:t xml:space="preserve">oviders should have obligations to conduct an </w:t>
      </w:r>
      <w:r w:rsidR="0064624A">
        <w:t xml:space="preserve">affordability </w:t>
      </w:r>
      <w:r>
        <w:t>assessment</w:t>
      </w:r>
      <w:r w:rsidR="00357BA1">
        <w:t>, as a</w:t>
      </w:r>
      <w:r>
        <w:t xml:space="preserve"> shared responsibility between the BNPL provider and the consumer. </w:t>
      </w:r>
    </w:p>
    <w:p w14:paraId="3539B23D" w14:textId="77777777" w:rsidR="002E5C4F" w:rsidRDefault="002E5C4F" w:rsidP="00210A9D"/>
    <w:p w14:paraId="456B54E3" w14:textId="2CC6A1FC" w:rsidR="00C168BB" w:rsidRDefault="008206C9" w:rsidP="00210A9D">
      <w:r>
        <w:t xml:space="preserve">Many New Zealanders are currently surviving on incomes that are inadequate relative to outgoing costs, making them particularly vulnerable to taking on debt they cannot manage. </w:t>
      </w:r>
      <w:r w:rsidR="001C425B">
        <w:t>Pre-pandemic, b</w:t>
      </w:r>
      <w:r w:rsidR="00967C4C">
        <w:t>etween 14 and 18 percent of children in Aotearoa</w:t>
      </w:r>
      <w:r w:rsidR="008F55DF">
        <w:t xml:space="preserve"> </w:t>
      </w:r>
      <w:r w:rsidR="001C425B">
        <w:t>we</w:t>
      </w:r>
      <w:r w:rsidR="00967C4C">
        <w:t xml:space="preserve">re living in </w:t>
      </w:r>
      <w:r w:rsidR="00C22E18">
        <w:t>income poverty, depending on which of the two primary income measures are used.</w:t>
      </w:r>
      <w:r w:rsidR="00C22E18">
        <w:rPr>
          <w:rStyle w:val="FootnoteReference"/>
        </w:rPr>
        <w:footnoteReference w:id="6"/>
      </w:r>
      <w:r w:rsidR="00C22E18">
        <w:t xml:space="preserve"> </w:t>
      </w:r>
      <w:r w:rsidR="00232A78">
        <w:t xml:space="preserve">For parents and caregivers raising children on </w:t>
      </w:r>
      <w:r w:rsidR="00C22E18">
        <w:t>these incomes</w:t>
      </w:r>
      <w:r w:rsidR="00232A78">
        <w:t xml:space="preserve">, </w:t>
      </w:r>
      <w:r w:rsidR="00C50D21">
        <w:t xml:space="preserve">assessing the affordability of their purchase using a BNPL product may not be top of mind, particularly when using BNPL products to purchase essentials, such as groceries, or </w:t>
      </w:r>
      <w:r w:rsidR="00183CE0">
        <w:t>sentimental</w:t>
      </w:r>
      <w:r w:rsidR="008E6C9B">
        <w:t xml:space="preserve"> purchases such as Christmas</w:t>
      </w:r>
      <w:r w:rsidR="00B44D1C">
        <w:t xml:space="preserve"> or birthday </w:t>
      </w:r>
      <w:r w:rsidR="008E6C9B">
        <w:t>presents for their kids</w:t>
      </w:r>
      <w:r w:rsidR="00B44D1C">
        <w:t xml:space="preserve"> or wh</w:t>
      </w:r>
      <w:r w:rsidR="00B44D1C">
        <w:rPr>
          <w:rFonts w:cstheme="minorHAnsi"/>
        </w:rPr>
        <w:t>ā</w:t>
      </w:r>
      <w:r w:rsidR="00B44D1C">
        <w:t>nau</w:t>
      </w:r>
      <w:r w:rsidR="008E6C9B">
        <w:t>.</w:t>
      </w:r>
      <w:r w:rsidR="00C50D21">
        <w:t xml:space="preserve"> Moreover, relying entirely on the consumer to assess affordability necessitates a certain level of financial literacy, which some consumers may not have. </w:t>
      </w:r>
      <w:r w:rsidR="00186B11">
        <w:t xml:space="preserve">Requiring BNPL providers to undertake comprehensive affordability assessments </w:t>
      </w:r>
      <w:r w:rsidR="00B919E9">
        <w:t xml:space="preserve">would </w:t>
      </w:r>
      <w:r w:rsidR="00420BC4">
        <w:t xml:space="preserve">ensure </w:t>
      </w:r>
      <w:r w:rsidR="001401A8">
        <w:t>that consumers are protected from accessing credit that is unaffordable for them</w:t>
      </w:r>
      <w:r w:rsidR="00C34464">
        <w:t xml:space="preserve"> and therefore likely to negatively impact on the wellbeing of their children</w:t>
      </w:r>
      <w:r w:rsidR="00B919E9">
        <w:t>.</w:t>
      </w:r>
      <w:r w:rsidR="00186B11">
        <w:t xml:space="preserve"> </w:t>
      </w:r>
    </w:p>
    <w:p w14:paraId="5C51D452" w14:textId="77777777" w:rsidR="00630B09" w:rsidRDefault="00630B09" w:rsidP="00210A9D"/>
    <w:p w14:paraId="06C996F4" w14:textId="5061B77D" w:rsidR="004B3641" w:rsidRDefault="00630B09" w:rsidP="00210A9D">
      <w:r>
        <w:t xml:space="preserve">Given the lack of consistency of credit checks across BNPL providers, there is risk that </w:t>
      </w:r>
      <w:r w:rsidR="00F1645A">
        <w:t>consumers may take on multiple BNPL debt obligations simultaneously</w:t>
      </w:r>
      <w:r w:rsidR="00555808">
        <w:t xml:space="preserve">, and </w:t>
      </w:r>
      <w:r w:rsidR="008E6C9B">
        <w:t>as the discussion document shows,</w:t>
      </w:r>
      <w:r w:rsidR="00555808">
        <w:t xml:space="preserve"> the number of users with multiple accounts is increasing over time</w:t>
      </w:r>
      <w:r w:rsidR="009B3024">
        <w:t xml:space="preserve">, up 3% to 15% of all BNPL users this year compared to 12% in August 2020 </w:t>
      </w:r>
      <w:r w:rsidR="00F1645A">
        <w:t>(</w:t>
      </w:r>
      <w:r w:rsidR="00555808">
        <w:t>67)</w:t>
      </w:r>
      <w:r w:rsidR="00F1645A">
        <w:t>.</w:t>
      </w:r>
      <w:r w:rsidR="00E06923">
        <w:t xml:space="preserve"> A limit on </w:t>
      </w:r>
      <w:r w:rsidR="00011E4E">
        <w:t xml:space="preserve">the number of purchases per BNPL account </w:t>
      </w:r>
      <w:r w:rsidR="00592E90">
        <w:t>c</w:t>
      </w:r>
      <w:r w:rsidR="00011E4E">
        <w:t xml:space="preserve">ould help to limit </w:t>
      </w:r>
      <w:r w:rsidR="00592E90">
        <w:t>risky spending. C</w:t>
      </w:r>
      <w:r w:rsidR="00703425">
        <w:t xml:space="preserve">onsistency in requirements of BNPL providers </w:t>
      </w:r>
      <w:r w:rsidR="00122D4E">
        <w:t>c</w:t>
      </w:r>
      <w:r w:rsidR="00703425">
        <w:t xml:space="preserve">ould </w:t>
      </w:r>
      <w:r w:rsidR="00592E90">
        <w:t xml:space="preserve">also </w:t>
      </w:r>
      <w:r w:rsidR="00703425">
        <w:t>help to ensure that</w:t>
      </w:r>
      <w:r w:rsidR="000D1995">
        <w:t xml:space="preserve"> </w:t>
      </w:r>
      <w:r w:rsidR="00122D4E">
        <w:t>consumer debt across multiple products is managed</w:t>
      </w:r>
      <w:r w:rsidR="008E6C9B">
        <w:t xml:space="preserve">. </w:t>
      </w:r>
      <w:r w:rsidR="003E72AC">
        <w:t>For this reason, we strongly recommend against the adoption of Option One: status quo</w:t>
      </w:r>
      <w:r w:rsidR="0032237C">
        <w:t xml:space="preserve">, as a voluntary sector code is unlikely to result in consistency across the sector. </w:t>
      </w:r>
    </w:p>
    <w:p w14:paraId="6D993A8C" w14:textId="77777777" w:rsidR="001B4107" w:rsidRDefault="001B4107" w:rsidP="00210A9D"/>
    <w:p w14:paraId="38CA5F25" w14:textId="5E129C3F" w:rsidR="008C2BBA" w:rsidRDefault="001B4107" w:rsidP="00210A9D">
      <w:r>
        <w:t xml:space="preserve">Aligning </w:t>
      </w:r>
      <w:r w:rsidR="006E1273">
        <w:t xml:space="preserve">the regulation of </w:t>
      </w:r>
      <w:r>
        <w:t xml:space="preserve">BNPL products with </w:t>
      </w:r>
      <w:r w:rsidR="006E1273">
        <w:t>that of other consumer credit products may also help consumers to correctly understand BNPL for what it is – debt.</w:t>
      </w:r>
      <w:r w:rsidR="00353EE8">
        <w:t xml:space="preserve"> The Woolard Review in the United Kingdom </w:t>
      </w:r>
      <w:r w:rsidR="005C68F8">
        <w:t>highlighted</w:t>
      </w:r>
      <w:r w:rsidR="00353EE8">
        <w:t xml:space="preserve"> the risk that consumers may not be applying the same level of scrutiny to their decision-making with regards to BNPL compared to other credit products.</w:t>
      </w:r>
      <w:r w:rsidR="005C68F8">
        <w:rPr>
          <w:rStyle w:val="FootnoteReference"/>
        </w:rPr>
        <w:footnoteReference w:id="7"/>
      </w:r>
      <w:r w:rsidR="00353EE8">
        <w:t xml:space="preserve"> </w:t>
      </w:r>
      <w:r w:rsidR="0062697F">
        <w:t xml:space="preserve">There is a risk that by allowing BNPL to remain beyond the scope of CCCFA obligations, as in </w:t>
      </w:r>
      <w:r w:rsidR="00C0116A">
        <w:t>O</w:t>
      </w:r>
      <w:r w:rsidR="0062697F">
        <w:t xml:space="preserve">ptions </w:t>
      </w:r>
      <w:r w:rsidR="00C0116A">
        <w:t>O</w:t>
      </w:r>
      <w:r w:rsidR="0062697F">
        <w:t xml:space="preserve">ne and </w:t>
      </w:r>
      <w:r w:rsidR="00C0116A">
        <w:t>T</w:t>
      </w:r>
      <w:r w:rsidR="0062697F">
        <w:t xml:space="preserve">wo, </w:t>
      </w:r>
      <w:r w:rsidR="00C0116A">
        <w:t xml:space="preserve">this encourages an understanding of BNPL products as </w:t>
      </w:r>
      <w:r w:rsidR="005E3969">
        <w:t xml:space="preserve">substantively </w:t>
      </w:r>
      <w:r w:rsidR="00C0116A">
        <w:t>different to other debt products.</w:t>
      </w:r>
    </w:p>
    <w:p w14:paraId="736688FC" w14:textId="481F7CFB" w:rsidR="00E12D24" w:rsidRDefault="00E12D24" w:rsidP="00210A9D"/>
    <w:p w14:paraId="42812727" w14:textId="0046F8AA" w:rsidR="005E3969" w:rsidRDefault="005E3969" w:rsidP="00210A9D">
      <w:r>
        <w:t xml:space="preserve">In summary, we urge MBIE to </w:t>
      </w:r>
      <w:r w:rsidR="005F4472">
        <w:t xml:space="preserve">prioritise </w:t>
      </w:r>
      <w:r w:rsidR="00A0322B">
        <w:t>the wellbeing of low-income families and wh</w:t>
      </w:r>
      <w:r w:rsidR="00287BD6">
        <w:t>ā</w:t>
      </w:r>
      <w:r w:rsidR="00A0322B">
        <w:t xml:space="preserve">nau in </w:t>
      </w:r>
      <w:r w:rsidR="002E4A36">
        <w:t xml:space="preserve">exploring the options available to </w:t>
      </w:r>
      <w:r w:rsidR="00287BD6">
        <w:t xml:space="preserve">ensure an effective BNPL sector. From CPAG’s perspective, Option Three is the only option proposed that </w:t>
      </w:r>
      <w:r w:rsidR="00F9607F">
        <w:t xml:space="preserve">provides a robust enough regulatory framework </w:t>
      </w:r>
      <w:r w:rsidR="00793CB5">
        <w:t>that will</w:t>
      </w:r>
      <w:r w:rsidR="00515582">
        <w:t xml:space="preserve"> ensure that children and young people are protected from undue financial harm at the hands of an under-regulated BNPL sector. </w:t>
      </w:r>
    </w:p>
    <w:p w14:paraId="0180BB75" w14:textId="77777777" w:rsidR="00FE0BC0" w:rsidRDefault="00FE0BC0" w:rsidP="00210A9D"/>
    <w:p w14:paraId="66999C5F" w14:textId="77777777" w:rsidR="007A1D7C" w:rsidRDefault="007A1D7C" w:rsidP="00210A9D"/>
    <w:p w14:paraId="35443027" w14:textId="77777777" w:rsidR="003B40D2" w:rsidRDefault="003D5877"/>
    <w:sectPr w:rsidR="003B40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98A38" w14:textId="77777777" w:rsidR="003D5877" w:rsidRDefault="003D5877" w:rsidP="00EF4620">
      <w:r>
        <w:separator/>
      </w:r>
    </w:p>
  </w:endnote>
  <w:endnote w:type="continuationSeparator" w:id="0">
    <w:p w14:paraId="291A784B" w14:textId="77777777" w:rsidR="003D5877" w:rsidRDefault="003D5877" w:rsidP="00EF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64B05" w14:textId="77777777" w:rsidR="003D5877" w:rsidRDefault="003D5877" w:rsidP="00EF4620">
      <w:r>
        <w:separator/>
      </w:r>
    </w:p>
  </w:footnote>
  <w:footnote w:type="continuationSeparator" w:id="0">
    <w:p w14:paraId="791AD1CD" w14:textId="77777777" w:rsidR="003D5877" w:rsidRDefault="003D5877" w:rsidP="00EF4620">
      <w:r>
        <w:continuationSeparator/>
      </w:r>
    </w:p>
  </w:footnote>
  <w:footnote w:id="1">
    <w:p w14:paraId="4915DB61" w14:textId="7CC1D3E2" w:rsidR="00315E2A" w:rsidRPr="00315E2A" w:rsidRDefault="00315E2A">
      <w:pPr>
        <w:pStyle w:val="FootnoteText"/>
        <w:rPr>
          <w:lang w:val="en-US"/>
        </w:rPr>
      </w:pPr>
      <w:r>
        <w:rPr>
          <w:rStyle w:val="FootnoteReference"/>
        </w:rPr>
        <w:footnoteRef/>
      </w:r>
      <w:r>
        <w:t xml:space="preserve"> </w:t>
      </w:r>
      <w:r w:rsidR="00F00C99">
        <w:t>Dale</w:t>
      </w:r>
      <w:r w:rsidR="00D322FB">
        <w:t xml:space="preserve">, M. C. (2014). </w:t>
      </w:r>
      <w:r w:rsidR="00D322FB" w:rsidRPr="00D322FB">
        <w:rPr>
          <w:i/>
          <w:iCs/>
        </w:rPr>
        <w:t>New Zealand's Debt Society and Child Poverty</w:t>
      </w:r>
      <w:r w:rsidR="00D322FB">
        <w:t xml:space="preserve">. Auckland: Child Poverty Action Group. Retrieved from </w:t>
      </w:r>
      <w:hyperlink r:id="rId1" w:history="1">
        <w:r w:rsidR="00D322FB" w:rsidRPr="002A1714">
          <w:rPr>
            <w:rStyle w:val="Hyperlink"/>
          </w:rPr>
          <w:t>https://www.cpag.org.nz/assets/Backgrounders/140225%20CPAG%20Debt%20Backgrounder%20Feb2014%20FINAL.pdf</w:t>
        </w:r>
      </w:hyperlink>
      <w:r>
        <w:t xml:space="preserve"> </w:t>
      </w:r>
    </w:p>
  </w:footnote>
  <w:footnote w:id="2">
    <w:p w14:paraId="610B3673" w14:textId="1ED8E101" w:rsidR="003562F5" w:rsidRPr="00276244" w:rsidRDefault="003562F5" w:rsidP="003562F5">
      <w:pPr>
        <w:pStyle w:val="FootnoteText"/>
        <w:rPr>
          <w:lang w:val="en-US"/>
        </w:rPr>
      </w:pPr>
      <w:r>
        <w:rPr>
          <w:rStyle w:val="FootnoteReference"/>
        </w:rPr>
        <w:footnoteRef/>
      </w:r>
      <w:r w:rsidR="001C1F6D">
        <w:t xml:space="preserve"> </w:t>
      </w:r>
      <w:r w:rsidR="001C1F6D" w:rsidRPr="001C1F6D">
        <w:t>Foxcroft</w:t>
      </w:r>
      <w:r w:rsidR="001C1F6D">
        <w:t xml:space="preserve">, D. (2021). </w:t>
      </w:r>
      <w:r w:rsidR="0029781F" w:rsidRPr="00603BA4">
        <w:t>Online shopping ballooned by $1.2 billion last year, most with domestic retailers</w:t>
      </w:r>
      <w:r w:rsidR="0029781F">
        <w:t>.</w:t>
      </w:r>
      <w:r w:rsidR="0029781F" w:rsidRPr="00603BA4">
        <w:rPr>
          <w:i/>
          <w:iCs/>
        </w:rPr>
        <w:t xml:space="preserve"> Stuff</w:t>
      </w:r>
      <w:r w:rsidR="0029781F">
        <w:t>. Retrieved from</w:t>
      </w:r>
      <w:r>
        <w:t xml:space="preserve"> </w:t>
      </w:r>
      <w:hyperlink r:id="rId2" w:history="1">
        <w:r w:rsidRPr="0085193F">
          <w:rPr>
            <w:rStyle w:val="Hyperlink"/>
          </w:rPr>
          <w:t>https://www.stuff.co.nz/business/124209635/online-shopping-ballooned-by-12-billion-last-year-most-with-domestic-retailers</w:t>
        </w:r>
      </w:hyperlink>
      <w:r>
        <w:t xml:space="preserve"> </w:t>
      </w:r>
    </w:p>
  </w:footnote>
  <w:footnote w:id="3">
    <w:p w14:paraId="0634D557" w14:textId="651A9CC8" w:rsidR="003562F5" w:rsidRPr="00661024" w:rsidRDefault="003562F5" w:rsidP="003562F5">
      <w:pPr>
        <w:pStyle w:val="FootnoteText"/>
        <w:rPr>
          <w:lang w:val="en-US"/>
        </w:rPr>
      </w:pPr>
      <w:r>
        <w:rPr>
          <w:rStyle w:val="FootnoteReference"/>
        </w:rPr>
        <w:footnoteRef/>
      </w:r>
      <w:r>
        <w:t xml:space="preserve"> </w:t>
      </w:r>
      <w:r w:rsidR="00603BA4">
        <w:t xml:space="preserve">Gee, S. (2021). </w:t>
      </w:r>
      <w:r w:rsidR="00603BA4" w:rsidRPr="00603BA4">
        <w:t>As food prices rise, Auckland City Mission sees higher demand for services</w:t>
      </w:r>
      <w:r w:rsidR="00603BA4">
        <w:t xml:space="preserve">. </w:t>
      </w:r>
      <w:r w:rsidR="00603BA4">
        <w:rPr>
          <w:i/>
          <w:iCs/>
        </w:rPr>
        <w:t>RNZ</w:t>
      </w:r>
      <w:r w:rsidR="00603BA4">
        <w:t>. Retrieved from</w:t>
      </w:r>
      <w:r w:rsidR="00603BA4" w:rsidRPr="00603BA4">
        <w:t xml:space="preserve"> </w:t>
      </w:r>
      <w:hyperlink r:id="rId3" w:history="1">
        <w:r w:rsidR="00603BA4" w:rsidRPr="002A1714">
          <w:rPr>
            <w:rStyle w:val="Hyperlink"/>
          </w:rPr>
          <w:t>https://www.rnz.co.nz/news/national/455595/as-food-prices-rise-auckland-city-mission-sees-higher-demand-for-services</w:t>
        </w:r>
      </w:hyperlink>
      <w:r>
        <w:t xml:space="preserve"> </w:t>
      </w:r>
    </w:p>
  </w:footnote>
  <w:footnote w:id="4">
    <w:p w14:paraId="33E90BE0" w14:textId="31AA0ABA" w:rsidR="003562F5" w:rsidRPr="005D5F16" w:rsidRDefault="003562F5" w:rsidP="003562F5">
      <w:pPr>
        <w:pStyle w:val="FootnoteText"/>
        <w:rPr>
          <w:lang w:val="en-US"/>
        </w:rPr>
      </w:pPr>
      <w:r>
        <w:rPr>
          <w:rStyle w:val="FootnoteReference"/>
        </w:rPr>
        <w:footnoteRef/>
      </w:r>
      <w:r>
        <w:t xml:space="preserve"> </w:t>
      </w:r>
      <w:r w:rsidR="00533703">
        <w:t>Child Poverty Action Group (2021).</w:t>
      </w:r>
      <w:r w:rsidR="00533703" w:rsidRPr="00533703">
        <w:t xml:space="preserve"> Auckland City Mission Food Parcel Demand (2021)</w:t>
      </w:r>
      <w:r w:rsidR="00533703">
        <w:t xml:space="preserve">. Retrieved from </w:t>
      </w:r>
      <w:hyperlink r:id="rId4" w:history="1">
        <w:r w:rsidR="00D011C5" w:rsidRPr="002A1714">
          <w:rPr>
            <w:rStyle w:val="Hyperlink"/>
          </w:rPr>
          <w:t>https://www.cpag.org.nz/the-latest/current-statistics/food-parcels/</w:t>
        </w:r>
      </w:hyperlink>
      <w:r>
        <w:t xml:space="preserve"> </w:t>
      </w:r>
    </w:p>
  </w:footnote>
  <w:footnote w:id="5">
    <w:p w14:paraId="14EEA528" w14:textId="0FC1EFD2" w:rsidR="00DB63B6" w:rsidRPr="00DB63B6" w:rsidRDefault="00DB63B6">
      <w:pPr>
        <w:pStyle w:val="FootnoteText"/>
        <w:rPr>
          <w:lang w:val="mi-NZ"/>
        </w:rPr>
      </w:pPr>
      <w:r>
        <w:rPr>
          <w:rStyle w:val="FootnoteReference"/>
        </w:rPr>
        <w:footnoteRef/>
      </w:r>
      <w:r>
        <w:t xml:space="preserve"> </w:t>
      </w:r>
      <w:r w:rsidR="00157B3F">
        <w:t xml:space="preserve">MSD (2021). </w:t>
      </w:r>
      <w:r>
        <w:rPr>
          <w:lang w:val="mi-NZ"/>
        </w:rPr>
        <w:t xml:space="preserve">Benefit </w:t>
      </w:r>
      <w:r w:rsidR="00D011C5">
        <w:rPr>
          <w:lang w:val="mi-NZ"/>
        </w:rPr>
        <w:t>F</w:t>
      </w:r>
      <w:r>
        <w:rPr>
          <w:lang w:val="mi-NZ"/>
        </w:rPr>
        <w:t xml:space="preserve">act </w:t>
      </w:r>
      <w:r w:rsidR="00D011C5">
        <w:rPr>
          <w:lang w:val="mi-NZ"/>
        </w:rPr>
        <w:t>S</w:t>
      </w:r>
      <w:r>
        <w:rPr>
          <w:lang w:val="mi-NZ"/>
        </w:rPr>
        <w:t>heets</w:t>
      </w:r>
      <w:r w:rsidR="00D011C5">
        <w:rPr>
          <w:lang w:val="mi-NZ"/>
        </w:rPr>
        <w:t xml:space="preserve">. Retrieved from </w:t>
      </w:r>
      <w:hyperlink r:id="rId5" w:history="1">
        <w:r w:rsidR="00D011C5" w:rsidRPr="002A1714">
          <w:rPr>
            <w:rStyle w:val="Hyperlink"/>
            <w:lang w:val="mi-NZ"/>
          </w:rPr>
          <w:t>https://www.msd.govt.nz/about-msd-and-our-work/publications-resources/statistics/benefit/index.html</w:t>
        </w:r>
      </w:hyperlink>
      <w:r w:rsidR="00D011C5">
        <w:rPr>
          <w:lang w:val="mi-NZ"/>
        </w:rPr>
        <w:t xml:space="preserve"> </w:t>
      </w:r>
    </w:p>
  </w:footnote>
  <w:footnote w:id="6">
    <w:p w14:paraId="64D9341D" w14:textId="24938BB4" w:rsidR="00C22E18" w:rsidRPr="00C22E18" w:rsidRDefault="00C22E18">
      <w:pPr>
        <w:pStyle w:val="FootnoteText"/>
        <w:rPr>
          <w:lang w:val="en-US"/>
        </w:rPr>
      </w:pPr>
      <w:r>
        <w:rPr>
          <w:rStyle w:val="FootnoteReference"/>
        </w:rPr>
        <w:footnoteRef/>
      </w:r>
      <w:r>
        <w:t xml:space="preserve"> </w:t>
      </w:r>
      <w:r w:rsidR="00891001">
        <w:t>Stats NZ (2021).</w:t>
      </w:r>
      <w:r w:rsidR="00891001" w:rsidRPr="00891001">
        <w:t xml:space="preserve"> Child poverty statistics: Year ended June 2020 – corrected</w:t>
      </w:r>
      <w:r w:rsidR="00891001">
        <w:t xml:space="preserve">. Retrieved from </w:t>
      </w:r>
      <w:hyperlink r:id="rId6" w:history="1">
        <w:r w:rsidR="00891001" w:rsidRPr="002A1714">
          <w:rPr>
            <w:rStyle w:val="Hyperlink"/>
          </w:rPr>
          <w:t>https://www.stats.govt.nz/information-releases/child-poverty-statistics-year-ended-june-2020</w:t>
        </w:r>
      </w:hyperlink>
      <w:r>
        <w:t xml:space="preserve"> </w:t>
      </w:r>
    </w:p>
  </w:footnote>
  <w:footnote w:id="7">
    <w:p w14:paraId="1A44ED7B" w14:textId="3C8EE703" w:rsidR="005C68F8" w:rsidRPr="005C68F8" w:rsidRDefault="005C68F8">
      <w:pPr>
        <w:pStyle w:val="FootnoteText"/>
        <w:rPr>
          <w:lang w:val="en-US"/>
        </w:rPr>
      </w:pPr>
      <w:r>
        <w:rPr>
          <w:rStyle w:val="FootnoteReference"/>
        </w:rPr>
        <w:footnoteRef/>
      </w:r>
      <w:r>
        <w:t xml:space="preserve"> </w:t>
      </w:r>
      <w:r w:rsidR="00C038B7">
        <w:t>V</w:t>
      </w:r>
      <w:r w:rsidR="00165661">
        <w:t xml:space="preserve">aughan, G. (2021). </w:t>
      </w:r>
      <w:r w:rsidR="00165661" w:rsidRPr="00165661">
        <w:t>British government acting on advice buy now pay later credit sector needs to be regulated 'as a matter of urgency' to protect consumers</w:t>
      </w:r>
      <w:r w:rsidR="00165661">
        <w:t xml:space="preserve">. </w:t>
      </w:r>
      <w:r w:rsidR="00165661">
        <w:rPr>
          <w:i/>
          <w:iCs/>
        </w:rPr>
        <w:t>Interest.co.nz</w:t>
      </w:r>
      <w:r w:rsidR="00165661">
        <w:t>. Retrieved from</w:t>
      </w:r>
      <w:r w:rsidR="00165661" w:rsidRPr="00165661">
        <w:t xml:space="preserve"> </w:t>
      </w:r>
      <w:hyperlink r:id="rId7" w:history="1">
        <w:r w:rsidR="00165661" w:rsidRPr="002A1714">
          <w:rPr>
            <w:rStyle w:val="Hyperlink"/>
          </w:rPr>
          <w:t>https://www.interest.co.nz/personal-finance/108889/buy-now-pay-later</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D57E6"/>
    <w:multiLevelType w:val="hybridMultilevel"/>
    <w:tmpl w:val="B90A694E"/>
    <w:lvl w:ilvl="0" w:tplc="A52026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72DE1"/>
    <w:multiLevelType w:val="hybridMultilevel"/>
    <w:tmpl w:val="3E3E27C0"/>
    <w:lvl w:ilvl="0" w:tplc="C7720872">
      <w:start w:val="19"/>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F7"/>
    <w:rsid w:val="00011E4E"/>
    <w:rsid w:val="0001384C"/>
    <w:rsid w:val="00031A07"/>
    <w:rsid w:val="00040421"/>
    <w:rsid w:val="00051485"/>
    <w:rsid w:val="0009174D"/>
    <w:rsid w:val="0009269F"/>
    <w:rsid w:val="000D1995"/>
    <w:rsid w:val="00106322"/>
    <w:rsid w:val="00114CFA"/>
    <w:rsid w:val="0012219E"/>
    <w:rsid w:val="00122D4E"/>
    <w:rsid w:val="00132643"/>
    <w:rsid w:val="001401A8"/>
    <w:rsid w:val="00142632"/>
    <w:rsid w:val="00157B3F"/>
    <w:rsid w:val="0016008F"/>
    <w:rsid w:val="001614C1"/>
    <w:rsid w:val="00165661"/>
    <w:rsid w:val="00165908"/>
    <w:rsid w:val="0017692E"/>
    <w:rsid w:val="00176966"/>
    <w:rsid w:val="00181775"/>
    <w:rsid w:val="00183CE0"/>
    <w:rsid w:val="00186580"/>
    <w:rsid w:val="00186B11"/>
    <w:rsid w:val="00191EC0"/>
    <w:rsid w:val="001A77EB"/>
    <w:rsid w:val="001B4107"/>
    <w:rsid w:val="001C1F6D"/>
    <w:rsid w:val="001C425B"/>
    <w:rsid w:val="001E0941"/>
    <w:rsid w:val="00205DBD"/>
    <w:rsid w:val="00210A9D"/>
    <w:rsid w:val="00232A78"/>
    <w:rsid w:val="0024651B"/>
    <w:rsid w:val="00263A53"/>
    <w:rsid w:val="00264D6E"/>
    <w:rsid w:val="00276244"/>
    <w:rsid w:val="00282F11"/>
    <w:rsid w:val="00287BD6"/>
    <w:rsid w:val="0029078A"/>
    <w:rsid w:val="0029781F"/>
    <w:rsid w:val="002A619C"/>
    <w:rsid w:val="002A7BC2"/>
    <w:rsid w:val="002B2215"/>
    <w:rsid w:val="002C6F92"/>
    <w:rsid w:val="002E4A36"/>
    <w:rsid w:val="002E5C4F"/>
    <w:rsid w:val="00306E44"/>
    <w:rsid w:val="00310F1C"/>
    <w:rsid w:val="00315E2A"/>
    <w:rsid w:val="0032237C"/>
    <w:rsid w:val="0033732B"/>
    <w:rsid w:val="00345A87"/>
    <w:rsid w:val="00350D65"/>
    <w:rsid w:val="00353EE8"/>
    <w:rsid w:val="003562F5"/>
    <w:rsid w:val="00357BA1"/>
    <w:rsid w:val="0036098C"/>
    <w:rsid w:val="003622EF"/>
    <w:rsid w:val="003D37B0"/>
    <w:rsid w:val="003D5877"/>
    <w:rsid w:val="003E72AC"/>
    <w:rsid w:val="003F186B"/>
    <w:rsid w:val="00420BC4"/>
    <w:rsid w:val="00465D2F"/>
    <w:rsid w:val="00485E7C"/>
    <w:rsid w:val="004A4389"/>
    <w:rsid w:val="004B3641"/>
    <w:rsid w:val="004C1D5C"/>
    <w:rsid w:val="004D2663"/>
    <w:rsid w:val="004E1D18"/>
    <w:rsid w:val="005075E8"/>
    <w:rsid w:val="00515582"/>
    <w:rsid w:val="00533703"/>
    <w:rsid w:val="00555808"/>
    <w:rsid w:val="00575FA6"/>
    <w:rsid w:val="0058745C"/>
    <w:rsid w:val="0059126B"/>
    <w:rsid w:val="00592E90"/>
    <w:rsid w:val="005C68F8"/>
    <w:rsid w:val="005D5F16"/>
    <w:rsid w:val="005E3074"/>
    <w:rsid w:val="005E3969"/>
    <w:rsid w:val="005E5291"/>
    <w:rsid w:val="005F1EC0"/>
    <w:rsid w:val="005F4472"/>
    <w:rsid w:val="00603BA4"/>
    <w:rsid w:val="0062697F"/>
    <w:rsid w:val="00630B09"/>
    <w:rsid w:val="0064624A"/>
    <w:rsid w:val="00661024"/>
    <w:rsid w:val="00674BD5"/>
    <w:rsid w:val="00680B52"/>
    <w:rsid w:val="0069181B"/>
    <w:rsid w:val="00697FB1"/>
    <w:rsid w:val="006E1273"/>
    <w:rsid w:val="006E349E"/>
    <w:rsid w:val="007028C9"/>
    <w:rsid w:val="00703425"/>
    <w:rsid w:val="00705387"/>
    <w:rsid w:val="007174EF"/>
    <w:rsid w:val="00717DAF"/>
    <w:rsid w:val="007207FF"/>
    <w:rsid w:val="00741AB6"/>
    <w:rsid w:val="0076114A"/>
    <w:rsid w:val="00793CB5"/>
    <w:rsid w:val="007A1D7C"/>
    <w:rsid w:val="007B18B4"/>
    <w:rsid w:val="00815310"/>
    <w:rsid w:val="008206C9"/>
    <w:rsid w:val="00833F21"/>
    <w:rsid w:val="0083722E"/>
    <w:rsid w:val="00851CD0"/>
    <w:rsid w:val="0085701E"/>
    <w:rsid w:val="00857A49"/>
    <w:rsid w:val="00891001"/>
    <w:rsid w:val="008970A3"/>
    <w:rsid w:val="008A6C27"/>
    <w:rsid w:val="008C2BBA"/>
    <w:rsid w:val="008D7EA5"/>
    <w:rsid w:val="008E6926"/>
    <w:rsid w:val="008E6C9B"/>
    <w:rsid w:val="008E76AA"/>
    <w:rsid w:val="008F55DF"/>
    <w:rsid w:val="00933262"/>
    <w:rsid w:val="00935C17"/>
    <w:rsid w:val="00944A6A"/>
    <w:rsid w:val="0096546A"/>
    <w:rsid w:val="00967450"/>
    <w:rsid w:val="0096756E"/>
    <w:rsid w:val="00967C4C"/>
    <w:rsid w:val="00994605"/>
    <w:rsid w:val="009A03FB"/>
    <w:rsid w:val="009A1AB2"/>
    <w:rsid w:val="009A21E2"/>
    <w:rsid w:val="009B3024"/>
    <w:rsid w:val="009D156E"/>
    <w:rsid w:val="009D2D63"/>
    <w:rsid w:val="009D36FB"/>
    <w:rsid w:val="009E08F1"/>
    <w:rsid w:val="00A0322B"/>
    <w:rsid w:val="00A06CD2"/>
    <w:rsid w:val="00A2790A"/>
    <w:rsid w:val="00A416DF"/>
    <w:rsid w:val="00A5763B"/>
    <w:rsid w:val="00A6143E"/>
    <w:rsid w:val="00AA0FF9"/>
    <w:rsid w:val="00AA4DF5"/>
    <w:rsid w:val="00AC19A1"/>
    <w:rsid w:val="00AD0D15"/>
    <w:rsid w:val="00AE1FC2"/>
    <w:rsid w:val="00AF340B"/>
    <w:rsid w:val="00AF6989"/>
    <w:rsid w:val="00B36288"/>
    <w:rsid w:val="00B4427E"/>
    <w:rsid w:val="00B44D1C"/>
    <w:rsid w:val="00B7161A"/>
    <w:rsid w:val="00B919E9"/>
    <w:rsid w:val="00BA1AA2"/>
    <w:rsid w:val="00C0116A"/>
    <w:rsid w:val="00C038B7"/>
    <w:rsid w:val="00C168BB"/>
    <w:rsid w:val="00C22E18"/>
    <w:rsid w:val="00C34464"/>
    <w:rsid w:val="00C46921"/>
    <w:rsid w:val="00C50D21"/>
    <w:rsid w:val="00C67837"/>
    <w:rsid w:val="00C82C79"/>
    <w:rsid w:val="00D011C5"/>
    <w:rsid w:val="00D15CAE"/>
    <w:rsid w:val="00D26735"/>
    <w:rsid w:val="00D322FB"/>
    <w:rsid w:val="00D55EB0"/>
    <w:rsid w:val="00D77608"/>
    <w:rsid w:val="00DB63B6"/>
    <w:rsid w:val="00DC42FE"/>
    <w:rsid w:val="00DD5C2F"/>
    <w:rsid w:val="00DF2047"/>
    <w:rsid w:val="00DF5ECE"/>
    <w:rsid w:val="00E02181"/>
    <w:rsid w:val="00E06923"/>
    <w:rsid w:val="00E12D24"/>
    <w:rsid w:val="00E166EB"/>
    <w:rsid w:val="00E252FB"/>
    <w:rsid w:val="00E3665F"/>
    <w:rsid w:val="00E54FB0"/>
    <w:rsid w:val="00E57B66"/>
    <w:rsid w:val="00E854E2"/>
    <w:rsid w:val="00EB4B0A"/>
    <w:rsid w:val="00ED4CB3"/>
    <w:rsid w:val="00EF4620"/>
    <w:rsid w:val="00F00C99"/>
    <w:rsid w:val="00F157AB"/>
    <w:rsid w:val="00F1645A"/>
    <w:rsid w:val="00F3565B"/>
    <w:rsid w:val="00F418B2"/>
    <w:rsid w:val="00F731F7"/>
    <w:rsid w:val="00F87841"/>
    <w:rsid w:val="00F9607F"/>
    <w:rsid w:val="00FB7E9A"/>
    <w:rsid w:val="00FC2089"/>
    <w:rsid w:val="00FE0B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8F50"/>
  <w15:chartTrackingRefBased/>
  <w15:docId w15:val="{556EAD49-75DC-4490-8A98-A0CF7A17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A9D"/>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A9D"/>
    <w:rPr>
      <w:color w:val="0563C1" w:themeColor="hyperlink"/>
      <w:u w:val="single"/>
    </w:rPr>
  </w:style>
  <w:style w:type="character" w:styleId="UnresolvedMention">
    <w:name w:val="Unresolved Mention"/>
    <w:basedOn w:val="DefaultParagraphFont"/>
    <w:uiPriority w:val="99"/>
    <w:semiHidden/>
    <w:unhideWhenUsed/>
    <w:rsid w:val="0009174D"/>
    <w:rPr>
      <w:color w:val="605E5C"/>
      <w:shd w:val="clear" w:color="auto" w:fill="E1DFDD"/>
    </w:rPr>
  </w:style>
  <w:style w:type="paragraph" w:styleId="FootnoteText">
    <w:name w:val="footnote text"/>
    <w:basedOn w:val="Normal"/>
    <w:link w:val="FootnoteTextChar"/>
    <w:uiPriority w:val="99"/>
    <w:semiHidden/>
    <w:unhideWhenUsed/>
    <w:rsid w:val="00EF4620"/>
    <w:rPr>
      <w:sz w:val="20"/>
      <w:szCs w:val="20"/>
    </w:rPr>
  </w:style>
  <w:style w:type="character" w:customStyle="1" w:styleId="FootnoteTextChar">
    <w:name w:val="Footnote Text Char"/>
    <w:basedOn w:val="DefaultParagraphFont"/>
    <w:link w:val="FootnoteText"/>
    <w:uiPriority w:val="99"/>
    <w:semiHidden/>
    <w:rsid w:val="00EF4620"/>
    <w:rPr>
      <w:sz w:val="20"/>
      <w:szCs w:val="20"/>
      <w:lang w:val="en-GB"/>
    </w:rPr>
  </w:style>
  <w:style w:type="character" w:styleId="FootnoteReference">
    <w:name w:val="footnote reference"/>
    <w:basedOn w:val="DefaultParagraphFont"/>
    <w:uiPriority w:val="99"/>
    <w:semiHidden/>
    <w:unhideWhenUsed/>
    <w:rsid w:val="00EF4620"/>
    <w:rPr>
      <w:vertAlign w:val="superscript"/>
    </w:rPr>
  </w:style>
  <w:style w:type="paragraph" w:styleId="ListParagraph">
    <w:name w:val="List Paragraph"/>
    <w:basedOn w:val="Normal"/>
    <w:uiPriority w:val="34"/>
    <w:qFormat/>
    <w:rsid w:val="0096546A"/>
    <w:pPr>
      <w:ind w:left="720"/>
      <w:contextualSpacing/>
    </w:pPr>
  </w:style>
  <w:style w:type="character" w:styleId="CommentReference">
    <w:name w:val="annotation reference"/>
    <w:basedOn w:val="DefaultParagraphFont"/>
    <w:uiPriority w:val="99"/>
    <w:semiHidden/>
    <w:unhideWhenUsed/>
    <w:rsid w:val="00DD5C2F"/>
    <w:rPr>
      <w:sz w:val="16"/>
      <w:szCs w:val="16"/>
    </w:rPr>
  </w:style>
  <w:style w:type="paragraph" w:styleId="CommentText">
    <w:name w:val="annotation text"/>
    <w:basedOn w:val="Normal"/>
    <w:link w:val="CommentTextChar"/>
    <w:uiPriority w:val="99"/>
    <w:semiHidden/>
    <w:unhideWhenUsed/>
    <w:rsid w:val="00DD5C2F"/>
    <w:rPr>
      <w:sz w:val="20"/>
      <w:szCs w:val="20"/>
    </w:rPr>
  </w:style>
  <w:style w:type="character" w:customStyle="1" w:styleId="CommentTextChar">
    <w:name w:val="Comment Text Char"/>
    <w:basedOn w:val="DefaultParagraphFont"/>
    <w:link w:val="CommentText"/>
    <w:uiPriority w:val="99"/>
    <w:semiHidden/>
    <w:rsid w:val="00DD5C2F"/>
    <w:rPr>
      <w:sz w:val="20"/>
      <w:szCs w:val="20"/>
      <w:lang w:val="en-GB"/>
    </w:rPr>
  </w:style>
  <w:style w:type="paragraph" w:styleId="CommentSubject">
    <w:name w:val="annotation subject"/>
    <w:basedOn w:val="CommentText"/>
    <w:next w:val="CommentText"/>
    <w:link w:val="CommentSubjectChar"/>
    <w:uiPriority w:val="99"/>
    <w:semiHidden/>
    <w:unhideWhenUsed/>
    <w:rsid w:val="00DD5C2F"/>
    <w:rPr>
      <w:b/>
      <w:bCs/>
    </w:rPr>
  </w:style>
  <w:style w:type="character" w:customStyle="1" w:styleId="CommentSubjectChar">
    <w:name w:val="Comment Subject Char"/>
    <w:basedOn w:val="CommentTextChar"/>
    <w:link w:val="CommentSubject"/>
    <w:uiPriority w:val="99"/>
    <w:semiHidden/>
    <w:rsid w:val="00DD5C2F"/>
    <w:rPr>
      <w:b/>
      <w:bCs/>
      <w:sz w:val="20"/>
      <w:szCs w:val="20"/>
      <w:lang w:val="en-GB"/>
    </w:rPr>
  </w:style>
  <w:style w:type="paragraph" w:styleId="Revision">
    <w:name w:val="Revision"/>
    <w:hidden/>
    <w:uiPriority w:val="99"/>
    <w:semiHidden/>
    <w:rsid w:val="008F55DF"/>
    <w:pPr>
      <w:spacing w:after="0" w:line="240" w:lineRule="auto"/>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itlin@cpag.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dale@auckland.ac.n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nz.co.nz/news/national/455595/as-food-prices-rise-auckland-city-mission-sees-higher-demand-for-services" TargetMode="External"/><Relationship Id="rId7" Type="http://schemas.openxmlformats.org/officeDocument/2006/relationships/hyperlink" Target="https://www.interest.co.nz/personal-finance/108889/buy-now-pay-later" TargetMode="External"/><Relationship Id="rId2" Type="http://schemas.openxmlformats.org/officeDocument/2006/relationships/hyperlink" Target="https://www.stuff.co.nz/business/124209635/online-shopping-ballooned-by-12-billion-last-year-most-with-domestic-retailers" TargetMode="External"/><Relationship Id="rId1" Type="http://schemas.openxmlformats.org/officeDocument/2006/relationships/hyperlink" Target="https://www.cpag.org.nz/assets/Backgrounders/140225%20CPAG%20Debt%20Backgrounder%20Feb2014%20FINAL.pdf" TargetMode="External"/><Relationship Id="rId6" Type="http://schemas.openxmlformats.org/officeDocument/2006/relationships/hyperlink" Target="https://www.stats.govt.nz/information-releases/child-poverty-statistics-year-ended-june-2020" TargetMode="External"/><Relationship Id="rId5" Type="http://schemas.openxmlformats.org/officeDocument/2006/relationships/hyperlink" Target="https://www.msd.govt.nz/about-msd-and-our-work/publications-resources/statistics/benefit/index.html" TargetMode="External"/><Relationship Id="rId4" Type="http://schemas.openxmlformats.org/officeDocument/2006/relationships/hyperlink" Target="https://www.cpag.org.nz/the-latest/current-statistics/food-parc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ADD4DDAAAAEA439446F31CB813A556" ma:contentTypeVersion="12" ma:contentTypeDescription="Create a new document." ma:contentTypeScope="" ma:versionID="3a046fdb3bc5ab0cb07797a03d0af1ed">
  <xsd:schema xmlns:xsd="http://www.w3.org/2001/XMLSchema" xmlns:xs="http://www.w3.org/2001/XMLSchema" xmlns:p="http://schemas.microsoft.com/office/2006/metadata/properties" xmlns:ns2="88719e9f-afdb-4be4-b5d4-c74b1d7e1746" xmlns:ns3="394c6527-4d5e-41ec-897d-9eef77429e01" targetNamespace="http://schemas.microsoft.com/office/2006/metadata/properties" ma:root="true" ma:fieldsID="195c239483e9026f713578c26a1e8e6c" ns2:_="" ns3:_="">
    <xsd:import namespace="88719e9f-afdb-4be4-b5d4-c74b1d7e1746"/>
    <xsd:import namespace="394c6527-4d5e-41ec-897d-9eef77429e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19e9f-afdb-4be4-b5d4-c74b1d7e1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c6527-4d5e-41ec-897d-9eef77429e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D60CC-5ED8-4B58-8810-1933590CB43C}">
  <ds:schemaRefs>
    <ds:schemaRef ds:uri="http://schemas.microsoft.com/sharepoint/v3/contenttype/forms"/>
  </ds:schemaRefs>
</ds:datastoreItem>
</file>

<file path=customXml/itemProps2.xml><?xml version="1.0" encoding="utf-8"?>
<ds:datastoreItem xmlns:ds="http://schemas.openxmlformats.org/officeDocument/2006/customXml" ds:itemID="{A9CC738F-3295-43B3-AB10-E170C0B11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19e9f-afdb-4be4-b5d4-c74b1d7e1746"/>
    <ds:schemaRef ds:uri="394c6527-4d5e-41ec-897d-9eef77429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21F38-49B3-472F-9D52-E987CE1EF0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07F5B0-D6D4-4D54-85D3-4AC1F8DC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Neuwelt-Kearns</dc:creator>
  <cp:keywords/>
  <dc:description/>
  <cp:lastModifiedBy>Carmelite Muller</cp:lastModifiedBy>
  <cp:revision>2</cp:revision>
  <cp:lastPrinted>2021-12-15T19:14:00Z</cp:lastPrinted>
  <dcterms:created xsi:type="dcterms:W3CDTF">2022-02-08T12:25:00Z</dcterms:created>
  <dcterms:modified xsi:type="dcterms:W3CDTF">2022-02-08T12:25:00Z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0x010100C8ADD4DDAAAAEA439446F31CB813A556</vt:lpwstr>
  </property>
</Properties>
</file>