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9549" w14:textId="61DD81CC" w:rsidR="00626901" w:rsidRPr="00C739A6" w:rsidRDefault="00626901" w:rsidP="00626901"/>
    <w:p w14:paraId="19F813AC" w14:textId="09C948BA" w:rsidR="00626901" w:rsidRPr="00C739A6" w:rsidRDefault="003C4DF7" w:rsidP="00626901">
      <w:r w:rsidRPr="00C739A6">
        <w:rPr>
          <w:noProof/>
          <w:lang w:eastAsia="en-NZ"/>
        </w:rPr>
        <w:drawing>
          <wp:anchor distT="0" distB="0" distL="114300" distR="114300" simplePos="0" relativeHeight="251660288" behindDoc="0" locked="0" layoutInCell="1" allowOverlap="1" wp14:anchorId="653F4ECA" wp14:editId="3C1FB445">
            <wp:simplePos x="0" y="0"/>
            <wp:positionH relativeFrom="margin">
              <wp:align>right</wp:align>
            </wp:positionH>
            <wp:positionV relativeFrom="paragraph">
              <wp:posOffset>11240</wp:posOffset>
            </wp:positionV>
            <wp:extent cx="2935301" cy="65106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5301" cy="651061"/>
                    </a:xfrm>
                    <a:prstGeom prst="rect">
                      <a:avLst/>
                    </a:prstGeom>
                  </pic:spPr>
                </pic:pic>
              </a:graphicData>
            </a:graphic>
            <wp14:sizeRelH relativeFrom="page">
              <wp14:pctWidth>0</wp14:pctWidth>
            </wp14:sizeRelH>
            <wp14:sizeRelV relativeFrom="page">
              <wp14:pctHeight>0</wp14:pctHeight>
            </wp14:sizeRelV>
          </wp:anchor>
        </w:drawing>
      </w:r>
    </w:p>
    <w:p w14:paraId="5D177484" w14:textId="54EF2DAA" w:rsidR="00626901" w:rsidRPr="00C739A6" w:rsidRDefault="003C4DF7" w:rsidP="00626901">
      <w:r w:rsidRPr="00C739A6">
        <w:rPr>
          <w:noProof/>
          <w:lang w:eastAsia="en-NZ"/>
        </w:rPr>
        <w:drawing>
          <wp:anchor distT="0" distB="0" distL="114300" distR="114300" simplePos="0" relativeHeight="251659264" behindDoc="0" locked="0" layoutInCell="1" allowOverlap="1" wp14:anchorId="76B7C219" wp14:editId="029E3624">
            <wp:simplePos x="0" y="0"/>
            <wp:positionH relativeFrom="margin">
              <wp:posOffset>0</wp:posOffset>
            </wp:positionH>
            <wp:positionV relativeFrom="paragraph">
              <wp:posOffset>-635</wp:posOffset>
            </wp:positionV>
            <wp:extent cx="1650110" cy="116619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0110" cy="11661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DCD48" w14:textId="77777777" w:rsidR="00626901" w:rsidRPr="00C739A6" w:rsidRDefault="00626901" w:rsidP="00626901"/>
    <w:p w14:paraId="4319417C" w14:textId="77777777" w:rsidR="00626901" w:rsidRPr="00C739A6" w:rsidRDefault="00626901" w:rsidP="00626901"/>
    <w:p w14:paraId="3AF21554" w14:textId="77777777" w:rsidR="00626901" w:rsidRPr="00C739A6" w:rsidRDefault="00626901" w:rsidP="00626901"/>
    <w:p w14:paraId="742904D7" w14:textId="6F2D6074" w:rsidR="00626901" w:rsidRPr="00C739A6" w:rsidRDefault="00626901" w:rsidP="00626901"/>
    <w:p w14:paraId="64AB9753" w14:textId="77777777" w:rsidR="00626901" w:rsidRPr="00C739A6" w:rsidRDefault="00626901" w:rsidP="00626901"/>
    <w:p w14:paraId="25D948A9" w14:textId="77777777" w:rsidR="00626901" w:rsidRPr="00C739A6" w:rsidRDefault="00626901" w:rsidP="00626901"/>
    <w:p w14:paraId="1BC53864" w14:textId="77777777" w:rsidR="00626901" w:rsidRPr="00C739A6" w:rsidRDefault="00626901" w:rsidP="00487B89">
      <w:pPr>
        <w:pStyle w:val="Heading1"/>
      </w:pPr>
    </w:p>
    <w:p w14:paraId="18052BB1" w14:textId="6B6A9B65" w:rsidR="00640158" w:rsidRPr="00341364" w:rsidRDefault="00341364" w:rsidP="00F62D50">
      <w:pPr>
        <w:pStyle w:val="Title"/>
        <w:rPr>
          <w:b/>
          <w:bCs/>
          <w:sz w:val="44"/>
          <w:szCs w:val="44"/>
        </w:rPr>
      </w:pPr>
      <w:r>
        <w:rPr>
          <w:b/>
          <w:bCs/>
          <w:sz w:val="44"/>
          <w:szCs w:val="44"/>
        </w:rPr>
        <w:t xml:space="preserve">2021 </w:t>
      </w:r>
      <w:r w:rsidR="00F62D50" w:rsidRPr="00341364">
        <w:rPr>
          <w:b/>
          <w:bCs/>
          <w:sz w:val="44"/>
          <w:szCs w:val="44"/>
        </w:rPr>
        <w:t xml:space="preserve">Series: </w:t>
      </w:r>
      <w:r w:rsidR="00640158" w:rsidRPr="00341364">
        <w:rPr>
          <w:b/>
          <w:bCs/>
          <w:sz w:val="44"/>
          <w:szCs w:val="44"/>
        </w:rPr>
        <w:t>Rethink</w:t>
      </w:r>
      <w:r>
        <w:rPr>
          <w:b/>
          <w:bCs/>
          <w:sz w:val="44"/>
          <w:szCs w:val="44"/>
        </w:rPr>
        <w:t>ing</w:t>
      </w:r>
      <w:r w:rsidR="00640158" w:rsidRPr="00341364">
        <w:rPr>
          <w:b/>
          <w:bCs/>
          <w:sz w:val="44"/>
          <w:szCs w:val="44"/>
        </w:rPr>
        <w:t xml:space="preserve"> Income Support for Children</w:t>
      </w:r>
    </w:p>
    <w:p w14:paraId="2E62A12B" w14:textId="77777777" w:rsidR="00341364" w:rsidRDefault="00341364" w:rsidP="00341364">
      <w:pPr>
        <w:pStyle w:val="Title"/>
        <w:spacing w:after="480"/>
        <w:contextualSpacing w:val="0"/>
        <w:rPr>
          <w:b/>
          <w:bCs/>
          <w:color w:val="000000" w:themeColor="text1"/>
          <w:sz w:val="44"/>
          <w:szCs w:val="44"/>
        </w:rPr>
      </w:pPr>
    </w:p>
    <w:p w14:paraId="1969EB5D" w14:textId="16E32BE3" w:rsidR="00640158" w:rsidRPr="00341364" w:rsidRDefault="00640158" w:rsidP="00341364">
      <w:pPr>
        <w:pStyle w:val="Title"/>
        <w:spacing w:after="480"/>
        <w:contextualSpacing w:val="0"/>
        <w:rPr>
          <w:b/>
          <w:bCs/>
          <w:color w:val="000000" w:themeColor="text1"/>
          <w:sz w:val="44"/>
          <w:szCs w:val="44"/>
        </w:rPr>
      </w:pPr>
      <w:r w:rsidRPr="00341364">
        <w:rPr>
          <w:color w:val="000000" w:themeColor="text1"/>
          <w:sz w:val="44"/>
          <w:szCs w:val="44"/>
        </w:rPr>
        <w:t>Part 1:</w:t>
      </w:r>
      <w:r w:rsidR="00341364">
        <w:rPr>
          <w:b/>
          <w:bCs/>
          <w:color w:val="000000" w:themeColor="text1"/>
          <w:sz w:val="44"/>
          <w:szCs w:val="44"/>
        </w:rPr>
        <w:br/>
      </w:r>
      <w:r w:rsidRPr="00341364">
        <w:rPr>
          <w:color w:val="000000" w:themeColor="text1"/>
          <w:sz w:val="72"/>
          <w:szCs w:val="72"/>
        </w:rPr>
        <w:t>Ensuring Adequate Indexation</w:t>
      </w:r>
      <w:r w:rsidR="00341364">
        <w:rPr>
          <w:color w:val="000000" w:themeColor="text1"/>
          <w:sz w:val="72"/>
          <w:szCs w:val="72"/>
        </w:rPr>
        <w:t xml:space="preserve"> </w:t>
      </w:r>
      <w:r w:rsidRPr="00341364">
        <w:rPr>
          <w:color w:val="000000" w:themeColor="text1"/>
          <w:sz w:val="72"/>
          <w:szCs w:val="72"/>
        </w:rPr>
        <w:t xml:space="preserve">of </w:t>
      </w:r>
      <w:r w:rsidRPr="00C52449">
        <w:rPr>
          <w:i/>
          <w:iCs/>
          <w:color w:val="000000" w:themeColor="text1"/>
          <w:sz w:val="72"/>
          <w:szCs w:val="72"/>
        </w:rPr>
        <w:t>Working for Families</w:t>
      </w:r>
    </w:p>
    <w:p w14:paraId="42C03055" w14:textId="77777777" w:rsidR="00341364" w:rsidRDefault="00341364" w:rsidP="00487B89"/>
    <w:p w14:paraId="5E29FA33" w14:textId="77777777" w:rsidR="00341364" w:rsidRDefault="00341364" w:rsidP="00487B89"/>
    <w:p w14:paraId="3FD346FB" w14:textId="620B14CD" w:rsidR="00487B89" w:rsidRPr="00341364" w:rsidRDefault="00487B89" w:rsidP="00487B89">
      <w:pPr>
        <w:rPr>
          <w:sz w:val="28"/>
          <w:szCs w:val="28"/>
        </w:rPr>
      </w:pPr>
      <w:r w:rsidRPr="00341364">
        <w:rPr>
          <w:sz w:val="28"/>
          <w:szCs w:val="28"/>
        </w:rPr>
        <w:t xml:space="preserve">Caitlin </w:t>
      </w:r>
      <w:proofErr w:type="spellStart"/>
      <w:r w:rsidRPr="00341364">
        <w:rPr>
          <w:sz w:val="28"/>
          <w:szCs w:val="28"/>
        </w:rPr>
        <w:t>Neuwelt</w:t>
      </w:r>
      <w:proofErr w:type="spellEnd"/>
      <w:r w:rsidRPr="00341364">
        <w:rPr>
          <w:sz w:val="28"/>
          <w:szCs w:val="28"/>
        </w:rPr>
        <w:t>-Kearns, Susan St John</w:t>
      </w:r>
    </w:p>
    <w:p w14:paraId="3F908514" w14:textId="236A2753" w:rsidR="00626901" w:rsidRPr="00341364" w:rsidRDefault="00CB3FFD" w:rsidP="00626901">
      <w:pPr>
        <w:rPr>
          <w:sz w:val="28"/>
          <w:szCs w:val="28"/>
        </w:rPr>
      </w:pPr>
      <w:r>
        <w:rPr>
          <w:sz w:val="28"/>
          <w:szCs w:val="28"/>
        </w:rPr>
        <w:t>May</w:t>
      </w:r>
      <w:r w:rsidR="00F62D50" w:rsidRPr="00341364">
        <w:rPr>
          <w:sz w:val="28"/>
          <w:szCs w:val="28"/>
        </w:rPr>
        <w:t xml:space="preserve"> </w:t>
      </w:r>
      <w:r w:rsidR="003C4DF7" w:rsidRPr="00341364">
        <w:rPr>
          <w:sz w:val="28"/>
          <w:szCs w:val="28"/>
        </w:rPr>
        <w:t>202</w:t>
      </w:r>
      <w:r w:rsidR="00EE5352" w:rsidRPr="00341364">
        <w:rPr>
          <w:sz w:val="28"/>
          <w:szCs w:val="28"/>
        </w:rPr>
        <w:t>1</w:t>
      </w:r>
    </w:p>
    <w:p w14:paraId="7235F970" w14:textId="1BAF2BAF" w:rsidR="00825FDF" w:rsidRPr="00C739A6" w:rsidRDefault="00825FDF" w:rsidP="00626901"/>
    <w:p w14:paraId="2A2BA4EE" w14:textId="6762F575" w:rsidR="00825FDF" w:rsidRPr="00C739A6" w:rsidRDefault="00825FDF" w:rsidP="00626901"/>
    <w:p w14:paraId="47516EEF" w14:textId="77777777" w:rsidR="003C4DF7" w:rsidRPr="00C739A6" w:rsidRDefault="003C4DF7" w:rsidP="00341364">
      <w:pPr>
        <w:spacing w:after="0" w:line="240" w:lineRule="auto"/>
      </w:pPr>
      <w:r w:rsidRPr="00C739A6">
        <w:t xml:space="preserve">Child Poverty Action Group Inc. </w:t>
      </w:r>
    </w:p>
    <w:p w14:paraId="1A19AC5B" w14:textId="77777777" w:rsidR="003C4DF7" w:rsidRPr="00C739A6" w:rsidRDefault="003C4DF7" w:rsidP="00341364">
      <w:pPr>
        <w:spacing w:after="0" w:line="240" w:lineRule="auto"/>
      </w:pPr>
      <w:r w:rsidRPr="00C739A6">
        <w:t xml:space="preserve">PO Box 5611, </w:t>
      </w:r>
    </w:p>
    <w:p w14:paraId="65F5D741" w14:textId="77777777" w:rsidR="003C4DF7" w:rsidRPr="00C739A6" w:rsidRDefault="003C4DF7" w:rsidP="00341364">
      <w:pPr>
        <w:spacing w:after="0" w:line="240" w:lineRule="auto"/>
      </w:pPr>
      <w:r w:rsidRPr="00C739A6">
        <w:t>Wellesley St,</w:t>
      </w:r>
    </w:p>
    <w:p w14:paraId="234FBB4C" w14:textId="77777777" w:rsidR="003C4DF7" w:rsidRPr="00C739A6" w:rsidRDefault="003C4DF7" w:rsidP="00341364">
      <w:pPr>
        <w:spacing w:after="0" w:line="240" w:lineRule="auto"/>
      </w:pPr>
      <w:r w:rsidRPr="00C739A6">
        <w:t xml:space="preserve"> Auckland 1141 </w:t>
      </w:r>
    </w:p>
    <w:p w14:paraId="1144615B" w14:textId="44FAEDFB" w:rsidR="00A33C55" w:rsidRPr="00C739A6" w:rsidRDefault="000718E0" w:rsidP="00341364">
      <w:pPr>
        <w:spacing w:after="0" w:line="240" w:lineRule="auto"/>
      </w:pPr>
      <w:hyperlink r:id="rId13" w:history="1">
        <w:r w:rsidR="00A33C55" w:rsidRPr="00C739A6">
          <w:rPr>
            <w:rStyle w:val="Hyperlink"/>
          </w:rPr>
          <w:t>www.cpag.org.nz</w:t>
        </w:r>
      </w:hyperlink>
      <w:r w:rsidR="00A33C55" w:rsidRPr="00C739A6">
        <w:br w:type="page"/>
      </w:r>
    </w:p>
    <w:p w14:paraId="3EC551D9" w14:textId="77777777" w:rsidR="003C4DF7" w:rsidRPr="00C739A6" w:rsidRDefault="003C4DF7" w:rsidP="003C4DF7">
      <w:pPr>
        <w:pStyle w:val="Heading1"/>
      </w:pPr>
      <w:bookmarkStart w:id="0" w:name="_Toc47949388"/>
      <w:bookmarkStart w:id="1" w:name="_Toc66785656"/>
      <w:r w:rsidRPr="00C739A6">
        <w:lastRenderedPageBreak/>
        <w:t>About Child Poverty Action Group</w:t>
      </w:r>
      <w:bookmarkEnd w:id="0"/>
      <w:bookmarkEnd w:id="1"/>
    </w:p>
    <w:p w14:paraId="726AC237" w14:textId="14928BA7" w:rsidR="004C18E8" w:rsidRPr="00D31508" w:rsidRDefault="004C18E8" w:rsidP="008F0E1D">
      <w:pPr>
        <w:spacing w:after="60" w:line="240" w:lineRule="auto"/>
        <w:rPr>
          <w:rFonts w:ascii="Calibri" w:hAnsi="Calibri" w:cs="Calibri"/>
          <w:sz w:val="23"/>
          <w:szCs w:val="23"/>
        </w:rPr>
      </w:pPr>
      <w:r w:rsidRPr="00D31508">
        <w:rPr>
          <w:sz w:val="23"/>
          <w:szCs w:val="23"/>
        </w:rPr>
        <w:t>Child Pov</w:t>
      </w:r>
      <w:r w:rsidRPr="00D31508">
        <w:rPr>
          <w:rFonts w:ascii="Calibri" w:hAnsi="Calibri" w:cs="Calibri"/>
          <w:sz w:val="23"/>
          <w:szCs w:val="23"/>
        </w:rPr>
        <w:t xml:space="preserve">erty Action Group (CPAG) is an independent, registered charity founded in 1994 which works to eliminate child poverty in </w:t>
      </w:r>
      <w:r w:rsidR="00E367EE" w:rsidRPr="00D31508">
        <w:rPr>
          <w:rFonts w:ascii="Calibri" w:hAnsi="Calibri" w:cs="Calibri"/>
          <w:sz w:val="23"/>
          <w:szCs w:val="23"/>
        </w:rPr>
        <w:t xml:space="preserve">Aotearoa </w:t>
      </w:r>
      <w:r w:rsidRPr="00D31508">
        <w:rPr>
          <w:rFonts w:ascii="Calibri" w:hAnsi="Calibri" w:cs="Calibri"/>
          <w:sz w:val="23"/>
          <w:szCs w:val="23"/>
        </w:rPr>
        <w:t xml:space="preserve">New Zealand through research, </w:t>
      </w:r>
      <w:proofErr w:type="gramStart"/>
      <w:r w:rsidRPr="00D31508">
        <w:rPr>
          <w:rFonts w:ascii="Calibri" w:hAnsi="Calibri" w:cs="Calibri"/>
          <w:sz w:val="23"/>
          <w:szCs w:val="23"/>
        </w:rPr>
        <w:t>education</w:t>
      </w:r>
      <w:proofErr w:type="gramEnd"/>
      <w:r w:rsidRPr="00D31508">
        <w:rPr>
          <w:rFonts w:ascii="Calibri" w:hAnsi="Calibri" w:cs="Calibri"/>
          <w:sz w:val="23"/>
          <w:szCs w:val="23"/>
        </w:rPr>
        <w:t xml:space="preserve"> and advocacy</w:t>
      </w:r>
      <w:r w:rsidR="006F6EDC" w:rsidRPr="00D31508">
        <w:rPr>
          <w:rFonts w:ascii="Calibri" w:hAnsi="Calibri" w:cs="Calibri"/>
          <w:sz w:val="23"/>
          <w:szCs w:val="23"/>
        </w:rPr>
        <w:t xml:space="preserve">. </w:t>
      </w:r>
      <w:r w:rsidR="00912C05" w:rsidRPr="00D31508">
        <w:rPr>
          <w:rFonts w:ascii="Calibri" w:hAnsi="Calibri" w:cs="Calibri"/>
          <w:sz w:val="23"/>
          <w:szCs w:val="23"/>
        </w:rPr>
        <w:t>CPAG highlights that t</w:t>
      </w:r>
      <w:r w:rsidR="00272DEF" w:rsidRPr="00D31508">
        <w:rPr>
          <w:rFonts w:ascii="Calibri" w:hAnsi="Calibri" w:cs="Calibri"/>
          <w:sz w:val="23"/>
          <w:szCs w:val="23"/>
        </w:rPr>
        <w:t xml:space="preserve">he </w:t>
      </w:r>
      <w:r w:rsidR="00E367EE" w:rsidRPr="00D31508">
        <w:rPr>
          <w:rFonts w:ascii="Calibri" w:hAnsi="Calibri" w:cs="Calibri"/>
          <w:sz w:val="23"/>
          <w:szCs w:val="23"/>
        </w:rPr>
        <w:t xml:space="preserve">country’s high rate of child poverty is not the result of economic </w:t>
      </w:r>
      <w:proofErr w:type="gramStart"/>
      <w:r w:rsidR="00E367EE" w:rsidRPr="00D31508">
        <w:rPr>
          <w:rFonts w:ascii="Calibri" w:hAnsi="Calibri" w:cs="Calibri"/>
          <w:sz w:val="23"/>
          <w:szCs w:val="23"/>
        </w:rPr>
        <w:t>necessity, but</w:t>
      </w:r>
      <w:proofErr w:type="gramEnd"/>
      <w:r w:rsidR="00E367EE" w:rsidRPr="00D31508">
        <w:rPr>
          <w:rFonts w:ascii="Calibri" w:hAnsi="Calibri" w:cs="Calibri"/>
          <w:sz w:val="23"/>
          <w:szCs w:val="23"/>
        </w:rPr>
        <w:t xml:space="preserve"> is due to policy neglect and a flawed ideological emphasis on economic incentives, exacerbated by racism and discrimination. </w:t>
      </w:r>
      <w:r w:rsidRPr="00D31508">
        <w:rPr>
          <w:rFonts w:ascii="Calibri" w:hAnsi="Calibri" w:cs="Calibri"/>
          <w:sz w:val="23"/>
          <w:szCs w:val="23"/>
        </w:rPr>
        <w:t xml:space="preserve">We envisage an Aotearoa where our society shows respect, </w:t>
      </w:r>
      <w:proofErr w:type="gramStart"/>
      <w:r w:rsidRPr="00D31508">
        <w:rPr>
          <w:rFonts w:ascii="Calibri" w:hAnsi="Calibri" w:cs="Calibri"/>
          <w:sz w:val="23"/>
          <w:szCs w:val="23"/>
        </w:rPr>
        <w:t>generosity</w:t>
      </w:r>
      <w:proofErr w:type="gramEnd"/>
      <w:r w:rsidRPr="00D31508">
        <w:rPr>
          <w:rFonts w:ascii="Calibri" w:hAnsi="Calibri" w:cs="Calibri"/>
          <w:sz w:val="23"/>
          <w:szCs w:val="23"/>
        </w:rPr>
        <w:t xml:space="preserve"> and care for </w:t>
      </w:r>
      <w:r w:rsidRPr="00D31508">
        <w:rPr>
          <w:rFonts w:ascii="Calibri" w:hAnsi="Calibri" w:cs="Calibri"/>
          <w:i/>
          <w:iCs/>
          <w:sz w:val="23"/>
          <w:szCs w:val="23"/>
        </w:rPr>
        <w:t>all</w:t>
      </w:r>
      <w:r w:rsidRPr="00D31508">
        <w:rPr>
          <w:rFonts w:ascii="Calibri" w:hAnsi="Calibri" w:cs="Calibri"/>
          <w:sz w:val="23"/>
          <w:szCs w:val="23"/>
        </w:rPr>
        <w:t xml:space="preserve"> children.</w:t>
      </w:r>
    </w:p>
    <w:p w14:paraId="04A99CEA" w14:textId="77777777" w:rsidR="004C18E8" w:rsidRPr="00D31508" w:rsidRDefault="004C18E8" w:rsidP="008F0E1D">
      <w:pPr>
        <w:spacing w:after="0" w:line="240" w:lineRule="auto"/>
        <w:contextualSpacing/>
        <w:rPr>
          <w:sz w:val="23"/>
          <w:szCs w:val="23"/>
        </w:rPr>
      </w:pPr>
      <w:r w:rsidRPr="00D31508">
        <w:rPr>
          <w:sz w:val="23"/>
          <w:szCs w:val="23"/>
        </w:rPr>
        <w:t xml:space="preserve">We focus on eliminating poverty for </w:t>
      </w:r>
      <w:r w:rsidRPr="00D31508">
        <w:rPr>
          <w:i/>
          <w:iCs/>
          <w:sz w:val="23"/>
          <w:szCs w:val="23"/>
        </w:rPr>
        <w:t>children</w:t>
      </w:r>
      <w:r w:rsidRPr="00D31508">
        <w:rPr>
          <w:sz w:val="23"/>
          <w:szCs w:val="23"/>
        </w:rPr>
        <w:t xml:space="preserve"> because:</w:t>
      </w:r>
    </w:p>
    <w:p w14:paraId="79F563E4" w14:textId="3AD1EC5F" w:rsidR="004C18E8" w:rsidRPr="00D31508" w:rsidRDefault="004C18E8" w:rsidP="008F0E1D">
      <w:pPr>
        <w:pStyle w:val="ListParagraph"/>
        <w:numPr>
          <w:ilvl w:val="0"/>
          <w:numId w:val="14"/>
        </w:numPr>
        <w:spacing w:line="240" w:lineRule="auto"/>
        <w:ind w:left="714" w:hanging="357"/>
        <w:rPr>
          <w:sz w:val="23"/>
          <w:szCs w:val="23"/>
        </w:rPr>
      </w:pPr>
      <w:r w:rsidRPr="00D31508">
        <w:rPr>
          <w:b/>
          <w:bCs/>
          <w:sz w:val="23"/>
          <w:szCs w:val="23"/>
        </w:rPr>
        <w:t>Overall effects of poverty are wors</w:t>
      </w:r>
      <w:r w:rsidR="00E367EE" w:rsidRPr="00D31508">
        <w:rPr>
          <w:b/>
          <w:bCs/>
          <w:sz w:val="23"/>
          <w:szCs w:val="23"/>
        </w:rPr>
        <w:t>t</w:t>
      </w:r>
      <w:r w:rsidRPr="00D31508">
        <w:rPr>
          <w:b/>
          <w:bCs/>
          <w:sz w:val="23"/>
          <w:szCs w:val="23"/>
        </w:rPr>
        <w:t xml:space="preserve"> for children</w:t>
      </w:r>
      <w:r w:rsidRPr="00D31508">
        <w:rPr>
          <w:sz w:val="23"/>
          <w:szCs w:val="23"/>
        </w:rPr>
        <w:t xml:space="preserve">: Child development is adversely affected by </w:t>
      </w:r>
      <w:proofErr w:type="gramStart"/>
      <w:r w:rsidRPr="00D31508">
        <w:rPr>
          <w:sz w:val="23"/>
          <w:szCs w:val="23"/>
        </w:rPr>
        <w:t xml:space="preserve">poverty, </w:t>
      </w:r>
      <w:r w:rsidR="00272DEF" w:rsidRPr="00D31508">
        <w:rPr>
          <w:sz w:val="23"/>
          <w:szCs w:val="23"/>
        </w:rPr>
        <w:t>and</w:t>
      </w:r>
      <w:proofErr w:type="gramEnd"/>
      <w:r w:rsidRPr="00D31508">
        <w:rPr>
          <w:sz w:val="23"/>
          <w:szCs w:val="23"/>
        </w:rPr>
        <w:t xml:space="preserve"> can lead to detrimental effects for an entire life. </w:t>
      </w:r>
    </w:p>
    <w:p w14:paraId="56062C72" w14:textId="5BE9CC51" w:rsidR="004C18E8" w:rsidRPr="00D31508" w:rsidRDefault="004C18E8" w:rsidP="008F0E1D">
      <w:pPr>
        <w:pStyle w:val="ListParagraph"/>
        <w:numPr>
          <w:ilvl w:val="0"/>
          <w:numId w:val="14"/>
        </w:numPr>
        <w:spacing w:line="240" w:lineRule="auto"/>
        <w:rPr>
          <w:sz w:val="23"/>
          <w:szCs w:val="23"/>
        </w:rPr>
      </w:pPr>
      <w:r w:rsidRPr="00D31508">
        <w:rPr>
          <w:b/>
          <w:bCs/>
          <w:sz w:val="23"/>
          <w:szCs w:val="23"/>
        </w:rPr>
        <w:t xml:space="preserve">Children are more likely to experience poverty: </w:t>
      </w:r>
      <w:r w:rsidRPr="00D31508">
        <w:rPr>
          <w:sz w:val="23"/>
          <w:szCs w:val="23"/>
        </w:rPr>
        <w:t>Children are over-represented among those in deprived households</w:t>
      </w:r>
      <w:r w:rsidR="00E367EE" w:rsidRPr="00D31508">
        <w:rPr>
          <w:sz w:val="23"/>
          <w:szCs w:val="23"/>
        </w:rPr>
        <w:t>.</w:t>
      </w:r>
    </w:p>
    <w:p w14:paraId="45E3ECC0" w14:textId="2416BC39" w:rsidR="004C18E8" w:rsidRPr="00D31508" w:rsidRDefault="004C18E8" w:rsidP="008F0E1D">
      <w:pPr>
        <w:pStyle w:val="ListParagraph"/>
        <w:numPr>
          <w:ilvl w:val="0"/>
          <w:numId w:val="14"/>
        </w:numPr>
        <w:spacing w:line="240" w:lineRule="auto"/>
        <w:rPr>
          <w:sz w:val="23"/>
          <w:szCs w:val="23"/>
        </w:rPr>
      </w:pPr>
      <w:r w:rsidRPr="00D31508">
        <w:rPr>
          <w:b/>
          <w:bCs/>
          <w:sz w:val="23"/>
          <w:szCs w:val="23"/>
        </w:rPr>
        <w:t xml:space="preserve">Children </w:t>
      </w:r>
      <w:proofErr w:type="gramStart"/>
      <w:r w:rsidRPr="00D31508">
        <w:rPr>
          <w:b/>
          <w:bCs/>
          <w:sz w:val="23"/>
          <w:szCs w:val="23"/>
        </w:rPr>
        <w:t>don’t</w:t>
      </w:r>
      <w:proofErr w:type="gramEnd"/>
      <w:r w:rsidRPr="00D31508">
        <w:rPr>
          <w:b/>
          <w:bCs/>
          <w:sz w:val="23"/>
          <w:szCs w:val="23"/>
        </w:rPr>
        <w:t xml:space="preserve"> get a say: </w:t>
      </w:r>
      <w:r w:rsidRPr="00D31508">
        <w:rPr>
          <w:sz w:val="23"/>
          <w:szCs w:val="23"/>
        </w:rPr>
        <w:t>Decisions affecting children are made without their input; only adults</w:t>
      </w:r>
      <w:r w:rsidR="00272DEF" w:rsidRPr="00D31508">
        <w:rPr>
          <w:sz w:val="23"/>
          <w:szCs w:val="23"/>
        </w:rPr>
        <w:t xml:space="preserve"> can vote for parliamentary representation</w:t>
      </w:r>
      <w:r w:rsidRPr="00D31508">
        <w:rPr>
          <w:sz w:val="23"/>
          <w:szCs w:val="23"/>
        </w:rPr>
        <w:t>.</w:t>
      </w:r>
    </w:p>
    <w:p w14:paraId="5F568F4A" w14:textId="77777777" w:rsidR="005C562F" w:rsidRPr="00C739A6" w:rsidRDefault="005C562F" w:rsidP="005C562F">
      <w:pPr>
        <w:pStyle w:val="Heading1"/>
      </w:pPr>
      <w:bookmarkStart w:id="2" w:name="_Toc66785658"/>
      <w:r w:rsidRPr="00C739A6">
        <w:t>About the authors</w:t>
      </w:r>
      <w:bookmarkEnd w:id="2"/>
    </w:p>
    <w:p w14:paraId="16C3EC1E" w14:textId="674E4981" w:rsidR="005C562F" w:rsidRPr="00D31508" w:rsidRDefault="005C562F" w:rsidP="008F0E1D">
      <w:pPr>
        <w:spacing w:after="60" w:line="240" w:lineRule="auto"/>
        <w:rPr>
          <w:sz w:val="23"/>
          <w:szCs w:val="23"/>
        </w:rPr>
      </w:pPr>
      <w:r w:rsidRPr="00D31508">
        <w:rPr>
          <w:sz w:val="23"/>
          <w:szCs w:val="23"/>
        </w:rPr>
        <w:t xml:space="preserve">Caitlin </w:t>
      </w:r>
      <w:proofErr w:type="spellStart"/>
      <w:r w:rsidRPr="00D31508">
        <w:rPr>
          <w:sz w:val="23"/>
          <w:szCs w:val="23"/>
        </w:rPr>
        <w:t>Neuwelt</w:t>
      </w:r>
      <w:proofErr w:type="spellEnd"/>
      <w:r w:rsidRPr="00D31508">
        <w:rPr>
          <w:sz w:val="23"/>
          <w:szCs w:val="23"/>
        </w:rPr>
        <w:t xml:space="preserve">-Kearns is a researcher for CPAG. She completed a Master of Arts in Human Geography at the University of Auckland in 2019, with a thesis examining the use of crowdfunding platforms for health-related costs in Aotearoa. Her research interests include equity in access to health and social services. </w:t>
      </w:r>
      <w:hyperlink r:id="rId14" w:history="1">
        <w:r w:rsidR="004C18E8" w:rsidRPr="00D31508">
          <w:rPr>
            <w:rStyle w:val="Hyperlink"/>
            <w:sz w:val="23"/>
            <w:szCs w:val="23"/>
          </w:rPr>
          <w:t>caitlin@cpag.org.nz</w:t>
        </w:r>
      </w:hyperlink>
      <w:r w:rsidR="004C18E8" w:rsidRPr="00D31508">
        <w:rPr>
          <w:sz w:val="23"/>
          <w:szCs w:val="23"/>
        </w:rPr>
        <w:t xml:space="preserve"> </w:t>
      </w:r>
    </w:p>
    <w:p w14:paraId="0626FDAD" w14:textId="7A249637" w:rsidR="00640158" w:rsidRPr="00D31508" w:rsidRDefault="005C562F" w:rsidP="008F0E1D">
      <w:pPr>
        <w:spacing w:after="60" w:line="240" w:lineRule="auto"/>
        <w:rPr>
          <w:sz w:val="23"/>
          <w:szCs w:val="23"/>
        </w:rPr>
      </w:pPr>
      <w:r w:rsidRPr="00D31508">
        <w:rPr>
          <w:sz w:val="23"/>
          <w:szCs w:val="23"/>
        </w:rPr>
        <w:t xml:space="preserve">Susan St John is a founding member of CPAG and CPAG spokesperson on economics. She is an Associate Professor in the </w:t>
      </w:r>
      <w:r w:rsidR="00341364" w:rsidRPr="00D31508">
        <w:rPr>
          <w:sz w:val="23"/>
          <w:szCs w:val="23"/>
        </w:rPr>
        <w:t xml:space="preserve">Department of </w:t>
      </w:r>
      <w:r w:rsidRPr="00D31508">
        <w:rPr>
          <w:sz w:val="23"/>
          <w:szCs w:val="23"/>
        </w:rPr>
        <w:t>Economics, University of Auckland and the Director of the Retirement Policy and Research Centre.</w:t>
      </w:r>
      <w:r w:rsidR="004C18E8" w:rsidRPr="00D31508">
        <w:rPr>
          <w:sz w:val="23"/>
          <w:szCs w:val="23"/>
        </w:rPr>
        <w:t xml:space="preserve"> </w:t>
      </w:r>
      <w:hyperlink r:id="rId15" w:history="1">
        <w:r w:rsidR="00341364" w:rsidRPr="00D31508">
          <w:rPr>
            <w:rStyle w:val="Hyperlink"/>
            <w:sz w:val="23"/>
            <w:szCs w:val="23"/>
          </w:rPr>
          <w:t>s.stjohn@auckland.ac.nz</w:t>
        </w:r>
      </w:hyperlink>
      <w:r w:rsidR="004C18E8" w:rsidRPr="00D31508">
        <w:rPr>
          <w:sz w:val="23"/>
          <w:szCs w:val="23"/>
        </w:rPr>
        <w:t xml:space="preserve"> </w:t>
      </w:r>
    </w:p>
    <w:p w14:paraId="298F545E" w14:textId="77777777" w:rsidR="00A33C55" w:rsidRPr="00D31508" w:rsidRDefault="00A33C55" w:rsidP="00D31508">
      <w:pPr>
        <w:spacing w:after="0" w:line="240" w:lineRule="auto"/>
        <w:rPr>
          <w:b/>
          <w:bCs/>
          <w:sz w:val="23"/>
          <w:szCs w:val="23"/>
        </w:rPr>
      </w:pPr>
      <w:bookmarkStart w:id="3" w:name="_Toc66785657"/>
      <w:r w:rsidRPr="00D31508">
        <w:rPr>
          <w:b/>
          <w:bCs/>
          <w:sz w:val="23"/>
          <w:szCs w:val="23"/>
        </w:rPr>
        <w:t>Acknowledgements</w:t>
      </w:r>
      <w:bookmarkEnd w:id="3"/>
      <w:r w:rsidRPr="00D31508">
        <w:rPr>
          <w:b/>
          <w:bCs/>
          <w:sz w:val="23"/>
          <w:szCs w:val="23"/>
        </w:rPr>
        <w:t xml:space="preserve"> </w:t>
      </w:r>
    </w:p>
    <w:p w14:paraId="7AA45736" w14:textId="03F6111C" w:rsidR="00A33C55" w:rsidRPr="00D31508" w:rsidRDefault="00A33C55" w:rsidP="00D31508">
      <w:pPr>
        <w:spacing w:line="240" w:lineRule="auto"/>
        <w:rPr>
          <w:sz w:val="23"/>
          <w:szCs w:val="23"/>
        </w:rPr>
      </w:pPr>
      <w:r w:rsidRPr="00D31508">
        <w:rPr>
          <w:sz w:val="23"/>
          <w:szCs w:val="23"/>
        </w:rPr>
        <w:t>The authors thank</w:t>
      </w:r>
      <w:r w:rsidR="00B8468F" w:rsidRPr="00D31508">
        <w:rPr>
          <w:sz w:val="23"/>
          <w:szCs w:val="23"/>
        </w:rPr>
        <w:t xml:space="preserve"> Janet McAllister for her editing. We also </w:t>
      </w:r>
      <w:r w:rsidR="00341364" w:rsidRPr="00D31508">
        <w:rPr>
          <w:sz w:val="23"/>
          <w:szCs w:val="23"/>
        </w:rPr>
        <w:t xml:space="preserve">thank </w:t>
      </w:r>
      <w:r w:rsidRPr="00D31508">
        <w:rPr>
          <w:sz w:val="23"/>
          <w:szCs w:val="23"/>
        </w:rPr>
        <w:t>the CPAG Research Committee for their input, particular</w:t>
      </w:r>
      <w:r w:rsidR="00D31508">
        <w:rPr>
          <w:sz w:val="23"/>
          <w:szCs w:val="23"/>
        </w:rPr>
        <w:t>ly</w:t>
      </w:r>
      <w:r w:rsidRPr="00D31508">
        <w:rPr>
          <w:sz w:val="23"/>
          <w:szCs w:val="23"/>
        </w:rPr>
        <w:t xml:space="preserve"> Mike O’Brien, </w:t>
      </w:r>
      <w:proofErr w:type="spellStart"/>
      <w:r w:rsidRPr="00D31508">
        <w:rPr>
          <w:sz w:val="23"/>
          <w:szCs w:val="23"/>
        </w:rPr>
        <w:t>Janfrie</w:t>
      </w:r>
      <w:proofErr w:type="spellEnd"/>
      <w:r w:rsidRPr="00D31508">
        <w:rPr>
          <w:sz w:val="23"/>
          <w:szCs w:val="23"/>
        </w:rPr>
        <w:t xml:space="preserve"> </w:t>
      </w:r>
      <w:proofErr w:type="spellStart"/>
      <w:r w:rsidRPr="00D31508">
        <w:rPr>
          <w:sz w:val="23"/>
          <w:szCs w:val="23"/>
        </w:rPr>
        <w:t>Wakim</w:t>
      </w:r>
      <w:proofErr w:type="spellEnd"/>
      <w:r w:rsidRPr="00D31508">
        <w:rPr>
          <w:sz w:val="23"/>
          <w:szCs w:val="23"/>
        </w:rPr>
        <w:t xml:space="preserve">, </w:t>
      </w:r>
      <w:r w:rsidR="00B8468F" w:rsidRPr="00D31508">
        <w:rPr>
          <w:sz w:val="23"/>
          <w:szCs w:val="23"/>
        </w:rPr>
        <w:t xml:space="preserve">and Gerry </w:t>
      </w:r>
      <w:proofErr w:type="spellStart"/>
      <w:r w:rsidR="00B8468F" w:rsidRPr="00D31508">
        <w:rPr>
          <w:sz w:val="23"/>
          <w:szCs w:val="23"/>
        </w:rPr>
        <w:t>Cotterell</w:t>
      </w:r>
      <w:proofErr w:type="spellEnd"/>
      <w:r w:rsidR="00B8468F" w:rsidRPr="00D31508">
        <w:rPr>
          <w:sz w:val="23"/>
          <w:szCs w:val="23"/>
        </w:rPr>
        <w:t>.</w:t>
      </w:r>
    </w:p>
    <w:p w14:paraId="30314359" w14:textId="377B04DC" w:rsidR="00666663" w:rsidRPr="00C739A6" w:rsidRDefault="00D31508" w:rsidP="00272DEF">
      <w:pPr>
        <w:pStyle w:val="Heading1"/>
      </w:pPr>
      <w:r>
        <w:t xml:space="preserve">Series: </w:t>
      </w:r>
      <w:r w:rsidR="00666663" w:rsidRPr="00C739A6">
        <w:t xml:space="preserve">Time </w:t>
      </w:r>
      <w:r w:rsidR="00A33C55" w:rsidRPr="00C739A6">
        <w:t xml:space="preserve">to Rethink </w:t>
      </w:r>
      <w:r w:rsidR="00666663" w:rsidRPr="00C739A6">
        <w:t>Income Support for Children</w:t>
      </w:r>
    </w:p>
    <w:p w14:paraId="601FE2B9" w14:textId="2162534B" w:rsidR="00666663" w:rsidRPr="00D31508" w:rsidRDefault="00F415EE" w:rsidP="00D31508">
      <w:pPr>
        <w:spacing w:after="0"/>
        <w:rPr>
          <w:sz w:val="23"/>
          <w:szCs w:val="23"/>
        </w:rPr>
      </w:pPr>
      <w:r w:rsidRPr="00D31508">
        <w:rPr>
          <w:sz w:val="23"/>
          <w:szCs w:val="23"/>
        </w:rPr>
        <w:t xml:space="preserve">This </w:t>
      </w:r>
      <w:r w:rsidR="00666663" w:rsidRPr="00D31508">
        <w:rPr>
          <w:sz w:val="23"/>
          <w:szCs w:val="23"/>
        </w:rPr>
        <w:t xml:space="preserve">paper </w:t>
      </w:r>
      <w:r w:rsidRPr="00D31508">
        <w:rPr>
          <w:sz w:val="23"/>
          <w:szCs w:val="23"/>
        </w:rPr>
        <w:t xml:space="preserve">is </w:t>
      </w:r>
      <w:r w:rsidR="00666663" w:rsidRPr="00D31508">
        <w:rPr>
          <w:sz w:val="23"/>
          <w:szCs w:val="23"/>
        </w:rPr>
        <w:t xml:space="preserve">the first of a series making recommendations for </w:t>
      </w:r>
      <w:r w:rsidR="00341364" w:rsidRPr="00D31508">
        <w:rPr>
          <w:sz w:val="23"/>
          <w:szCs w:val="23"/>
        </w:rPr>
        <w:t xml:space="preserve">the Government’s planned Working for Families (WFF) </w:t>
      </w:r>
      <w:r w:rsidR="00666663" w:rsidRPr="00D31508">
        <w:rPr>
          <w:sz w:val="23"/>
          <w:szCs w:val="23"/>
        </w:rPr>
        <w:t>overhaul. The full set of CPAG’s WFF recommendations includes:</w:t>
      </w:r>
    </w:p>
    <w:p w14:paraId="4249C9AB" w14:textId="35BAAE41" w:rsidR="00666663" w:rsidRPr="00D31508" w:rsidRDefault="00666663" w:rsidP="00F250B7">
      <w:pPr>
        <w:pStyle w:val="ListParagraph"/>
        <w:numPr>
          <w:ilvl w:val="0"/>
          <w:numId w:val="18"/>
        </w:numPr>
        <w:ind w:left="426"/>
        <w:rPr>
          <w:sz w:val="23"/>
          <w:szCs w:val="23"/>
        </w:rPr>
      </w:pPr>
      <w:r w:rsidRPr="00D31508">
        <w:rPr>
          <w:sz w:val="23"/>
          <w:szCs w:val="23"/>
        </w:rPr>
        <w:t>Indexing WFF payment rates to wages to halt relative erosion of income support for children</w:t>
      </w:r>
      <w:r w:rsidR="00272DEF" w:rsidRPr="00D31508">
        <w:rPr>
          <w:sz w:val="23"/>
          <w:szCs w:val="23"/>
        </w:rPr>
        <w:t xml:space="preserve">, </w:t>
      </w:r>
      <w:r w:rsidR="00272DEF" w:rsidRPr="008F0E1D">
        <w:rPr>
          <w:sz w:val="23"/>
          <w:szCs w:val="23"/>
        </w:rPr>
        <w:t xml:space="preserve">and </w:t>
      </w:r>
      <w:r w:rsidR="00DB330F" w:rsidRPr="008F0E1D">
        <w:rPr>
          <w:sz w:val="23"/>
          <w:szCs w:val="23"/>
        </w:rPr>
        <w:t xml:space="preserve">indexing </w:t>
      </w:r>
      <w:r w:rsidR="00272DEF" w:rsidRPr="008F0E1D">
        <w:rPr>
          <w:sz w:val="23"/>
          <w:szCs w:val="23"/>
        </w:rPr>
        <w:t>WFF thresholds</w:t>
      </w:r>
      <w:r w:rsidR="00DB330F" w:rsidRPr="008F0E1D">
        <w:rPr>
          <w:sz w:val="23"/>
          <w:szCs w:val="23"/>
        </w:rPr>
        <w:t xml:space="preserve">, to CPI </w:t>
      </w:r>
      <w:r w:rsidR="00F250B7" w:rsidRPr="008F0E1D">
        <w:rPr>
          <w:sz w:val="23"/>
          <w:szCs w:val="23"/>
        </w:rPr>
        <w:t>or minimum wage</w:t>
      </w:r>
      <w:r w:rsidR="00F250B7">
        <w:rPr>
          <w:sz w:val="23"/>
          <w:szCs w:val="23"/>
        </w:rPr>
        <w:t xml:space="preserve"> </w:t>
      </w:r>
      <w:r w:rsidRPr="00C52449">
        <w:rPr>
          <w:i/>
          <w:sz w:val="23"/>
          <w:szCs w:val="23"/>
        </w:rPr>
        <w:t>(subject</w:t>
      </w:r>
      <w:r w:rsidR="00272DEF" w:rsidRPr="00C52449">
        <w:rPr>
          <w:i/>
          <w:sz w:val="23"/>
          <w:szCs w:val="23"/>
        </w:rPr>
        <w:t>s</w:t>
      </w:r>
      <w:r w:rsidRPr="00C52449">
        <w:rPr>
          <w:i/>
          <w:sz w:val="23"/>
          <w:szCs w:val="23"/>
        </w:rPr>
        <w:t xml:space="preserve"> of current paper)</w:t>
      </w:r>
      <w:r w:rsidR="00157AFD" w:rsidRPr="00C52449">
        <w:rPr>
          <w:i/>
          <w:sz w:val="23"/>
          <w:szCs w:val="23"/>
        </w:rPr>
        <w:t>.</w:t>
      </w:r>
    </w:p>
    <w:p w14:paraId="23CA85A1" w14:textId="4CC40B92" w:rsidR="00666663" w:rsidRDefault="00F415EE" w:rsidP="00F250B7">
      <w:pPr>
        <w:pStyle w:val="ListParagraph"/>
        <w:numPr>
          <w:ilvl w:val="0"/>
          <w:numId w:val="18"/>
        </w:numPr>
        <w:ind w:left="426"/>
        <w:rPr>
          <w:sz w:val="23"/>
          <w:szCs w:val="23"/>
        </w:rPr>
      </w:pPr>
      <w:r w:rsidRPr="00D31508">
        <w:rPr>
          <w:sz w:val="23"/>
          <w:szCs w:val="23"/>
        </w:rPr>
        <w:t xml:space="preserve">Make WFF child-centric by decoupling it from all paid work requirements. This entails extending the equivalent of the In-Work Tax Credit to all low-income children, whether their parents are on-benefit </w:t>
      </w:r>
      <w:r w:rsidR="007906A6">
        <w:rPr>
          <w:sz w:val="23"/>
          <w:szCs w:val="23"/>
        </w:rPr>
        <w:t xml:space="preserve">or not, </w:t>
      </w:r>
      <w:proofErr w:type="gramStart"/>
      <w:r w:rsidRPr="00D31508">
        <w:rPr>
          <w:sz w:val="23"/>
          <w:szCs w:val="23"/>
        </w:rPr>
        <w:t>in order to</w:t>
      </w:r>
      <w:proofErr w:type="gramEnd"/>
      <w:r w:rsidRPr="00D31508">
        <w:rPr>
          <w:sz w:val="23"/>
          <w:szCs w:val="23"/>
        </w:rPr>
        <w:t xml:space="preserve"> help ensure incomes for all children are adequate in the most cost-effective manner.</w:t>
      </w:r>
    </w:p>
    <w:p w14:paraId="1E2DC553" w14:textId="3199C8C1" w:rsidR="007906A6" w:rsidRPr="00D31508" w:rsidRDefault="007906A6" w:rsidP="00F250B7">
      <w:pPr>
        <w:pStyle w:val="ListParagraph"/>
        <w:numPr>
          <w:ilvl w:val="0"/>
          <w:numId w:val="18"/>
        </w:numPr>
        <w:ind w:left="426"/>
        <w:rPr>
          <w:sz w:val="23"/>
          <w:szCs w:val="23"/>
        </w:rPr>
      </w:pPr>
      <w:r w:rsidRPr="008F0E1D">
        <w:rPr>
          <w:sz w:val="23"/>
          <w:szCs w:val="23"/>
        </w:rPr>
        <w:t xml:space="preserve">Increasing Family Tax Credit payment rates, over and above indexation, as a one-off (in conjunction with benefit increases), </w:t>
      </w:r>
      <w:r w:rsidRPr="00D31508">
        <w:rPr>
          <w:sz w:val="23"/>
          <w:szCs w:val="23"/>
        </w:rPr>
        <w:t>to help ensure incomes for all children are adequate</w:t>
      </w:r>
      <w:r w:rsidR="008F0E1D">
        <w:rPr>
          <w:sz w:val="23"/>
          <w:szCs w:val="23"/>
        </w:rPr>
        <w:t xml:space="preserve"> and reduce government reliance on the Accommodation Supplement</w:t>
      </w:r>
      <w:r w:rsidR="00C52449">
        <w:rPr>
          <w:sz w:val="23"/>
          <w:szCs w:val="23"/>
        </w:rPr>
        <w:t>.</w:t>
      </w:r>
      <w:r w:rsidR="008740D3">
        <w:rPr>
          <w:sz w:val="23"/>
          <w:szCs w:val="23"/>
        </w:rPr>
        <w:t xml:space="preserve"> </w:t>
      </w:r>
    </w:p>
    <w:p w14:paraId="2B754988" w14:textId="3A186896" w:rsidR="00666663" w:rsidRPr="00D31508" w:rsidRDefault="00666663" w:rsidP="00F250B7">
      <w:pPr>
        <w:pStyle w:val="ListParagraph"/>
        <w:numPr>
          <w:ilvl w:val="0"/>
          <w:numId w:val="18"/>
        </w:numPr>
        <w:ind w:left="426"/>
        <w:rPr>
          <w:sz w:val="23"/>
          <w:szCs w:val="23"/>
        </w:rPr>
      </w:pPr>
      <w:r w:rsidRPr="00D31508">
        <w:rPr>
          <w:sz w:val="23"/>
          <w:szCs w:val="23"/>
        </w:rPr>
        <w:t xml:space="preserve">Changing the </w:t>
      </w:r>
      <w:r w:rsidR="00272DEF" w:rsidRPr="00D31508">
        <w:rPr>
          <w:sz w:val="23"/>
          <w:szCs w:val="23"/>
        </w:rPr>
        <w:t xml:space="preserve">WFF </w:t>
      </w:r>
      <w:r w:rsidRPr="00D31508">
        <w:rPr>
          <w:sz w:val="23"/>
          <w:szCs w:val="23"/>
        </w:rPr>
        <w:t>name</w:t>
      </w:r>
      <w:r w:rsidR="00912C05" w:rsidRPr="00D31508">
        <w:rPr>
          <w:sz w:val="23"/>
          <w:szCs w:val="23"/>
        </w:rPr>
        <w:t>, after appropriate consultation</w:t>
      </w:r>
      <w:r w:rsidR="001A5DD3">
        <w:rPr>
          <w:sz w:val="23"/>
          <w:szCs w:val="23"/>
        </w:rPr>
        <w:t>,</w:t>
      </w:r>
      <w:r w:rsidRPr="00D31508">
        <w:rPr>
          <w:sz w:val="23"/>
          <w:szCs w:val="23"/>
        </w:rPr>
        <w:t xml:space="preserve"> to better reflect the purpose of ensuring all children can flourish, free of financial need</w:t>
      </w:r>
      <w:r w:rsidR="00157AFD" w:rsidRPr="00D31508">
        <w:rPr>
          <w:sz w:val="23"/>
          <w:szCs w:val="23"/>
        </w:rPr>
        <w:t>.</w:t>
      </w:r>
    </w:p>
    <w:p w14:paraId="2BABF957" w14:textId="6F9C3589" w:rsidR="00272DEF" w:rsidRPr="00D31508" w:rsidRDefault="00666663" w:rsidP="00F250B7">
      <w:pPr>
        <w:pStyle w:val="ListParagraph"/>
        <w:numPr>
          <w:ilvl w:val="0"/>
          <w:numId w:val="18"/>
        </w:numPr>
        <w:ind w:left="426"/>
        <w:rPr>
          <w:sz w:val="23"/>
          <w:szCs w:val="23"/>
        </w:rPr>
      </w:pPr>
      <w:r w:rsidRPr="00D31508">
        <w:rPr>
          <w:sz w:val="23"/>
          <w:szCs w:val="23"/>
        </w:rPr>
        <w:t xml:space="preserve">Abolishing the Minimum Family Tax Credit in favour of a fully seamless and integrated income support progression between the benefit system and paid work, </w:t>
      </w:r>
      <w:proofErr w:type="gramStart"/>
      <w:r w:rsidRPr="00D31508">
        <w:rPr>
          <w:sz w:val="23"/>
          <w:szCs w:val="23"/>
        </w:rPr>
        <w:t>in order to</w:t>
      </w:r>
      <w:proofErr w:type="gramEnd"/>
      <w:r w:rsidRPr="00D31508">
        <w:rPr>
          <w:sz w:val="23"/>
          <w:szCs w:val="23"/>
        </w:rPr>
        <w:t xml:space="preserve"> reduce insecurity of potential reduced income due to system gaps and potential faults</w:t>
      </w:r>
      <w:r w:rsidR="00D727BB">
        <w:rPr>
          <w:sz w:val="23"/>
          <w:szCs w:val="23"/>
        </w:rPr>
        <w:t>.</w:t>
      </w:r>
    </w:p>
    <w:p w14:paraId="6CCBC3B5" w14:textId="67DAE4F1" w:rsidR="00666663" w:rsidRPr="00C739A6" w:rsidRDefault="00272DEF" w:rsidP="00F250B7">
      <w:pPr>
        <w:pStyle w:val="ListParagraph"/>
        <w:numPr>
          <w:ilvl w:val="0"/>
          <w:numId w:val="18"/>
        </w:numPr>
        <w:ind w:left="426"/>
      </w:pPr>
      <w:r w:rsidRPr="00D31508">
        <w:rPr>
          <w:sz w:val="23"/>
          <w:szCs w:val="23"/>
        </w:rPr>
        <w:t xml:space="preserve">Decreasing the </w:t>
      </w:r>
      <w:r w:rsidR="00912C05" w:rsidRPr="00D31508">
        <w:rPr>
          <w:sz w:val="23"/>
          <w:szCs w:val="23"/>
        </w:rPr>
        <w:t xml:space="preserve">WFF </w:t>
      </w:r>
      <w:r w:rsidR="00762E89" w:rsidRPr="00D31508">
        <w:rPr>
          <w:sz w:val="23"/>
          <w:szCs w:val="23"/>
        </w:rPr>
        <w:t>abatement rate</w:t>
      </w:r>
      <w:r w:rsidR="00A0495A" w:rsidRPr="00D31508">
        <w:rPr>
          <w:sz w:val="23"/>
          <w:szCs w:val="23"/>
        </w:rPr>
        <w:t xml:space="preserve"> for low-income families</w:t>
      </w:r>
      <w:r w:rsidRPr="00D31508">
        <w:rPr>
          <w:sz w:val="23"/>
          <w:szCs w:val="23"/>
        </w:rPr>
        <w:t xml:space="preserve">, </w:t>
      </w:r>
      <w:proofErr w:type="gramStart"/>
      <w:r w:rsidR="00A0495A" w:rsidRPr="00D31508">
        <w:rPr>
          <w:sz w:val="23"/>
          <w:szCs w:val="23"/>
        </w:rPr>
        <w:t xml:space="preserve">in order </w:t>
      </w:r>
      <w:r w:rsidRPr="00D31508">
        <w:rPr>
          <w:sz w:val="23"/>
          <w:szCs w:val="23"/>
        </w:rPr>
        <w:t>to</w:t>
      </w:r>
      <w:proofErr w:type="gramEnd"/>
      <w:r w:rsidRPr="00D31508">
        <w:rPr>
          <w:sz w:val="23"/>
          <w:szCs w:val="23"/>
        </w:rPr>
        <w:t xml:space="preserve"> lower </w:t>
      </w:r>
      <w:r w:rsidR="00A0495A" w:rsidRPr="00D31508">
        <w:rPr>
          <w:sz w:val="23"/>
          <w:szCs w:val="23"/>
        </w:rPr>
        <w:t xml:space="preserve">their </w:t>
      </w:r>
      <w:r w:rsidRPr="00D31508">
        <w:rPr>
          <w:sz w:val="23"/>
          <w:szCs w:val="23"/>
        </w:rPr>
        <w:t>effective marginal tax rates</w:t>
      </w:r>
      <w:r w:rsidR="00157AFD" w:rsidRPr="00D31508">
        <w:rPr>
          <w:sz w:val="23"/>
          <w:szCs w:val="23"/>
        </w:rPr>
        <w:t>.</w:t>
      </w:r>
      <w:r w:rsidR="00666663" w:rsidRPr="00C739A6">
        <w:br w:type="page"/>
      </w:r>
    </w:p>
    <w:sdt>
      <w:sdtPr>
        <w:rPr>
          <w:rFonts w:asciiTheme="minorHAnsi" w:eastAsiaTheme="minorHAnsi" w:hAnsiTheme="minorHAnsi" w:cstheme="minorBidi"/>
          <w:color w:val="auto"/>
          <w:sz w:val="22"/>
          <w:szCs w:val="22"/>
          <w:lang w:val="en-NZ"/>
        </w:rPr>
        <w:id w:val="-229611636"/>
        <w:docPartObj>
          <w:docPartGallery w:val="Table of Contents"/>
          <w:docPartUnique/>
        </w:docPartObj>
      </w:sdtPr>
      <w:sdtEndPr>
        <w:rPr>
          <w:b/>
          <w:bCs/>
          <w:noProof/>
          <w:sz w:val="24"/>
        </w:rPr>
      </w:sdtEndPr>
      <w:sdtContent>
        <w:p w14:paraId="59BD291A" w14:textId="37188F04" w:rsidR="002917CF" w:rsidRPr="00C739A6" w:rsidRDefault="002917CF">
          <w:pPr>
            <w:pStyle w:val="TOCHeading"/>
            <w:rPr>
              <w:lang w:val="en-NZ"/>
            </w:rPr>
          </w:pPr>
          <w:r w:rsidRPr="00C739A6">
            <w:rPr>
              <w:lang w:val="en-NZ"/>
            </w:rPr>
            <w:t>Contents</w:t>
          </w:r>
        </w:p>
        <w:p w14:paraId="153CB924" w14:textId="4A1C2366" w:rsidR="005C562F" w:rsidRPr="00C739A6" w:rsidRDefault="002917CF" w:rsidP="004C18E8">
          <w:pPr>
            <w:pStyle w:val="TOC1"/>
            <w:tabs>
              <w:tab w:val="right" w:leader="dot" w:pos="9016"/>
            </w:tabs>
            <w:rPr>
              <w:rFonts w:eastAsiaTheme="minorEastAsia"/>
              <w:noProof/>
              <w:lang w:eastAsia="en-NZ"/>
            </w:rPr>
          </w:pPr>
          <w:r w:rsidRPr="00C739A6">
            <w:rPr>
              <w:b/>
              <w:bCs/>
              <w:noProof/>
            </w:rPr>
            <w:fldChar w:fldCharType="begin"/>
          </w:r>
          <w:r w:rsidRPr="00C739A6">
            <w:rPr>
              <w:b/>
              <w:bCs/>
              <w:noProof/>
            </w:rPr>
            <w:instrText xml:space="preserve"> TOC \o "1-3" \h \z \u </w:instrText>
          </w:r>
          <w:r w:rsidRPr="00C739A6">
            <w:rPr>
              <w:b/>
              <w:bCs/>
              <w:noProof/>
            </w:rPr>
            <w:fldChar w:fldCharType="separate"/>
          </w:r>
        </w:p>
        <w:p w14:paraId="2986E6C0" w14:textId="382BBEFF" w:rsidR="005C562F" w:rsidRPr="00C739A6" w:rsidRDefault="000718E0">
          <w:pPr>
            <w:pStyle w:val="TOC1"/>
            <w:tabs>
              <w:tab w:val="right" w:leader="dot" w:pos="9016"/>
            </w:tabs>
            <w:rPr>
              <w:rFonts w:eastAsiaTheme="minorEastAsia"/>
              <w:noProof/>
              <w:lang w:eastAsia="en-NZ"/>
            </w:rPr>
          </w:pPr>
          <w:hyperlink w:anchor="_Toc66785660" w:history="1">
            <w:r w:rsidR="005C562F" w:rsidRPr="00C739A6">
              <w:rPr>
                <w:rStyle w:val="Hyperlink"/>
                <w:noProof/>
              </w:rPr>
              <w:t>Executive summary</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_Toc66785660 \h </w:instrText>
            </w:r>
            <w:r w:rsidR="005C562F" w:rsidRPr="00C739A6">
              <w:rPr>
                <w:noProof/>
                <w:webHidden/>
              </w:rPr>
            </w:r>
            <w:r w:rsidR="005C562F" w:rsidRPr="00C739A6">
              <w:rPr>
                <w:noProof/>
                <w:webHidden/>
              </w:rPr>
              <w:fldChar w:fldCharType="separate"/>
            </w:r>
            <w:r w:rsidR="00D47803">
              <w:rPr>
                <w:noProof/>
                <w:webHidden/>
              </w:rPr>
              <w:t>4</w:t>
            </w:r>
            <w:r w:rsidR="005C562F" w:rsidRPr="00C739A6">
              <w:rPr>
                <w:noProof/>
                <w:webHidden/>
              </w:rPr>
              <w:fldChar w:fldCharType="end"/>
            </w:r>
          </w:hyperlink>
        </w:p>
        <w:p w14:paraId="374F17A3" w14:textId="1844A88A" w:rsidR="005C562F" w:rsidRPr="00C739A6" w:rsidRDefault="000718E0">
          <w:pPr>
            <w:pStyle w:val="TOC1"/>
            <w:tabs>
              <w:tab w:val="right" w:leader="dot" w:pos="9016"/>
            </w:tabs>
            <w:rPr>
              <w:rFonts w:eastAsiaTheme="minorEastAsia"/>
              <w:noProof/>
              <w:lang w:eastAsia="en-NZ"/>
            </w:rPr>
          </w:pPr>
          <w:hyperlink w:anchor="_Toc66785661" w:history="1">
            <w:r w:rsidR="005C562F" w:rsidRPr="00C739A6">
              <w:rPr>
                <w:rStyle w:val="Hyperlink"/>
                <w:noProof/>
              </w:rPr>
              <w:t>Key recommendations</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_Toc66785661 \h </w:instrText>
            </w:r>
            <w:r w:rsidR="005C562F" w:rsidRPr="00C739A6">
              <w:rPr>
                <w:noProof/>
                <w:webHidden/>
              </w:rPr>
            </w:r>
            <w:r w:rsidR="005C562F" w:rsidRPr="00C739A6">
              <w:rPr>
                <w:noProof/>
                <w:webHidden/>
              </w:rPr>
              <w:fldChar w:fldCharType="separate"/>
            </w:r>
            <w:r w:rsidR="00D47803">
              <w:rPr>
                <w:noProof/>
                <w:webHidden/>
              </w:rPr>
              <w:t>5</w:t>
            </w:r>
            <w:r w:rsidR="005C562F" w:rsidRPr="00C739A6">
              <w:rPr>
                <w:noProof/>
                <w:webHidden/>
              </w:rPr>
              <w:fldChar w:fldCharType="end"/>
            </w:r>
          </w:hyperlink>
        </w:p>
        <w:p w14:paraId="704A916B" w14:textId="01D0C961" w:rsidR="005C562F" w:rsidRPr="00C739A6" w:rsidRDefault="000718E0">
          <w:pPr>
            <w:pStyle w:val="TOC1"/>
            <w:tabs>
              <w:tab w:val="right" w:leader="dot" w:pos="9016"/>
            </w:tabs>
            <w:rPr>
              <w:rFonts w:eastAsiaTheme="minorEastAsia"/>
              <w:noProof/>
              <w:lang w:eastAsia="en-NZ"/>
            </w:rPr>
          </w:pPr>
          <w:hyperlink w:anchor="_Toc66785662" w:history="1">
            <w:r w:rsidR="005C562F" w:rsidRPr="00C739A6">
              <w:rPr>
                <w:rStyle w:val="Hyperlink"/>
                <w:noProof/>
              </w:rPr>
              <w:t>Introduction</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_Toc66785662 \h </w:instrText>
            </w:r>
            <w:r w:rsidR="005C562F" w:rsidRPr="00C739A6">
              <w:rPr>
                <w:noProof/>
                <w:webHidden/>
              </w:rPr>
            </w:r>
            <w:r w:rsidR="005C562F" w:rsidRPr="00C739A6">
              <w:rPr>
                <w:noProof/>
                <w:webHidden/>
              </w:rPr>
              <w:fldChar w:fldCharType="separate"/>
            </w:r>
            <w:r w:rsidR="00D47803">
              <w:rPr>
                <w:noProof/>
                <w:webHidden/>
              </w:rPr>
              <w:t>5</w:t>
            </w:r>
            <w:r w:rsidR="005C562F" w:rsidRPr="00C739A6">
              <w:rPr>
                <w:noProof/>
                <w:webHidden/>
              </w:rPr>
              <w:fldChar w:fldCharType="end"/>
            </w:r>
          </w:hyperlink>
        </w:p>
        <w:p w14:paraId="77B9A177" w14:textId="0981018D" w:rsidR="005C562F" w:rsidRPr="00C739A6" w:rsidRDefault="000718E0">
          <w:pPr>
            <w:pStyle w:val="TOC1"/>
            <w:tabs>
              <w:tab w:val="right" w:leader="dot" w:pos="9016"/>
            </w:tabs>
            <w:rPr>
              <w:rFonts w:eastAsiaTheme="minorEastAsia"/>
              <w:noProof/>
              <w:lang w:eastAsia="en-NZ"/>
            </w:rPr>
          </w:pPr>
          <w:hyperlink w:anchor="_Toc66785663" w:history="1">
            <w:r w:rsidR="005C562F" w:rsidRPr="00C739A6">
              <w:rPr>
                <w:rStyle w:val="Hyperlink"/>
                <w:noProof/>
              </w:rPr>
              <w:t>Overview of Working for Families</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_Toc66785663 \h </w:instrText>
            </w:r>
            <w:r w:rsidR="005C562F" w:rsidRPr="00C739A6">
              <w:rPr>
                <w:noProof/>
                <w:webHidden/>
              </w:rPr>
            </w:r>
            <w:r w:rsidR="005C562F" w:rsidRPr="00C739A6">
              <w:rPr>
                <w:noProof/>
                <w:webHidden/>
              </w:rPr>
              <w:fldChar w:fldCharType="separate"/>
            </w:r>
            <w:r w:rsidR="00D47803">
              <w:rPr>
                <w:noProof/>
                <w:webHidden/>
              </w:rPr>
              <w:t>7</w:t>
            </w:r>
            <w:r w:rsidR="005C562F" w:rsidRPr="00C739A6">
              <w:rPr>
                <w:noProof/>
                <w:webHidden/>
              </w:rPr>
              <w:fldChar w:fldCharType="end"/>
            </w:r>
          </w:hyperlink>
        </w:p>
        <w:p w14:paraId="27744C24" w14:textId="70C4FC9E" w:rsidR="005C562F" w:rsidRPr="00C739A6" w:rsidRDefault="000718E0">
          <w:pPr>
            <w:pStyle w:val="TOC2"/>
            <w:tabs>
              <w:tab w:val="right" w:leader="dot" w:pos="9016"/>
            </w:tabs>
            <w:rPr>
              <w:rFonts w:eastAsiaTheme="minorEastAsia"/>
              <w:noProof/>
              <w:lang w:eastAsia="en-NZ"/>
            </w:rPr>
          </w:pPr>
          <w:hyperlink w:anchor="_Toc66785664" w:history="1">
            <w:r w:rsidR="005C562F" w:rsidRPr="00C739A6">
              <w:rPr>
                <w:rStyle w:val="Hyperlink"/>
                <w:noProof/>
              </w:rPr>
              <w:t>Indexation of WFF</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_Toc66785664 \h </w:instrText>
            </w:r>
            <w:r w:rsidR="005C562F" w:rsidRPr="00C739A6">
              <w:rPr>
                <w:noProof/>
                <w:webHidden/>
              </w:rPr>
            </w:r>
            <w:r w:rsidR="005C562F" w:rsidRPr="00C739A6">
              <w:rPr>
                <w:noProof/>
                <w:webHidden/>
              </w:rPr>
              <w:fldChar w:fldCharType="separate"/>
            </w:r>
            <w:r w:rsidR="00D47803">
              <w:rPr>
                <w:noProof/>
                <w:webHidden/>
              </w:rPr>
              <w:t>8</w:t>
            </w:r>
            <w:r w:rsidR="005C562F" w:rsidRPr="00C739A6">
              <w:rPr>
                <w:noProof/>
                <w:webHidden/>
              </w:rPr>
              <w:fldChar w:fldCharType="end"/>
            </w:r>
          </w:hyperlink>
        </w:p>
        <w:p w14:paraId="3399C8EF" w14:textId="62DB1D25" w:rsidR="005C562F" w:rsidRPr="00C739A6" w:rsidRDefault="000718E0">
          <w:pPr>
            <w:pStyle w:val="TOC1"/>
            <w:tabs>
              <w:tab w:val="right" w:leader="dot" w:pos="9016"/>
            </w:tabs>
            <w:rPr>
              <w:rFonts w:eastAsiaTheme="minorEastAsia"/>
              <w:noProof/>
              <w:lang w:eastAsia="en-NZ"/>
            </w:rPr>
          </w:pPr>
          <w:hyperlink w:anchor="_Toc66785665" w:history="1">
            <w:r w:rsidR="005C562F" w:rsidRPr="00C739A6">
              <w:rPr>
                <w:rStyle w:val="Hyperlink"/>
                <w:noProof/>
              </w:rPr>
              <w:t>Macro spending on WFF over time</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_Toc66785665 \h </w:instrText>
            </w:r>
            <w:r w:rsidR="005C562F" w:rsidRPr="00C739A6">
              <w:rPr>
                <w:noProof/>
                <w:webHidden/>
              </w:rPr>
            </w:r>
            <w:r w:rsidR="005C562F" w:rsidRPr="00C739A6">
              <w:rPr>
                <w:noProof/>
                <w:webHidden/>
              </w:rPr>
              <w:fldChar w:fldCharType="separate"/>
            </w:r>
            <w:r w:rsidR="00D47803">
              <w:rPr>
                <w:noProof/>
                <w:webHidden/>
              </w:rPr>
              <w:t>8</w:t>
            </w:r>
            <w:r w:rsidR="005C562F" w:rsidRPr="00C739A6">
              <w:rPr>
                <w:noProof/>
                <w:webHidden/>
              </w:rPr>
              <w:fldChar w:fldCharType="end"/>
            </w:r>
          </w:hyperlink>
        </w:p>
        <w:p w14:paraId="2DBE5A15" w14:textId="35110578" w:rsidR="005C562F" w:rsidRPr="00C739A6" w:rsidRDefault="000718E0">
          <w:pPr>
            <w:pStyle w:val="TOC1"/>
            <w:tabs>
              <w:tab w:val="right" w:leader="dot" w:pos="9016"/>
            </w:tabs>
            <w:rPr>
              <w:rFonts w:eastAsiaTheme="minorEastAsia"/>
              <w:noProof/>
              <w:lang w:eastAsia="en-NZ"/>
            </w:rPr>
          </w:pPr>
          <w:hyperlink w:anchor="_Toc66785666" w:history="1">
            <w:r w:rsidR="005C562F" w:rsidRPr="00C739A6">
              <w:rPr>
                <w:rStyle w:val="Hyperlink"/>
                <w:noProof/>
              </w:rPr>
              <w:t>Working for Families rates over time</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_Toc66785666 \h </w:instrText>
            </w:r>
            <w:r w:rsidR="005C562F" w:rsidRPr="00C739A6">
              <w:rPr>
                <w:noProof/>
                <w:webHidden/>
              </w:rPr>
            </w:r>
            <w:r w:rsidR="005C562F" w:rsidRPr="00C739A6">
              <w:rPr>
                <w:noProof/>
                <w:webHidden/>
              </w:rPr>
              <w:fldChar w:fldCharType="separate"/>
            </w:r>
            <w:r w:rsidR="00D47803">
              <w:rPr>
                <w:noProof/>
                <w:webHidden/>
              </w:rPr>
              <w:t>12</w:t>
            </w:r>
            <w:r w:rsidR="005C562F" w:rsidRPr="00C739A6">
              <w:rPr>
                <w:noProof/>
                <w:webHidden/>
              </w:rPr>
              <w:fldChar w:fldCharType="end"/>
            </w:r>
          </w:hyperlink>
        </w:p>
        <w:p w14:paraId="7A92A8A0" w14:textId="7FCE988D" w:rsidR="005C562F" w:rsidRPr="00C739A6" w:rsidRDefault="000718E0">
          <w:pPr>
            <w:pStyle w:val="TOC2"/>
            <w:tabs>
              <w:tab w:val="right" w:leader="dot" w:pos="9016"/>
            </w:tabs>
            <w:rPr>
              <w:rFonts w:eastAsiaTheme="minorEastAsia"/>
              <w:noProof/>
              <w:lang w:eastAsia="en-NZ"/>
            </w:rPr>
          </w:pPr>
          <w:hyperlink w:anchor="_Toc66785667" w:history="1">
            <w:r w:rsidR="005C562F" w:rsidRPr="00C739A6">
              <w:rPr>
                <w:rStyle w:val="Hyperlink"/>
                <w:noProof/>
              </w:rPr>
              <w:t>Family Tax Credit</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_Toc66785667 \h </w:instrText>
            </w:r>
            <w:r w:rsidR="005C562F" w:rsidRPr="00C739A6">
              <w:rPr>
                <w:noProof/>
                <w:webHidden/>
              </w:rPr>
            </w:r>
            <w:r w:rsidR="005C562F" w:rsidRPr="00C739A6">
              <w:rPr>
                <w:noProof/>
                <w:webHidden/>
              </w:rPr>
              <w:fldChar w:fldCharType="separate"/>
            </w:r>
            <w:r w:rsidR="00D47803">
              <w:rPr>
                <w:noProof/>
                <w:webHidden/>
              </w:rPr>
              <w:t>12</w:t>
            </w:r>
            <w:r w:rsidR="005C562F" w:rsidRPr="00C739A6">
              <w:rPr>
                <w:noProof/>
                <w:webHidden/>
              </w:rPr>
              <w:fldChar w:fldCharType="end"/>
            </w:r>
          </w:hyperlink>
        </w:p>
        <w:p w14:paraId="675BE986" w14:textId="4FAE12B8" w:rsidR="005C562F" w:rsidRPr="00C739A6" w:rsidRDefault="000718E0">
          <w:pPr>
            <w:pStyle w:val="TOC3"/>
            <w:tabs>
              <w:tab w:val="right" w:leader="dot" w:pos="9016"/>
            </w:tabs>
            <w:rPr>
              <w:rFonts w:eastAsiaTheme="minorEastAsia"/>
              <w:noProof/>
              <w:lang w:eastAsia="en-NZ"/>
            </w:rPr>
          </w:pPr>
          <w:hyperlink w:anchor="_Toc66785668" w:history="1">
            <w:r w:rsidR="005C562F" w:rsidRPr="00C739A6">
              <w:rPr>
                <w:rStyle w:val="Hyperlink"/>
                <w:noProof/>
              </w:rPr>
              <w:t>Nominal values</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_Toc66785668 \h </w:instrText>
            </w:r>
            <w:r w:rsidR="005C562F" w:rsidRPr="00C739A6">
              <w:rPr>
                <w:noProof/>
                <w:webHidden/>
              </w:rPr>
            </w:r>
            <w:r w:rsidR="005C562F" w:rsidRPr="00C739A6">
              <w:rPr>
                <w:noProof/>
                <w:webHidden/>
              </w:rPr>
              <w:fldChar w:fldCharType="separate"/>
            </w:r>
            <w:r w:rsidR="00D47803">
              <w:rPr>
                <w:noProof/>
                <w:webHidden/>
              </w:rPr>
              <w:t>12</w:t>
            </w:r>
            <w:r w:rsidR="005C562F" w:rsidRPr="00C739A6">
              <w:rPr>
                <w:noProof/>
                <w:webHidden/>
              </w:rPr>
              <w:fldChar w:fldCharType="end"/>
            </w:r>
          </w:hyperlink>
        </w:p>
        <w:p w14:paraId="4C1AACFE" w14:textId="7B8675B7" w:rsidR="005C562F" w:rsidRPr="00C739A6" w:rsidRDefault="000718E0">
          <w:pPr>
            <w:pStyle w:val="TOC3"/>
            <w:tabs>
              <w:tab w:val="right" w:leader="dot" w:pos="9016"/>
            </w:tabs>
            <w:rPr>
              <w:rFonts w:eastAsiaTheme="minorEastAsia"/>
              <w:noProof/>
              <w:lang w:eastAsia="en-NZ"/>
            </w:rPr>
          </w:pPr>
          <w:hyperlink w:anchor="_Toc66785669" w:history="1">
            <w:r w:rsidR="005C562F" w:rsidRPr="00C739A6">
              <w:rPr>
                <w:rStyle w:val="Hyperlink"/>
                <w:noProof/>
              </w:rPr>
              <w:t>Wage-adjusted values</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_Toc66785669 \h </w:instrText>
            </w:r>
            <w:r w:rsidR="005C562F" w:rsidRPr="00C739A6">
              <w:rPr>
                <w:noProof/>
                <w:webHidden/>
              </w:rPr>
            </w:r>
            <w:r w:rsidR="005C562F" w:rsidRPr="00C739A6">
              <w:rPr>
                <w:noProof/>
                <w:webHidden/>
              </w:rPr>
              <w:fldChar w:fldCharType="separate"/>
            </w:r>
            <w:r w:rsidR="00D47803">
              <w:rPr>
                <w:noProof/>
                <w:webHidden/>
              </w:rPr>
              <w:t>13</w:t>
            </w:r>
            <w:r w:rsidR="005C562F" w:rsidRPr="00C739A6">
              <w:rPr>
                <w:noProof/>
                <w:webHidden/>
              </w:rPr>
              <w:fldChar w:fldCharType="end"/>
            </w:r>
          </w:hyperlink>
        </w:p>
        <w:p w14:paraId="366B7B05" w14:textId="037B13A4" w:rsidR="005C562F" w:rsidRPr="00C739A6" w:rsidRDefault="000718E0">
          <w:pPr>
            <w:pStyle w:val="TOC2"/>
            <w:tabs>
              <w:tab w:val="right" w:leader="dot" w:pos="9016"/>
            </w:tabs>
            <w:rPr>
              <w:rFonts w:eastAsiaTheme="minorEastAsia"/>
              <w:noProof/>
              <w:lang w:eastAsia="en-NZ"/>
            </w:rPr>
          </w:pPr>
          <w:hyperlink w:anchor="_Toc66785670" w:history="1">
            <w:r w:rsidR="005C562F" w:rsidRPr="00C739A6">
              <w:rPr>
                <w:rStyle w:val="Hyperlink"/>
                <w:noProof/>
              </w:rPr>
              <w:t>In-Work Tax Credit</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_Toc66785670 \h </w:instrText>
            </w:r>
            <w:r w:rsidR="005C562F" w:rsidRPr="00C739A6">
              <w:rPr>
                <w:noProof/>
                <w:webHidden/>
              </w:rPr>
            </w:r>
            <w:r w:rsidR="005C562F" w:rsidRPr="00C739A6">
              <w:rPr>
                <w:noProof/>
                <w:webHidden/>
              </w:rPr>
              <w:fldChar w:fldCharType="separate"/>
            </w:r>
            <w:r w:rsidR="00D47803">
              <w:rPr>
                <w:noProof/>
                <w:webHidden/>
              </w:rPr>
              <w:t>14</w:t>
            </w:r>
            <w:r w:rsidR="005C562F" w:rsidRPr="00C739A6">
              <w:rPr>
                <w:noProof/>
                <w:webHidden/>
              </w:rPr>
              <w:fldChar w:fldCharType="end"/>
            </w:r>
          </w:hyperlink>
        </w:p>
        <w:p w14:paraId="545B3420" w14:textId="447F2FC2" w:rsidR="005C562F" w:rsidRPr="00C739A6" w:rsidRDefault="000718E0">
          <w:pPr>
            <w:pStyle w:val="TOC3"/>
            <w:tabs>
              <w:tab w:val="right" w:leader="dot" w:pos="9016"/>
            </w:tabs>
            <w:rPr>
              <w:rFonts w:eastAsiaTheme="minorEastAsia"/>
              <w:noProof/>
              <w:lang w:eastAsia="en-NZ"/>
            </w:rPr>
          </w:pPr>
          <w:hyperlink w:anchor="_Toc66785671" w:history="1">
            <w:r w:rsidR="005C562F" w:rsidRPr="00C739A6">
              <w:rPr>
                <w:rStyle w:val="Hyperlink"/>
                <w:noProof/>
              </w:rPr>
              <w:t>Nominal values</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_Toc66785671 \h </w:instrText>
            </w:r>
            <w:r w:rsidR="005C562F" w:rsidRPr="00C739A6">
              <w:rPr>
                <w:noProof/>
                <w:webHidden/>
              </w:rPr>
            </w:r>
            <w:r w:rsidR="005C562F" w:rsidRPr="00C739A6">
              <w:rPr>
                <w:noProof/>
                <w:webHidden/>
              </w:rPr>
              <w:fldChar w:fldCharType="separate"/>
            </w:r>
            <w:r w:rsidR="00D47803">
              <w:rPr>
                <w:noProof/>
                <w:webHidden/>
              </w:rPr>
              <w:t>14</w:t>
            </w:r>
            <w:r w:rsidR="005C562F" w:rsidRPr="00C739A6">
              <w:rPr>
                <w:noProof/>
                <w:webHidden/>
              </w:rPr>
              <w:fldChar w:fldCharType="end"/>
            </w:r>
          </w:hyperlink>
        </w:p>
        <w:p w14:paraId="49EB8A23" w14:textId="737FBA5A" w:rsidR="005C562F" w:rsidRPr="00C739A6" w:rsidRDefault="000718E0">
          <w:pPr>
            <w:pStyle w:val="TOC3"/>
            <w:tabs>
              <w:tab w:val="right" w:leader="dot" w:pos="9016"/>
            </w:tabs>
            <w:rPr>
              <w:rFonts w:eastAsiaTheme="minorEastAsia"/>
              <w:noProof/>
              <w:lang w:eastAsia="en-NZ"/>
            </w:rPr>
          </w:pPr>
          <w:hyperlink w:anchor="_Toc66785672" w:history="1">
            <w:r w:rsidR="005C562F" w:rsidRPr="00C739A6">
              <w:rPr>
                <w:rStyle w:val="Hyperlink"/>
                <w:noProof/>
              </w:rPr>
              <w:t>Wage-adjusted values</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_Toc66785672 \h </w:instrText>
            </w:r>
            <w:r w:rsidR="005C562F" w:rsidRPr="00C739A6">
              <w:rPr>
                <w:noProof/>
                <w:webHidden/>
              </w:rPr>
            </w:r>
            <w:r w:rsidR="005C562F" w:rsidRPr="00C739A6">
              <w:rPr>
                <w:noProof/>
                <w:webHidden/>
              </w:rPr>
              <w:fldChar w:fldCharType="separate"/>
            </w:r>
            <w:r w:rsidR="00D47803">
              <w:rPr>
                <w:noProof/>
                <w:webHidden/>
              </w:rPr>
              <w:t>14</w:t>
            </w:r>
            <w:r w:rsidR="005C562F" w:rsidRPr="00C739A6">
              <w:rPr>
                <w:noProof/>
                <w:webHidden/>
              </w:rPr>
              <w:fldChar w:fldCharType="end"/>
            </w:r>
          </w:hyperlink>
        </w:p>
        <w:p w14:paraId="6C1F4ABC" w14:textId="1FAF8EE5" w:rsidR="005C562F" w:rsidRPr="00C739A6" w:rsidRDefault="000718E0">
          <w:pPr>
            <w:pStyle w:val="TOC1"/>
            <w:tabs>
              <w:tab w:val="right" w:leader="dot" w:pos="9016"/>
            </w:tabs>
            <w:rPr>
              <w:rFonts w:eastAsiaTheme="minorEastAsia"/>
              <w:noProof/>
              <w:lang w:eastAsia="en-NZ"/>
            </w:rPr>
          </w:pPr>
          <w:hyperlink w:anchor="_Toc66785673" w:history="1">
            <w:r w:rsidR="005C562F" w:rsidRPr="00C739A6">
              <w:rPr>
                <w:rStyle w:val="Hyperlink"/>
                <w:noProof/>
              </w:rPr>
              <w:t>Modelling</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_Toc66785673 \h </w:instrText>
            </w:r>
            <w:r w:rsidR="005C562F" w:rsidRPr="00C739A6">
              <w:rPr>
                <w:noProof/>
                <w:webHidden/>
              </w:rPr>
            </w:r>
            <w:r w:rsidR="005C562F" w:rsidRPr="00C739A6">
              <w:rPr>
                <w:noProof/>
                <w:webHidden/>
              </w:rPr>
              <w:fldChar w:fldCharType="separate"/>
            </w:r>
            <w:r w:rsidR="00D47803">
              <w:rPr>
                <w:noProof/>
                <w:webHidden/>
              </w:rPr>
              <w:t>15</w:t>
            </w:r>
            <w:r w:rsidR="005C562F" w:rsidRPr="00C739A6">
              <w:rPr>
                <w:noProof/>
                <w:webHidden/>
              </w:rPr>
              <w:fldChar w:fldCharType="end"/>
            </w:r>
          </w:hyperlink>
        </w:p>
        <w:p w14:paraId="07830F54" w14:textId="6887555D" w:rsidR="005C562F" w:rsidRPr="00C739A6" w:rsidRDefault="000718E0">
          <w:pPr>
            <w:pStyle w:val="TOC2"/>
            <w:tabs>
              <w:tab w:val="right" w:leader="dot" w:pos="9016"/>
            </w:tabs>
            <w:rPr>
              <w:rFonts w:eastAsiaTheme="minorEastAsia"/>
              <w:noProof/>
              <w:lang w:eastAsia="en-NZ"/>
            </w:rPr>
          </w:pPr>
          <w:hyperlink w:anchor="_Toc66785674" w:history="1">
            <w:r w:rsidR="005C562F" w:rsidRPr="00C739A6">
              <w:rPr>
                <w:rStyle w:val="Hyperlink"/>
                <w:noProof/>
              </w:rPr>
              <w:t>Overall trends</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_Toc66785674 \h </w:instrText>
            </w:r>
            <w:r w:rsidR="005C562F" w:rsidRPr="00C739A6">
              <w:rPr>
                <w:noProof/>
                <w:webHidden/>
              </w:rPr>
            </w:r>
            <w:r w:rsidR="005C562F" w:rsidRPr="00C739A6">
              <w:rPr>
                <w:noProof/>
                <w:webHidden/>
              </w:rPr>
              <w:fldChar w:fldCharType="separate"/>
            </w:r>
            <w:r w:rsidR="00D47803">
              <w:rPr>
                <w:noProof/>
                <w:webHidden/>
              </w:rPr>
              <w:t>15</w:t>
            </w:r>
            <w:r w:rsidR="005C562F" w:rsidRPr="00C739A6">
              <w:rPr>
                <w:noProof/>
                <w:webHidden/>
              </w:rPr>
              <w:fldChar w:fldCharType="end"/>
            </w:r>
          </w:hyperlink>
        </w:p>
        <w:p w14:paraId="49EFB4E6" w14:textId="572851BB" w:rsidR="005C562F" w:rsidRPr="00C739A6" w:rsidRDefault="000718E0">
          <w:pPr>
            <w:pStyle w:val="TOC1"/>
            <w:tabs>
              <w:tab w:val="right" w:leader="dot" w:pos="9016"/>
            </w:tabs>
            <w:rPr>
              <w:rFonts w:eastAsiaTheme="minorEastAsia"/>
              <w:noProof/>
              <w:lang w:eastAsia="en-NZ"/>
            </w:rPr>
          </w:pPr>
          <w:hyperlink w:anchor="_Toc66785675" w:history="1">
            <w:r w:rsidR="005C562F" w:rsidRPr="00C739A6">
              <w:rPr>
                <w:rStyle w:val="Hyperlink"/>
                <w:noProof/>
              </w:rPr>
              <w:t>Conclusion</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_Toc66785675 \h </w:instrText>
            </w:r>
            <w:r w:rsidR="005C562F" w:rsidRPr="00C739A6">
              <w:rPr>
                <w:noProof/>
                <w:webHidden/>
              </w:rPr>
            </w:r>
            <w:r w:rsidR="005C562F" w:rsidRPr="00C739A6">
              <w:rPr>
                <w:noProof/>
                <w:webHidden/>
              </w:rPr>
              <w:fldChar w:fldCharType="separate"/>
            </w:r>
            <w:r w:rsidR="00D47803">
              <w:rPr>
                <w:noProof/>
                <w:webHidden/>
              </w:rPr>
              <w:t>19</w:t>
            </w:r>
            <w:r w:rsidR="005C562F" w:rsidRPr="00C739A6">
              <w:rPr>
                <w:noProof/>
                <w:webHidden/>
              </w:rPr>
              <w:fldChar w:fldCharType="end"/>
            </w:r>
          </w:hyperlink>
        </w:p>
        <w:p w14:paraId="0BFBBBEA" w14:textId="2F778CBA" w:rsidR="005C562F" w:rsidRPr="00C739A6" w:rsidRDefault="000718E0">
          <w:pPr>
            <w:pStyle w:val="TOC1"/>
            <w:tabs>
              <w:tab w:val="right" w:leader="dot" w:pos="9016"/>
            </w:tabs>
            <w:rPr>
              <w:rFonts w:eastAsiaTheme="minorEastAsia"/>
              <w:noProof/>
              <w:lang w:eastAsia="en-NZ"/>
            </w:rPr>
          </w:pPr>
          <w:hyperlink w:anchor="_Toc66785676" w:history="1">
            <w:r w:rsidR="005C562F" w:rsidRPr="00C739A6">
              <w:rPr>
                <w:rStyle w:val="Hyperlink"/>
                <w:noProof/>
              </w:rPr>
              <w:t>References</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_Toc66785676 \h </w:instrText>
            </w:r>
            <w:r w:rsidR="005C562F" w:rsidRPr="00C739A6">
              <w:rPr>
                <w:noProof/>
                <w:webHidden/>
              </w:rPr>
            </w:r>
            <w:r w:rsidR="005C562F" w:rsidRPr="00C739A6">
              <w:rPr>
                <w:noProof/>
                <w:webHidden/>
              </w:rPr>
              <w:fldChar w:fldCharType="separate"/>
            </w:r>
            <w:r w:rsidR="00D47803">
              <w:rPr>
                <w:noProof/>
                <w:webHidden/>
              </w:rPr>
              <w:t>21</w:t>
            </w:r>
            <w:r w:rsidR="005C562F" w:rsidRPr="00C739A6">
              <w:rPr>
                <w:noProof/>
                <w:webHidden/>
              </w:rPr>
              <w:fldChar w:fldCharType="end"/>
            </w:r>
          </w:hyperlink>
        </w:p>
        <w:p w14:paraId="5364CA1C" w14:textId="7DF021D3" w:rsidR="005C562F" w:rsidRPr="00C739A6" w:rsidRDefault="000718E0">
          <w:pPr>
            <w:pStyle w:val="TOC1"/>
            <w:tabs>
              <w:tab w:val="right" w:leader="dot" w:pos="9016"/>
            </w:tabs>
            <w:rPr>
              <w:rFonts w:eastAsiaTheme="minorEastAsia"/>
              <w:noProof/>
              <w:lang w:eastAsia="en-NZ"/>
            </w:rPr>
          </w:pPr>
          <w:hyperlink w:anchor="_Toc66785677" w:history="1">
            <w:r w:rsidR="005C562F" w:rsidRPr="00C739A6">
              <w:rPr>
                <w:rStyle w:val="Hyperlink"/>
                <w:noProof/>
              </w:rPr>
              <w:t>Appendix A: Selected WFF rates 2008 to 2021</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_Toc66785677 \h </w:instrText>
            </w:r>
            <w:r w:rsidR="005C562F" w:rsidRPr="00C739A6">
              <w:rPr>
                <w:noProof/>
                <w:webHidden/>
              </w:rPr>
            </w:r>
            <w:r w:rsidR="005C562F" w:rsidRPr="00C739A6">
              <w:rPr>
                <w:noProof/>
                <w:webHidden/>
              </w:rPr>
              <w:fldChar w:fldCharType="separate"/>
            </w:r>
            <w:r w:rsidR="00D47803">
              <w:rPr>
                <w:noProof/>
                <w:webHidden/>
              </w:rPr>
              <w:t>24</w:t>
            </w:r>
            <w:r w:rsidR="005C562F" w:rsidRPr="00C739A6">
              <w:rPr>
                <w:noProof/>
                <w:webHidden/>
              </w:rPr>
              <w:fldChar w:fldCharType="end"/>
            </w:r>
          </w:hyperlink>
        </w:p>
        <w:p w14:paraId="5CAA86A9" w14:textId="617920FE" w:rsidR="005C562F" w:rsidRPr="00C739A6" w:rsidRDefault="000718E0">
          <w:pPr>
            <w:pStyle w:val="TOC1"/>
            <w:tabs>
              <w:tab w:val="right" w:leader="dot" w:pos="9016"/>
            </w:tabs>
            <w:rPr>
              <w:rFonts w:eastAsiaTheme="minorEastAsia"/>
              <w:noProof/>
              <w:lang w:eastAsia="en-NZ"/>
            </w:rPr>
          </w:pPr>
          <w:hyperlink w:anchor="_Toc66785678" w:history="1">
            <w:r w:rsidR="005C562F" w:rsidRPr="00C739A6">
              <w:rPr>
                <w:rStyle w:val="Hyperlink"/>
                <w:noProof/>
              </w:rPr>
              <w:t>Appendix B: Timeline April 2007 to present of selected changes to WFF tax credits</w:t>
            </w:r>
            <w:r w:rsidR="005C562F" w:rsidRPr="00C739A6">
              <w:rPr>
                <w:noProof/>
                <w:webHidden/>
              </w:rPr>
              <w:tab/>
            </w:r>
            <w:r w:rsidR="005C562F" w:rsidRPr="00C739A6">
              <w:rPr>
                <w:noProof/>
                <w:webHidden/>
              </w:rPr>
              <w:fldChar w:fldCharType="begin"/>
            </w:r>
            <w:r w:rsidR="005C562F" w:rsidRPr="00C739A6">
              <w:rPr>
                <w:noProof/>
                <w:webHidden/>
              </w:rPr>
              <w:instrText xml:space="preserve"> PAGEREF _Toc66785678 \h </w:instrText>
            </w:r>
            <w:r w:rsidR="005C562F" w:rsidRPr="00C739A6">
              <w:rPr>
                <w:noProof/>
                <w:webHidden/>
              </w:rPr>
            </w:r>
            <w:r w:rsidR="005C562F" w:rsidRPr="00C739A6">
              <w:rPr>
                <w:noProof/>
                <w:webHidden/>
              </w:rPr>
              <w:fldChar w:fldCharType="separate"/>
            </w:r>
            <w:r w:rsidR="00D47803">
              <w:rPr>
                <w:noProof/>
                <w:webHidden/>
              </w:rPr>
              <w:t>26</w:t>
            </w:r>
            <w:r w:rsidR="005C562F" w:rsidRPr="00C739A6">
              <w:rPr>
                <w:noProof/>
                <w:webHidden/>
              </w:rPr>
              <w:fldChar w:fldCharType="end"/>
            </w:r>
          </w:hyperlink>
        </w:p>
        <w:p w14:paraId="48DEBE36" w14:textId="4D079629" w:rsidR="002917CF" w:rsidRPr="00C739A6" w:rsidRDefault="002917CF">
          <w:r w:rsidRPr="00C739A6">
            <w:rPr>
              <w:b/>
              <w:bCs/>
              <w:noProof/>
            </w:rPr>
            <w:fldChar w:fldCharType="end"/>
          </w:r>
        </w:p>
      </w:sdtContent>
    </w:sdt>
    <w:p w14:paraId="5CB18C9F" w14:textId="77777777" w:rsidR="002917CF" w:rsidRPr="00C739A6" w:rsidRDefault="002917CF" w:rsidP="00626901"/>
    <w:p w14:paraId="54190D2B" w14:textId="77777777" w:rsidR="003C4DF7" w:rsidRPr="00C739A6" w:rsidRDefault="003C4DF7" w:rsidP="00626901"/>
    <w:p w14:paraId="601AFF83" w14:textId="77777777" w:rsidR="003C4DF7" w:rsidRPr="00C739A6" w:rsidRDefault="003C4DF7" w:rsidP="00626901"/>
    <w:p w14:paraId="06C93D14" w14:textId="77777777" w:rsidR="003C4DF7" w:rsidRPr="00C739A6" w:rsidRDefault="003C4DF7" w:rsidP="00626901"/>
    <w:p w14:paraId="7138DEBC" w14:textId="77777777" w:rsidR="003C4DF7" w:rsidRPr="00C739A6" w:rsidRDefault="003C4DF7" w:rsidP="00626901"/>
    <w:p w14:paraId="2DC5D486" w14:textId="77777777" w:rsidR="003C4DF7" w:rsidRPr="00C739A6" w:rsidRDefault="003C4DF7" w:rsidP="00626901"/>
    <w:p w14:paraId="1976E6D5" w14:textId="77777777" w:rsidR="003C4DF7" w:rsidRPr="00C739A6" w:rsidRDefault="003C4DF7" w:rsidP="00626901"/>
    <w:p w14:paraId="01823E2B" w14:textId="77777777" w:rsidR="003C4DF7" w:rsidRPr="00C739A6" w:rsidRDefault="003C4DF7" w:rsidP="00626901"/>
    <w:p w14:paraId="49640CD0" w14:textId="77777777" w:rsidR="003C4DF7" w:rsidRPr="00C739A6" w:rsidRDefault="003C4DF7" w:rsidP="00626901"/>
    <w:p w14:paraId="0B166001" w14:textId="62513118" w:rsidR="002917CF" w:rsidRPr="001E4D5D" w:rsidRDefault="002917CF" w:rsidP="00ED3A04">
      <w:pPr>
        <w:pStyle w:val="Heading1"/>
        <w:rPr>
          <w:lang w:val="en-US"/>
        </w:rPr>
      </w:pPr>
      <w:bookmarkStart w:id="4" w:name="_Toc66785659"/>
      <w:r w:rsidRPr="00C739A6">
        <w:lastRenderedPageBreak/>
        <w:t>List of figures and tables</w:t>
      </w:r>
      <w:bookmarkEnd w:id="4"/>
    </w:p>
    <w:p w14:paraId="633151FF" w14:textId="4F5E611F" w:rsidR="006550B2" w:rsidRDefault="002917CF">
      <w:pPr>
        <w:pStyle w:val="TableofFigures"/>
        <w:tabs>
          <w:tab w:val="right" w:leader="dot" w:pos="9016"/>
        </w:tabs>
        <w:rPr>
          <w:rFonts w:eastAsiaTheme="minorEastAsia"/>
          <w:noProof/>
          <w:sz w:val="22"/>
          <w:lang w:eastAsia="en-NZ"/>
        </w:rPr>
      </w:pPr>
      <w:r w:rsidRPr="00C739A6">
        <w:fldChar w:fldCharType="begin"/>
      </w:r>
      <w:r w:rsidRPr="00C739A6">
        <w:instrText xml:space="preserve"> TOC \h \z \c "Figure" </w:instrText>
      </w:r>
      <w:r w:rsidRPr="00C739A6">
        <w:fldChar w:fldCharType="separate"/>
      </w:r>
      <w:hyperlink w:anchor="_Toc69738142" w:history="1">
        <w:r w:rsidR="006550B2" w:rsidRPr="002A4AB2">
          <w:rPr>
            <w:rStyle w:val="Hyperlink"/>
            <w:b/>
            <w:noProof/>
          </w:rPr>
          <w:t>Figure 1:</w:t>
        </w:r>
        <w:r w:rsidR="006550B2" w:rsidRPr="0078546D">
          <w:rPr>
            <w:rStyle w:val="Hyperlink"/>
            <w:noProof/>
          </w:rPr>
          <w:t xml:space="preserve"> Percentage of children living in households in NZ with less than 40%/50%/60% median equivalised disposable household income after housing costs (AHC) for the financial year to June (*to March 2020)- supplementary measures f,g,h. Source: Stats NZ (2021).</w:t>
        </w:r>
        <w:r w:rsidR="006550B2">
          <w:rPr>
            <w:noProof/>
            <w:webHidden/>
          </w:rPr>
          <w:tab/>
        </w:r>
        <w:r w:rsidR="006550B2">
          <w:rPr>
            <w:noProof/>
            <w:webHidden/>
          </w:rPr>
          <w:fldChar w:fldCharType="begin"/>
        </w:r>
        <w:r w:rsidR="006550B2">
          <w:rPr>
            <w:noProof/>
            <w:webHidden/>
          </w:rPr>
          <w:instrText xml:space="preserve"> PAGEREF _Toc69738142 \h </w:instrText>
        </w:r>
        <w:r w:rsidR="006550B2">
          <w:rPr>
            <w:noProof/>
            <w:webHidden/>
          </w:rPr>
        </w:r>
        <w:r w:rsidR="006550B2">
          <w:rPr>
            <w:noProof/>
            <w:webHidden/>
          </w:rPr>
          <w:fldChar w:fldCharType="separate"/>
        </w:r>
        <w:r w:rsidR="00D47803">
          <w:rPr>
            <w:noProof/>
            <w:webHidden/>
          </w:rPr>
          <w:t>6</w:t>
        </w:r>
        <w:r w:rsidR="006550B2">
          <w:rPr>
            <w:noProof/>
            <w:webHidden/>
          </w:rPr>
          <w:fldChar w:fldCharType="end"/>
        </w:r>
      </w:hyperlink>
    </w:p>
    <w:p w14:paraId="76239141" w14:textId="668CE829" w:rsidR="006550B2" w:rsidRDefault="000718E0">
      <w:pPr>
        <w:pStyle w:val="TableofFigures"/>
        <w:tabs>
          <w:tab w:val="right" w:leader="dot" w:pos="9016"/>
        </w:tabs>
        <w:rPr>
          <w:rFonts w:eastAsiaTheme="minorEastAsia"/>
          <w:noProof/>
          <w:sz w:val="22"/>
          <w:lang w:eastAsia="en-NZ"/>
        </w:rPr>
      </w:pPr>
      <w:hyperlink w:anchor="_Toc69738143" w:history="1">
        <w:r w:rsidR="006550B2" w:rsidRPr="002A4AB2">
          <w:rPr>
            <w:rStyle w:val="Hyperlink"/>
            <w:b/>
            <w:noProof/>
          </w:rPr>
          <w:t xml:space="preserve">Figure 2: </w:t>
        </w:r>
        <w:r w:rsidR="006550B2" w:rsidRPr="0078546D">
          <w:rPr>
            <w:rStyle w:val="Hyperlink"/>
            <w:noProof/>
          </w:rPr>
          <w:t>Nominal WFF spending and wage-adjusted spending (in Q4 2020 dollars) 2008 to 2021 (forecasted). Source: 2008-12 figures from Treasury (2013), 2013-17 from Treasury (2018), and 2018-21 from Treasury (2020a).</w:t>
        </w:r>
        <w:r w:rsidR="006550B2">
          <w:rPr>
            <w:noProof/>
            <w:webHidden/>
          </w:rPr>
          <w:tab/>
        </w:r>
        <w:r w:rsidR="006550B2">
          <w:rPr>
            <w:noProof/>
            <w:webHidden/>
          </w:rPr>
          <w:fldChar w:fldCharType="begin"/>
        </w:r>
        <w:r w:rsidR="006550B2">
          <w:rPr>
            <w:noProof/>
            <w:webHidden/>
          </w:rPr>
          <w:instrText xml:space="preserve"> PAGEREF _Toc69738143 \h </w:instrText>
        </w:r>
        <w:r w:rsidR="006550B2">
          <w:rPr>
            <w:noProof/>
            <w:webHidden/>
          </w:rPr>
        </w:r>
        <w:r w:rsidR="006550B2">
          <w:rPr>
            <w:noProof/>
            <w:webHidden/>
          </w:rPr>
          <w:fldChar w:fldCharType="separate"/>
        </w:r>
        <w:r w:rsidR="00D47803">
          <w:rPr>
            <w:noProof/>
            <w:webHidden/>
          </w:rPr>
          <w:t>9</w:t>
        </w:r>
        <w:r w:rsidR="006550B2">
          <w:rPr>
            <w:noProof/>
            <w:webHidden/>
          </w:rPr>
          <w:fldChar w:fldCharType="end"/>
        </w:r>
      </w:hyperlink>
    </w:p>
    <w:p w14:paraId="4D8860DA" w14:textId="67B5E012" w:rsidR="006550B2" w:rsidRDefault="000718E0">
      <w:pPr>
        <w:pStyle w:val="TableofFigures"/>
        <w:tabs>
          <w:tab w:val="right" w:leader="dot" w:pos="9016"/>
        </w:tabs>
        <w:rPr>
          <w:rFonts w:eastAsiaTheme="minorEastAsia"/>
          <w:noProof/>
          <w:sz w:val="22"/>
          <w:lang w:eastAsia="en-NZ"/>
        </w:rPr>
      </w:pPr>
      <w:hyperlink w:anchor="_Toc69738144" w:history="1">
        <w:r w:rsidR="006550B2" w:rsidRPr="002A4AB2">
          <w:rPr>
            <w:rStyle w:val="Hyperlink"/>
            <w:b/>
            <w:noProof/>
          </w:rPr>
          <w:t>Figure 3:</w:t>
        </w:r>
        <w:r w:rsidR="006550B2" w:rsidRPr="0078546D">
          <w:rPr>
            <w:rStyle w:val="Hyperlink"/>
            <w:noProof/>
          </w:rPr>
          <w:t xml:space="preserve"> Average WFF entitlement per recipient family, years ending March 2001 to 2019. Source: Inland Revenue Department (2021d) </w:t>
        </w:r>
        <w:r w:rsidR="006550B2">
          <w:rPr>
            <w:noProof/>
            <w:webHidden/>
          </w:rPr>
          <w:tab/>
        </w:r>
        <w:r w:rsidR="006550B2">
          <w:rPr>
            <w:noProof/>
            <w:webHidden/>
          </w:rPr>
          <w:fldChar w:fldCharType="begin"/>
        </w:r>
        <w:r w:rsidR="006550B2">
          <w:rPr>
            <w:noProof/>
            <w:webHidden/>
          </w:rPr>
          <w:instrText xml:space="preserve"> PAGEREF _Toc69738144 \h </w:instrText>
        </w:r>
        <w:r w:rsidR="006550B2">
          <w:rPr>
            <w:noProof/>
            <w:webHidden/>
          </w:rPr>
        </w:r>
        <w:r w:rsidR="006550B2">
          <w:rPr>
            <w:noProof/>
            <w:webHidden/>
          </w:rPr>
          <w:fldChar w:fldCharType="separate"/>
        </w:r>
        <w:r w:rsidR="00D47803">
          <w:rPr>
            <w:noProof/>
            <w:webHidden/>
          </w:rPr>
          <w:t>10</w:t>
        </w:r>
        <w:r w:rsidR="006550B2">
          <w:rPr>
            <w:noProof/>
            <w:webHidden/>
          </w:rPr>
          <w:fldChar w:fldCharType="end"/>
        </w:r>
      </w:hyperlink>
    </w:p>
    <w:p w14:paraId="03F856F4" w14:textId="13514FEE" w:rsidR="006550B2" w:rsidRDefault="000718E0">
      <w:pPr>
        <w:pStyle w:val="TableofFigures"/>
        <w:tabs>
          <w:tab w:val="right" w:leader="dot" w:pos="9016"/>
        </w:tabs>
        <w:rPr>
          <w:rFonts w:eastAsiaTheme="minorEastAsia"/>
          <w:noProof/>
          <w:sz w:val="22"/>
          <w:lang w:eastAsia="en-NZ"/>
        </w:rPr>
      </w:pPr>
      <w:hyperlink w:anchor="_Toc69738145" w:history="1">
        <w:r w:rsidR="006550B2" w:rsidRPr="002A4AB2">
          <w:rPr>
            <w:rStyle w:val="Hyperlink"/>
            <w:b/>
            <w:noProof/>
          </w:rPr>
          <w:t>Figure 4:</w:t>
        </w:r>
        <w:r w:rsidR="006550B2" w:rsidRPr="0078546D">
          <w:rPr>
            <w:rStyle w:val="Hyperlink"/>
            <w:noProof/>
          </w:rPr>
          <w:t xml:space="preserve"> Number of families claiming WFF payments with non-zero entitlements for years ending March 2003 to 2019. Source: Inland Revenue Department (2021d)</w:t>
        </w:r>
        <w:r w:rsidR="006550B2">
          <w:rPr>
            <w:noProof/>
            <w:webHidden/>
          </w:rPr>
          <w:tab/>
        </w:r>
        <w:r w:rsidR="006550B2">
          <w:rPr>
            <w:noProof/>
            <w:webHidden/>
          </w:rPr>
          <w:fldChar w:fldCharType="begin"/>
        </w:r>
        <w:r w:rsidR="006550B2">
          <w:rPr>
            <w:noProof/>
            <w:webHidden/>
          </w:rPr>
          <w:instrText xml:space="preserve"> PAGEREF _Toc69738145 \h </w:instrText>
        </w:r>
        <w:r w:rsidR="006550B2">
          <w:rPr>
            <w:noProof/>
            <w:webHidden/>
          </w:rPr>
        </w:r>
        <w:r w:rsidR="006550B2">
          <w:rPr>
            <w:noProof/>
            <w:webHidden/>
          </w:rPr>
          <w:fldChar w:fldCharType="separate"/>
        </w:r>
        <w:r w:rsidR="00D47803">
          <w:rPr>
            <w:noProof/>
            <w:webHidden/>
          </w:rPr>
          <w:t>11</w:t>
        </w:r>
        <w:r w:rsidR="006550B2">
          <w:rPr>
            <w:noProof/>
            <w:webHidden/>
          </w:rPr>
          <w:fldChar w:fldCharType="end"/>
        </w:r>
      </w:hyperlink>
    </w:p>
    <w:p w14:paraId="692C7441" w14:textId="4DCE8C72" w:rsidR="006550B2" w:rsidRDefault="000718E0">
      <w:pPr>
        <w:pStyle w:val="TableofFigures"/>
        <w:tabs>
          <w:tab w:val="right" w:leader="dot" w:pos="9016"/>
        </w:tabs>
        <w:rPr>
          <w:rFonts w:eastAsiaTheme="minorEastAsia"/>
          <w:noProof/>
          <w:sz w:val="22"/>
          <w:lang w:eastAsia="en-NZ"/>
        </w:rPr>
      </w:pPr>
      <w:hyperlink w:anchor="_Toc69738146" w:history="1">
        <w:r w:rsidR="006550B2" w:rsidRPr="002A4AB2">
          <w:rPr>
            <w:rStyle w:val="Hyperlink"/>
            <w:b/>
            <w:noProof/>
          </w:rPr>
          <w:t xml:space="preserve">Figure 5: </w:t>
        </w:r>
        <w:r w:rsidR="006550B2" w:rsidRPr="0078546D">
          <w:rPr>
            <w:rStyle w:val="Hyperlink"/>
            <w:noProof/>
          </w:rPr>
          <w:t>WFF abatement threshold 2008-2021 (Y axis starts at $20k; wage &amp; CPI index Q3, 2020)</w:t>
        </w:r>
        <w:r w:rsidR="006550B2">
          <w:rPr>
            <w:noProof/>
            <w:webHidden/>
          </w:rPr>
          <w:tab/>
        </w:r>
        <w:r w:rsidR="006550B2">
          <w:rPr>
            <w:noProof/>
            <w:webHidden/>
          </w:rPr>
          <w:fldChar w:fldCharType="begin"/>
        </w:r>
        <w:r w:rsidR="006550B2">
          <w:rPr>
            <w:noProof/>
            <w:webHidden/>
          </w:rPr>
          <w:instrText xml:space="preserve"> PAGEREF _Toc69738146 \h </w:instrText>
        </w:r>
        <w:r w:rsidR="006550B2">
          <w:rPr>
            <w:noProof/>
            <w:webHidden/>
          </w:rPr>
        </w:r>
        <w:r w:rsidR="006550B2">
          <w:rPr>
            <w:noProof/>
            <w:webHidden/>
          </w:rPr>
          <w:fldChar w:fldCharType="separate"/>
        </w:r>
        <w:r w:rsidR="00D47803">
          <w:rPr>
            <w:noProof/>
            <w:webHidden/>
          </w:rPr>
          <w:t>11</w:t>
        </w:r>
        <w:r w:rsidR="006550B2">
          <w:rPr>
            <w:noProof/>
            <w:webHidden/>
          </w:rPr>
          <w:fldChar w:fldCharType="end"/>
        </w:r>
      </w:hyperlink>
    </w:p>
    <w:p w14:paraId="6974C27E" w14:textId="6D1B23C0" w:rsidR="006550B2" w:rsidRDefault="000718E0">
      <w:pPr>
        <w:pStyle w:val="TableofFigures"/>
        <w:tabs>
          <w:tab w:val="right" w:leader="dot" w:pos="9016"/>
        </w:tabs>
        <w:rPr>
          <w:rFonts w:eastAsiaTheme="minorEastAsia"/>
          <w:noProof/>
          <w:sz w:val="22"/>
          <w:lang w:eastAsia="en-NZ"/>
        </w:rPr>
      </w:pPr>
      <w:hyperlink w:anchor="_Toc69738147" w:history="1">
        <w:r w:rsidR="006550B2" w:rsidRPr="002A4AB2">
          <w:rPr>
            <w:rStyle w:val="Hyperlink"/>
            <w:b/>
            <w:noProof/>
          </w:rPr>
          <w:t xml:space="preserve">Figure 6: </w:t>
        </w:r>
        <w:r w:rsidR="006550B2" w:rsidRPr="0078546D">
          <w:rPr>
            <w:rStyle w:val="Hyperlink"/>
            <w:noProof/>
          </w:rPr>
          <w:t>FTC rates for children aged 0-12, indexed to wages 2008-2021 (Q3 2020 dollars)</w:t>
        </w:r>
        <w:r w:rsidR="006550B2">
          <w:rPr>
            <w:noProof/>
            <w:webHidden/>
          </w:rPr>
          <w:tab/>
        </w:r>
        <w:r w:rsidR="006550B2">
          <w:rPr>
            <w:noProof/>
            <w:webHidden/>
          </w:rPr>
          <w:fldChar w:fldCharType="begin"/>
        </w:r>
        <w:r w:rsidR="006550B2">
          <w:rPr>
            <w:noProof/>
            <w:webHidden/>
          </w:rPr>
          <w:instrText xml:space="preserve"> PAGEREF _Toc69738147 \h </w:instrText>
        </w:r>
        <w:r w:rsidR="006550B2">
          <w:rPr>
            <w:noProof/>
            <w:webHidden/>
          </w:rPr>
        </w:r>
        <w:r w:rsidR="006550B2">
          <w:rPr>
            <w:noProof/>
            <w:webHidden/>
          </w:rPr>
          <w:fldChar w:fldCharType="separate"/>
        </w:r>
        <w:r w:rsidR="00D47803">
          <w:rPr>
            <w:noProof/>
            <w:webHidden/>
          </w:rPr>
          <w:t>13</w:t>
        </w:r>
        <w:r w:rsidR="006550B2">
          <w:rPr>
            <w:noProof/>
            <w:webHidden/>
          </w:rPr>
          <w:fldChar w:fldCharType="end"/>
        </w:r>
      </w:hyperlink>
    </w:p>
    <w:p w14:paraId="3F5656A8" w14:textId="7BB8FA48" w:rsidR="006550B2" w:rsidRDefault="000718E0">
      <w:pPr>
        <w:pStyle w:val="TableofFigures"/>
        <w:tabs>
          <w:tab w:val="right" w:leader="dot" w:pos="9016"/>
        </w:tabs>
        <w:rPr>
          <w:rFonts w:eastAsiaTheme="minorEastAsia"/>
          <w:noProof/>
          <w:sz w:val="22"/>
          <w:lang w:eastAsia="en-NZ"/>
        </w:rPr>
      </w:pPr>
      <w:hyperlink w:anchor="_Toc69738148" w:history="1">
        <w:r w:rsidR="006550B2" w:rsidRPr="002A4AB2">
          <w:rPr>
            <w:rStyle w:val="Hyperlink"/>
            <w:b/>
            <w:noProof/>
          </w:rPr>
          <w:t>Figure 7:</w:t>
        </w:r>
        <w:r w:rsidR="006550B2" w:rsidRPr="0078546D">
          <w:rPr>
            <w:rStyle w:val="Hyperlink"/>
            <w:noProof/>
          </w:rPr>
          <w:t xml:space="preserve"> FTC rates for young people 16-18, indexed to wages 2008-2021 (Q3 2020 dollars)</w:t>
        </w:r>
        <w:r w:rsidR="006550B2">
          <w:rPr>
            <w:noProof/>
            <w:webHidden/>
          </w:rPr>
          <w:tab/>
        </w:r>
        <w:r w:rsidR="006550B2">
          <w:rPr>
            <w:noProof/>
            <w:webHidden/>
          </w:rPr>
          <w:fldChar w:fldCharType="begin"/>
        </w:r>
        <w:r w:rsidR="006550B2">
          <w:rPr>
            <w:noProof/>
            <w:webHidden/>
          </w:rPr>
          <w:instrText xml:space="preserve"> PAGEREF _Toc69738148 \h </w:instrText>
        </w:r>
        <w:r w:rsidR="006550B2">
          <w:rPr>
            <w:noProof/>
            <w:webHidden/>
          </w:rPr>
        </w:r>
        <w:r w:rsidR="006550B2">
          <w:rPr>
            <w:noProof/>
            <w:webHidden/>
          </w:rPr>
          <w:fldChar w:fldCharType="separate"/>
        </w:r>
        <w:r w:rsidR="00D47803">
          <w:rPr>
            <w:noProof/>
            <w:webHidden/>
          </w:rPr>
          <w:t>14</w:t>
        </w:r>
        <w:r w:rsidR="006550B2">
          <w:rPr>
            <w:noProof/>
            <w:webHidden/>
          </w:rPr>
          <w:fldChar w:fldCharType="end"/>
        </w:r>
      </w:hyperlink>
    </w:p>
    <w:p w14:paraId="6E4740AC" w14:textId="35D6E3C1" w:rsidR="006550B2" w:rsidRDefault="000718E0">
      <w:pPr>
        <w:pStyle w:val="TableofFigures"/>
        <w:tabs>
          <w:tab w:val="right" w:leader="dot" w:pos="9016"/>
        </w:tabs>
        <w:rPr>
          <w:rFonts w:eastAsiaTheme="minorEastAsia"/>
          <w:noProof/>
          <w:sz w:val="22"/>
          <w:lang w:eastAsia="en-NZ"/>
        </w:rPr>
      </w:pPr>
      <w:hyperlink w:anchor="_Toc69738149" w:history="1">
        <w:r w:rsidR="006550B2" w:rsidRPr="002A4AB2">
          <w:rPr>
            <w:rStyle w:val="Hyperlink"/>
            <w:b/>
            <w:noProof/>
          </w:rPr>
          <w:t xml:space="preserve">Figure 8: </w:t>
        </w:r>
        <w:r w:rsidR="006550B2" w:rsidRPr="0078546D">
          <w:rPr>
            <w:rStyle w:val="Hyperlink"/>
            <w:noProof/>
          </w:rPr>
          <w:t>IWTC maximum rates indexed to wages 2008-2021 (in Q3 2020 dollars)</w:t>
        </w:r>
        <w:r w:rsidR="006550B2">
          <w:rPr>
            <w:noProof/>
            <w:webHidden/>
          </w:rPr>
          <w:tab/>
        </w:r>
        <w:r w:rsidR="006550B2">
          <w:rPr>
            <w:noProof/>
            <w:webHidden/>
          </w:rPr>
          <w:fldChar w:fldCharType="begin"/>
        </w:r>
        <w:r w:rsidR="006550B2">
          <w:rPr>
            <w:noProof/>
            <w:webHidden/>
          </w:rPr>
          <w:instrText xml:space="preserve"> PAGEREF _Toc69738149 \h </w:instrText>
        </w:r>
        <w:r w:rsidR="006550B2">
          <w:rPr>
            <w:noProof/>
            <w:webHidden/>
          </w:rPr>
        </w:r>
        <w:r w:rsidR="006550B2">
          <w:rPr>
            <w:noProof/>
            <w:webHidden/>
          </w:rPr>
          <w:fldChar w:fldCharType="separate"/>
        </w:r>
        <w:r w:rsidR="00D47803">
          <w:rPr>
            <w:noProof/>
            <w:webHidden/>
          </w:rPr>
          <w:t>15</w:t>
        </w:r>
        <w:r w:rsidR="006550B2">
          <w:rPr>
            <w:noProof/>
            <w:webHidden/>
          </w:rPr>
          <w:fldChar w:fldCharType="end"/>
        </w:r>
      </w:hyperlink>
    </w:p>
    <w:p w14:paraId="3E88F7ED" w14:textId="71C389A7" w:rsidR="006550B2" w:rsidRDefault="000718E0">
      <w:pPr>
        <w:pStyle w:val="TableofFigures"/>
        <w:tabs>
          <w:tab w:val="right" w:leader="dot" w:pos="9016"/>
        </w:tabs>
        <w:rPr>
          <w:rFonts w:eastAsiaTheme="minorEastAsia"/>
          <w:noProof/>
          <w:sz w:val="22"/>
          <w:lang w:eastAsia="en-NZ"/>
        </w:rPr>
      </w:pPr>
      <w:hyperlink w:anchor="_Toc69738150" w:history="1">
        <w:r w:rsidR="006550B2" w:rsidRPr="002A4AB2">
          <w:rPr>
            <w:rStyle w:val="Hyperlink"/>
            <w:b/>
            <w:noProof/>
          </w:rPr>
          <w:t xml:space="preserve">Figure 9: </w:t>
        </w:r>
        <w:r w:rsidR="006550B2" w:rsidRPr="0078546D">
          <w:rPr>
            <w:rStyle w:val="Hyperlink"/>
            <w:noProof/>
          </w:rPr>
          <w:t>Family One and Family Two WFF rates, wage indexed for 2008-2021 (in Q3 2020 dollars)</w:t>
        </w:r>
        <w:r w:rsidR="006550B2">
          <w:rPr>
            <w:noProof/>
            <w:webHidden/>
          </w:rPr>
          <w:tab/>
        </w:r>
        <w:r w:rsidR="006550B2">
          <w:rPr>
            <w:noProof/>
            <w:webHidden/>
          </w:rPr>
          <w:fldChar w:fldCharType="begin"/>
        </w:r>
        <w:r w:rsidR="006550B2">
          <w:rPr>
            <w:noProof/>
            <w:webHidden/>
          </w:rPr>
          <w:instrText xml:space="preserve"> PAGEREF _Toc69738150 \h </w:instrText>
        </w:r>
        <w:r w:rsidR="006550B2">
          <w:rPr>
            <w:noProof/>
            <w:webHidden/>
          </w:rPr>
        </w:r>
        <w:r w:rsidR="006550B2">
          <w:rPr>
            <w:noProof/>
            <w:webHidden/>
          </w:rPr>
          <w:fldChar w:fldCharType="separate"/>
        </w:r>
        <w:r w:rsidR="00D47803">
          <w:rPr>
            <w:noProof/>
            <w:webHidden/>
          </w:rPr>
          <w:t>16</w:t>
        </w:r>
        <w:r w:rsidR="006550B2">
          <w:rPr>
            <w:noProof/>
            <w:webHidden/>
          </w:rPr>
          <w:fldChar w:fldCharType="end"/>
        </w:r>
      </w:hyperlink>
    </w:p>
    <w:p w14:paraId="279C193D" w14:textId="0231FFE7" w:rsidR="006550B2" w:rsidRDefault="000718E0">
      <w:pPr>
        <w:pStyle w:val="TableofFigures"/>
        <w:tabs>
          <w:tab w:val="right" w:leader="dot" w:pos="9016"/>
        </w:tabs>
        <w:rPr>
          <w:rFonts w:eastAsiaTheme="minorEastAsia"/>
          <w:noProof/>
          <w:sz w:val="22"/>
          <w:lang w:eastAsia="en-NZ"/>
        </w:rPr>
      </w:pPr>
      <w:hyperlink w:anchor="_Toc69738151" w:history="1">
        <w:r w:rsidR="006550B2" w:rsidRPr="002A4AB2">
          <w:rPr>
            <w:rStyle w:val="Hyperlink"/>
            <w:b/>
            <w:noProof/>
          </w:rPr>
          <w:t xml:space="preserve">Figure 10: </w:t>
        </w:r>
        <w:r w:rsidR="006550B2" w:rsidRPr="0078546D">
          <w:rPr>
            <w:rStyle w:val="Hyperlink"/>
            <w:noProof/>
          </w:rPr>
          <w:t>Family Three and Family Four WFF rates, wage indexed for 2008-21 (in Q3 2020 dollars)</w:t>
        </w:r>
        <w:r w:rsidR="006550B2">
          <w:rPr>
            <w:noProof/>
            <w:webHidden/>
          </w:rPr>
          <w:tab/>
        </w:r>
        <w:r w:rsidR="006550B2">
          <w:rPr>
            <w:noProof/>
            <w:webHidden/>
          </w:rPr>
          <w:fldChar w:fldCharType="begin"/>
        </w:r>
        <w:r w:rsidR="006550B2">
          <w:rPr>
            <w:noProof/>
            <w:webHidden/>
          </w:rPr>
          <w:instrText xml:space="preserve"> PAGEREF _Toc69738151 \h </w:instrText>
        </w:r>
        <w:r w:rsidR="006550B2">
          <w:rPr>
            <w:noProof/>
            <w:webHidden/>
          </w:rPr>
        </w:r>
        <w:r w:rsidR="006550B2">
          <w:rPr>
            <w:noProof/>
            <w:webHidden/>
          </w:rPr>
          <w:fldChar w:fldCharType="separate"/>
        </w:r>
        <w:r w:rsidR="00D47803">
          <w:rPr>
            <w:noProof/>
            <w:webHidden/>
          </w:rPr>
          <w:t>17</w:t>
        </w:r>
        <w:r w:rsidR="006550B2">
          <w:rPr>
            <w:noProof/>
            <w:webHidden/>
          </w:rPr>
          <w:fldChar w:fldCharType="end"/>
        </w:r>
      </w:hyperlink>
    </w:p>
    <w:p w14:paraId="2A810058" w14:textId="6297B23B" w:rsidR="006550B2" w:rsidRDefault="000718E0">
      <w:pPr>
        <w:pStyle w:val="TableofFigures"/>
        <w:tabs>
          <w:tab w:val="right" w:leader="dot" w:pos="9016"/>
        </w:tabs>
        <w:rPr>
          <w:rFonts w:eastAsiaTheme="minorEastAsia"/>
          <w:noProof/>
          <w:sz w:val="22"/>
          <w:lang w:eastAsia="en-NZ"/>
        </w:rPr>
      </w:pPr>
      <w:hyperlink w:anchor="_Toc69738152" w:history="1">
        <w:r w:rsidR="006550B2" w:rsidRPr="002A4AB2">
          <w:rPr>
            <w:rStyle w:val="Hyperlink"/>
            <w:b/>
            <w:noProof/>
          </w:rPr>
          <w:t xml:space="preserve">Figure 11: </w:t>
        </w:r>
        <w:r w:rsidR="006550B2" w:rsidRPr="0078546D">
          <w:rPr>
            <w:rStyle w:val="Hyperlink"/>
            <w:noProof/>
          </w:rPr>
          <w:t>Family Five and Family Six WFF rates, wage indexed for 2008-21 (in Q3 2020 dollars)</w:t>
        </w:r>
        <w:r w:rsidR="006550B2">
          <w:rPr>
            <w:noProof/>
            <w:webHidden/>
          </w:rPr>
          <w:tab/>
        </w:r>
        <w:r w:rsidR="006550B2">
          <w:rPr>
            <w:noProof/>
            <w:webHidden/>
          </w:rPr>
          <w:fldChar w:fldCharType="begin"/>
        </w:r>
        <w:r w:rsidR="006550B2">
          <w:rPr>
            <w:noProof/>
            <w:webHidden/>
          </w:rPr>
          <w:instrText xml:space="preserve"> PAGEREF _Toc69738152 \h </w:instrText>
        </w:r>
        <w:r w:rsidR="006550B2">
          <w:rPr>
            <w:noProof/>
            <w:webHidden/>
          </w:rPr>
        </w:r>
        <w:r w:rsidR="006550B2">
          <w:rPr>
            <w:noProof/>
            <w:webHidden/>
          </w:rPr>
          <w:fldChar w:fldCharType="separate"/>
        </w:r>
        <w:r w:rsidR="00D47803">
          <w:rPr>
            <w:noProof/>
            <w:webHidden/>
          </w:rPr>
          <w:t>17</w:t>
        </w:r>
        <w:r w:rsidR="006550B2">
          <w:rPr>
            <w:noProof/>
            <w:webHidden/>
          </w:rPr>
          <w:fldChar w:fldCharType="end"/>
        </w:r>
      </w:hyperlink>
    </w:p>
    <w:p w14:paraId="746DC1DA" w14:textId="77777777" w:rsidR="002917CF" w:rsidRPr="00C739A6" w:rsidRDefault="002917CF" w:rsidP="002917CF">
      <w:pPr>
        <w:spacing w:after="120"/>
        <w:ind w:left="864" w:hanging="864"/>
      </w:pPr>
      <w:r w:rsidRPr="00C739A6">
        <w:fldChar w:fldCharType="end"/>
      </w:r>
    </w:p>
    <w:p w14:paraId="6288B6D8" w14:textId="602DB951" w:rsidR="007D4320" w:rsidRDefault="002917CF">
      <w:pPr>
        <w:pStyle w:val="TableofFigures"/>
        <w:tabs>
          <w:tab w:val="right" w:leader="dot" w:pos="9016"/>
        </w:tabs>
        <w:rPr>
          <w:rFonts w:eastAsiaTheme="minorEastAsia"/>
          <w:noProof/>
          <w:sz w:val="22"/>
          <w:lang w:eastAsia="en-NZ"/>
        </w:rPr>
      </w:pPr>
      <w:r w:rsidRPr="00C739A6">
        <w:fldChar w:fldCharType="begin"/>
      </w:r>
      <w:r w:rsidRPr="00C739A6">
        <w:instrText xml:space="preserve"> TOC \h \z \c "Table" </w:instrText>
      </w:r>
      <w:r w:rsidRPr="00C739A6">
        <w:fldChar w:fldCharType="separate"/>
      </w:r>
      <w:hyperlink w:anchor="_Toc70079148" w:history="1">
        <w:r w:rsidR="007D4320" w:rsidRPr="007D4320">
          <w:rPr>
            <w:rStyle w:val="Hyperlink"/>
            <w:b/>
            <w:noProof/>
          </w:rPr>
          <w:t xml:space="preserve">Table 1: </w:t>
        </w:r>
        <w:r w:rsidR="007D4320" w:rsidRPr="001A6F82">
          <w:rPr>
            <w:rStyle w:val="Hyperlink"/>
            <w:noProof/>
          </w:rPr>
          <w:t>2018-2021 WFF expenditure, nominal and wage-indexed ($M)</w:t>
        </w:r>
        <w:r w:rsidR="007D4320">
          <w:rPr>
            <w:noProof/>
            <w:webHidden/>
          </w:rPr>
          <w:tab/>
        </w:r>
        <w:r w:rsidR="007D4320">
          <w:rPr>
            <w:noProof/>
            <w:webHidden/>
          </w:rPr>
          <w:fldChar w:fldCharType="begin"/>
        </w:r>
        <w:r w:rsidR="007D4320">
          <w:rPr>
            <w:noProof/>
            <w:webHidden/>
          </w:rPr>
          <w:instrText xml:space="preserve"> PAGEREF _Toc70079148 \h </w:instrText>
        </w:r>
        <w:r w:rsidR="007D4320">
          <w:rPr>
            <w:noProof/>
            <w:webHidden/>
          </w:rPr>
        </w:r>
        <w:r w:rsidR="007D4320">
          <w:rPr>
            <w:noProof/>
            <w:webHidden/>
          </w:rPr>
          <w:fldChar w:fldCharType="separate"/>
        </w:r>
        <w:r w:rsidR="00D47803">
          <w:rPr>
            <w:noProof/>
            <w:webHidden/>
          </w:rPr>
          <w:t>9</w:t>
        </w:r>
        <w:r w:rsidR="007D4320">
          <w:rPr>
            <w:noProof/>
            <w:webHidden/>
          </w:rPr>
          <w:fldChar w:fldCharType="end"/>
        </w:r>
      </w:hyperlink>
    </w:p>
    <w:p w14:paraId="31DB636C" w14:textId="754B2B56" w:rsidR="007D4320" w:rsidRDefault="000718E0">
      <w:pPr>
        <w:pStyle w:val="TableofFigures"/>
        <w:tabs>
          <w:tab w:val="right" w:leader="dot" w:pos="9016"/>
        </w:tabs>
        <w:rPr>
          <w:rFonts w:eastAsiaTheme="minorEastAsia"/>
          <w:noProof/>
          <w:sz w:val="22"/>
          <w:lang w:eastAsia="en-NZ"/>
        </w:rPr>
      </w:pPr>
      <w:hyperlink w:anchor="_Toc70079149" w:history="1">
        <w:r w:rsidR="007D4320" w:rsidRPr="007D4320">
          <w:rPr>
            <w:rStyle w:val="Hyperlink"/>
            <w:b/>
            <w:noProof/>
          </w:rPr>
          <w:t xml:space="preserve">Table 2: </w:t>
        </w:r>
        <w:r w:rsidR="007D4320" w:rsidRPr="001A6F82">
          <w:rPr>
            <w:rStyle w:val="Hyperlink"/>
            <w:noProof/>
          </w:rPr>
          <w:t>Details of representative families used for modelling purposes</w:t>
        </w:r>
        <w:r w:rsidR="007D4320">
          <w:rPr>
            <w:noProof/>
            <w:webHidden/>
          </w:rPr>
          <w:tab/>
        </w:r>
        <w:r w:rsidR="007D4320">
          <w:rPr>
            <w:noProof/>
            <w:webHidden/>
          </w:rPr>
          <w:fldChar w:fldCharType="begin"/>
        </w:r>
        <w:r w:rsidR="007D4320">
          <w:rPr>
            <w:noProof/>
            <w:webHidden/>
          </w:rPr>
          <w:instrText xml:space="preserve"> PAGEREF _Toc70079149 \h </w:instrText>
        </w:r>
        <w:r w:rsidR="007D4320">
          <w:rPr>
            <w:noProof/>
            <w:webHidden/>
          </w:rPr>
        </w:r>
        <w:r w:rsidR="007D4320">
          <w:rPr>
            <w:noProof/>
            <w:webHidden/>
          </w:rPr>
          <w:fldChar w:fldCharType="separate"/>
        </w:r>
        <w:r w:rsidR="00D47803">
          <w:rPr>
            <w:noProof/>
            <w:webHidden/>
          </w:rPr>
          <w:t>15</w:t>
        </w:r>
        <w:r w:rsidR="007D4320">
          <w:rPr>
            <w:noProof/>
            <w:webHidden/>
          </w:rPr>
          <w:fldChar w:fldCharType="end"/>
        </w:r>
      </w:hyperlink>
    </w:p>
    <w:p w14:paraId="4881EFBD" w14:textId="77B8D89F" w:rsidR="007D4320" w:rsidRDefault="000718E0">
      <w:pPr>
        <w:pStyle w:val="TableofFigures"/>
        <w:tabs>
          <w:tab w:val="right" w:leader="dot" w:pos="9016"/>
        </w:tabs>
        <w:rPr>
          <w:rFonts w:eastAsiaTheme="minorEastAsia"/>
          <w:noProof/>
          <w:sz w:val="22"/>
          <w:lang w:eastAsia="en-NZ"/>
        </w:rPr>
      </w:pPr>
      <w:hyperlink w:anchor="_Toc70079150" w:history="1">
        <w:r w:rsidR="007D4320" w:rsidRPr="007D4320">
          <w:rPr>
            <w:rStyle w:val="Hyperlink"/>
            <w:b/>
            <w:noProof/>
          </w:rPr>
          <w:t xml:space="preserve">Table 3: </w:t>
        </w:r>
        <w:r w:rsidR="007D4320" w:rsidRPr="001A6F82">
          <w:rPr>
            <w:rStyle w:val="Hyperlink"/>
            <w:noProof/>
          </w:rPr>
          <w:t>Difference in value of average weekly WFF payments (as a result of the Families Package introduced July 2018 (wage-indexed, in Q3 2020 dollars)) March year 2019/20 vs 2007/08</w:t>
        </w:r>
        <w:r w:rsidR="007D4320">
          <w:rPr>
            <w:noProof/>
            <w:webHidden/>
          </w:rPr>
          <w:tab/>
        </w:r>
        <w:r w:rsidR="007D4320">
          <w:rPr>
            <w:noProof/>
            <w:webHidden/>
          </w:rPr>
          <w:fldChar w:fldCharType="begin"/>
        </w:r>
        <w:r w:rsidR="007D4320">
          <w:rPr>
            <w:noProof/>
            <w:webHidden/>
          </w:rPr>
          <w:instrText xml:space="preserve"> PAGEREF _Toc70079150 \h </w:instrText>
        </w:r>
        <w:r w:rsidR="007D4320">
          <w:rPr>
            <w:noProof/>
            <w:webHidden/>
          </w:rPr>
        </w:r>
        <w:r w:rsidR="007D4320">
          <w:rPr>
            <w:noProof/>
            <w:webHidden/>
          </w:rPr>
          <w:fldChar w:fldCharType="separate"/>
        </w:r>
        <w:r w:rsidR="00D47803">
          <w:rPr>
            <w:noProof/>
            <w:webHidden/>
          </w:rPr>
          <w:t>16</w:t>
        </w:r>
        <w:r w:rsidR="007D4320">
          <w:rPr>
            <w:noProof/>
            <w:webHidden/>
          </w:rPr>
          <w:fldChar w:fldCharType="end"/>
        </w:r>
      </w:hyperlink>
    </w:p>
    <w:p w14:paraId="3BD706C5" w14:textId="0EF3EF1A" w:rsidR="007D4320" w:rsidRDefault="000718E0">
      <w:pPr>
        <w:pStyle w:val="TableofFigures"/>
        <w:tabs>
          <w:tab w:val="right" w:leader="dot" w:pos="9016"/>
        </w:tabs>
        <w:rPr>
          <w:rFonts w:eastAsiaTheme="minorEastAsia"/>
          <w:noProof/>
          <w:sz w:val="22"/>
          <w:lang w:eastAsia="en-NZ"/>
        </w:rPr>
      </w:pPr>
      <w:hyperlink w:anchor="_Toc70079151" w:history="1">
        <w:r w:rsidR="007D4320" w:rsidRPr="007D4320">
          <w:rPr>
            <w:rStyle w:val="Hyperlink"/>
            <w:b/>
            <w:noProof/>
          </w:rPr>
          <w:t xml:space="preserve">Table 4: </w:t>
        </w:r>
        <w:r w:rsidR="007D4320" w:rsidRPr="001A6F82">
          <w:rPr>
            <w:rStyle w:val="Hyperlink"/>
            <w:noProof/>
          </w:rPr>
          <w:t>Weekly WFF rates for six model families, indexed to wages with 2018 base year for years ending June 2019-2021, calculating cumulative relative loss without this indexation</w:t>
        </w:r>
        <w:r w:rsidR="007D4320">
          <w:rPr>
            <w:noProof/>
            <w:webHidden/>
          </w:rPr>
          <w:tab/>
        </w:r>
        <w:r w:rsidR="007D4320">
          <w:rPr>
            <w:noProof/>
            <w:webHidden/>
          </w:rPr>
          <w:fldChar w:fldCharType="begin"/>
        </w:r>
        <w:r w:rsidR="007D4320">
          <w:rPr>
            <w:noProof/>
            <w:webHidden/>
          </w:rPr>
          <w:instrText xml:space="preserve"> PAGEREF _Toc70079151 \h </w:instrText>
        </w:r>
        <w:r w:rsidR="007D4320">
          <w:rPr>
            <w:noProof/>
            <w:webHidden/>
          </w:rPr>
        </w:r>
        <w:r w:rsidR="007D4320">
          <w:rPr>
            <w:noProof/>
            <w:webHidden/>
          </w:rPr>
          <w:fldChar w:fldCharType="separate"/>
        </w:r>
        <w:r w:rsidR="00D47803">
          <w:rPr>
            <w:noProof/>
            <w:webHidden/>
          </w:rPr>
          <w:t>18</w:t>
        </w:r>
        <w:r w:rsidR="007D4320">
          <w:rPr>
            <w:noProof/>
            <w:webHidden/>
          </w:rPr>
          <w:fldChar w:fldCharType="end"/>
        </w:r>
      </w:hyperlink>
    </w:p>
    <w:p w14:paraId="432B76A1" w14:textId="101C87BE" w:rsidR="007D4320" w:rsidRDefault="000718E0">
      <w:pPr>
        <w:pStyle w:val="TableofFigures"/>
        <w:tabs>
          <w:tab w:val="right" w:leader="dot" w:pos="9016"/>
        </w:tabs>
        <w:rPr>
          <w:rFonts w:eastAsiaTheme="minorEastAsia"/>
          <w:noProof/>
          <w:sz w:val="22"/>
          <w:lang w:eastAsia="en-NZ"/>
        </w:rPr>
      </w:pPr>
      <w:hyperlink w:anchor="_Toc70079152" w:history="1">
        <w:r w:rsidR="007D4320" w:rsidRPr="007D4320">
          <w:rPr>
            <w:rStyle w:val="Hyperlink"/>
            <w:b/>
            <w:noProof/>
          </w:rPr>
          <w:t>Table 5</w:t>
        </w:r>
        <w:r w:rsidR="007D4320" w:rsidRPr="001A6F82">
          <w:rPr>
            <w:rStyle w:val="Hyperlink"/>
            <w:noProof/>
          </w:rPr>
          <w:t>: Working for Families abatement threshold and abatement rate (averaged over year) for years ending March 2008-21</w:t>
        </w:r>
        <w:r w:rsidR="007D4320">
          <w:rPr>
            <w:noProof/>
            <w:webHidden/>
          </w:rPr>
          <w:tab/>
        </w:r>
        <w:r w:rsidR="007D4320">
          <w:rPr>
            <w:noProof/>
            <w:webHidden/>
          </w:rPr>
          <w:fldChar w:fldCharType="begin"/>
        </w:r>
        <w:r w:rsidR="007D4320">
          <w:rPr>
            <w:noProof/>
            <w:webHidden/>
          </w:rPr>
          <w:instrText xml:space="preserve"> PAGEREF _Toc70079152 \h </w:instrText>
        </w:r>
        <w:r w:rsidR="007D4320">
          <w:rPr>
            <w:noProof/>
            <w:webHidden/>
          </w:rPr>
        </w:r>
        <w:r w:rsidR="007D4320">
          <w:rPr>
            <w:noProof/>
            <w:webHidden/>
          </w:rPr>
          <w:fldChar w:fldCharType="separate"/>
        </w:r>
        <w:r w:rsidR="00D47803">
          <w:rPr>
            <w:noProof/>
            <w:webHidden/>
          </w:rPr>
          <w:t>24</w:t>
        </w:r>
        <w:r w:rsidR="007D4320">
          <w:rPr>
            <w:noProof/>
            <w:webHidden/>
          </w:rPr>
          <w:fldChar w:fldCharType="end"/>
        </w:r>
      </w:hyperlink>
    </w:p>
    <w:p w14:paraId="7572C7C4" w14:textId="03ED63D7" w:rsidR="007D4320" w:rsidRDefault="000718E0">
      <w:pPr>
        <w:pStyle w:val="TableofFigures"/>
        <w:tabs>
          <w:tab w:val="right" w:leader="dot" w:pos="9016"/>
        </w:tabs>
        <w:rPr>
          <w:rFonts w:eastAsiaTheme="minorEastAsia"/>
          <w:noProof/>
          <w:sz w:val="22"/>
          <w:lang w:eastAsia="en-NZ"/>
        </w:rPr>
      </w:pPr>
      <w:hyperlink w:anchor="_Toc70079153" w:history="1">
        <w:r w:rsidR="007D4320" w:rsidRPr="007D4320">
          <w:rPr>
            <w:rStyle w:val="Hyperlink"/>
            <w:b/>
            <w:noProof/>
          </w:rPr>
          <w:t>Table 6:</w:t>
        </w:r>
        <w:r w:rsidR="007D4320" w:rsidRPr="001A6F82">
          <w:rPr>
            <w:rStyle w:val="Hyperlink"/>
            <w:noProof/>
          </w:rPr>
          <w:t xml:space="preserve"> Average weekly Family Tax Credit nominal values for years ended March 2008 to 2021</w:t>
        </w:r>
        <w:r w:rsidR="007D4320">
          <w:rPr>
            <w:noProof/>
            <w:webHidden/>
          </w:rPr>
          <w:tab/>
        </w:r>
        <w:r w:rsidR="007D4320">
          <w:rPr>
            <w:noProof/>
            <w:webHidden/>
          </w:rPr>
          <w:fldChar w:fldCharType="begin"/>
        </w:r>
        <w:r w:rsidR="007D4320">
          <w:rPr>
            <w:noProof/>
            <w:webHidden/>
          </w:rPr>
          <w:instrText xml:space="preserve"> PAGEREF _Toc70079153 \h </w:instrText>
        </w:r>
        <w:r w:rsidR="007D4320">
          <w:rPr>
            <w:noProof/>
            <w:webHidden/>
          </w:rPr>
        </w:r>
        <w:r w:rsidR="007D4320">
          <w:rPr>
            <w:noProof/>
            <w:webHidden/>
          </w:rPr>
          <w:fldChar w:fldCharType="separate"/>
        </w:r>
        <w:r w:rsidR="00D47803">
          <w:rPr>
            <w:noProof/>
            <w:webHidden/>
          </w:rPr>
          <w:t>24</w:t>
        </w:r>
        <w:r w:rsidR="007D4320">
          <w:rPr>
            <w:noProof/>
            <w:webHidden/>
          </w:rPr>
          <w:fldChar w:fldCharType="end"/>
        </w:r>
      </w:hyperlink>
    </w:p>
    <w:p w14:paraId="4F669CC5" w14:textId="5AE15383" w:rsidR="007D4320" w:rsidRDefault="000718E0">
      <w:pPr>
        <w:pStyle w:val="TableofFigures"/>
        <w:tabs>
          <w:tab w:val="right" w:leader="dot" w:pos="9016"/>
        </w:tabs>
        <w:rPr>
          <w:rFonts w:eastAsiaTheme="minorEastAsia"/>
          <w:noProof/>
          <w:sz w:val="22"/>
          <w:lang w:eastAsia="en-NZ"/>
        </w:rPr>
      </w:pPr>
      <w:hyperlink w:anchor="_Toc70079154" w:history="1">
        <w:r w:rsidR="007D4320" w:rsidRPr="007D4320">
          <w:rPr>
            <w:rStyle w:val="Hyperlink"/>
            <w:b/>
            <w:noProof/>
          </w:rPr>
          <w:t>Table 7</w:t>
        </w:r>
        <w:r w:rsidR="007D4320" w:rsidRPr="001A6F82">
          <w:rPr>
            <w:rStyle w:val="Hyperlink"/>
            <w:noProof/>
          </w:rPr>
          <w:t>: Family Tax Credit average weekly rates for years ending March 2008-2021, indexed to wages (in Q3 2020 dollars)</w:t>
        </w:r>
        <w:r w:rsidR="007D4320">
          <w:rPr>
            <w:noProof/>
            <w:webHidden/>
          </w:rPr>
          <w:tab/>
        </w:r>
        <w:r w:rsidR="007D4320">
          <w:rPr>
            <w:noProof/>
            <w:webHidden/>
          </w:rPr>
          <w:fldChar w:fldCharType="begin"/>
        </w:r>
        <w:r w:rsidR="007D4320">
          <w:rPr>
            <w:noProof/>
            <w:webHidden/>
          </w:rPr>
          <w:instrText xml:space="preserve"> PAGEREF _Toc70079154 \h </w:instrText>
        </w:r>
        <w:r w:rsidR="007D4320">
          <w:rPr>
            <w:noProof/>
            <w:webHidden/>
          </w:rPr>
        </w:r>
        <w:r w:rsidR="007D4320">
          <w:rPr>
            <w:noProof/>
            <w:webHidden/>
          </w:rPr>
          <w:fldChar w:fldCharType="separate"/>
        </w:r>
        <w:r w:rsidR="00D47803">
          <w:rPr>
            <w:noProof/>
            <w:webHidden/>
          </w:rPr>
          <w:t>24</w:t>
        </w:r>
        <w:r w:rsidR="007D4320">
          <w:rPr>
            <w:noProof/>
            <w:webHidden/>
          </w:rPr>
          <w:fldChar w:fldCharType="end"/>
        </w:r>
      </w:hyperlink>
    </w:p>
    <w:p w14:paraId="2E990111" w14:textId="6EDDD3C5" w:rsidR="007D4320" w:rsidRDefault="000718E0">
      <w:pPr>
        <w:pStyle w:val="TableofFigures"/>
        <w:tabs>
          <w:tab w:val="right" w:leader="dot" w:pos="9016"/>
        </w:tabs>
        <w:rPr>
          <w:rFonts w:eastAsiaTheme="minorEastAsia"/>
          <w:noProof/>
          <w:sz w:val="22"/>
          <w:lang w:eastAsia="en-NZ"/>
        </w:rPr>
      </w:pPr>
      <w:hyperlink w:anchor="_Toc70079155" w:history="1">
        <w:r w:rsidR="007D4320" w:rsidRPr="007D4320">
          <w:rPr>
            <w:rStyle w:val="Hyperlink"/>
            <w:b/>
            <w:noProof/>
          </w:rPr>
          <w:t>Table 8</w:t>
        </w:r>
        <w:r w:rsidR="007D4320" w:rsidRPr="001A6F82">
          <w:rPr>
            <w:rStyle w:val="Hyperlink"/>
            <w:noProof/>
          </w:rPr>
          <w:t>: In-Work Tax Credit nominal values for years ending March 2008-21</w:t>
        </w:r>
        <w:r w:rsidR="007D4320">
          <w:rPr>
            <w:noProof/>
            <w:webHidden/>
          </w:rPr>
          <w:tab/>
        </w:r>
        <w:r w:rsidR="007D4320">
          <w:rPr>
            <w:noProof/>
            <w:webHidden/>
          </w:rPr>
          <w:fldChar w:fldCharType="begin"/>
        </w:r>
        <w:r w:rsidR="007D4320">
          <w:rPr>
            <w:noProof/>
            <w:webHidden/>
          </w:rPr>
          <w:instrText xml:space="preserve"> PAGEREF _Toc70079155 \h </w:instrText>
        </w:r>
        <w:r w:rsidR="007D4320">
          <w:rPr>
            <w:noProof/>
            <w:webHidden/>
          </w:rPr>
        </w:r>
        <w:r w:rsidR="007D4320">
          <w:rPr>
            <w:noProof/>
            <w:webHidden/>
          </w:rPr>
          <w:fldChar w:fldCharType="separate"/>
        </w:r>
        <w:r w:rsidR="00D47803">
          <w:rPr>
            <w:noProof/>
            <w:webHidden/>
          </w:rPr>
          <w:t>25</w:t>
        </w:r>
        <w:r w:rsidR="007D4320">
          <w:rPr>
            <w:noProof/>
            <w:webHidden/>
          </w:rPr>
          <w:fldChar w:fldCharType="end"/>
        </w:r>
      </w:hyperlink>
    </w:p>
    <w:p w14:paraId="3ECAB84D" w14:textId="06CAF936" w:rsidR="007D4320" w:rsidRDefault="000718E0">
      <w:pPr>
        <w:pStyle w:val="TableofFigures"/>
        <w:tabs>
          <w:tab w:val="right" w:leader="dot" w:pos="9016"/>
        </w:tabs>
        <w:rPr>
          <w:rFonts w:eastAsiaTheme="minorEastAsia"/>
          <w:noProof/>
          <w:sz w:val="22"/>
          <w:lang w:eastAsia="en-NZ"/>
        </w:rPr>
      </w:pPr>
      <w:hyperlink w:anchor="_Toc70079156" w:history="1">
        <w:r w:rsidR="007D4320" w:rsidRPr="007D4320">
          <w:rPr>
            <w:rStyle w:val="Hyperlink"/>
            <w:b/>
            <w:noProof/>
          </w:rPr>
          <w:t>Table 9:</w:t>
        </w:r>
        <w:r w:rsidR="007D4320" w:rsidRPr="001A6F82">
          <w:rPr>
            <w:rStyle w:val="Hyperlink"/>
            <w:noProof/>
          </w:rPr>
          <w:t xml:space="preserve"> In-Work Tax Credit average weekly rates for years ending March 2008-2021, indexed to wages (in Q3 2020 dollars)</w:t>
        </w:r>
        <w:r w:rsidR="007D4320">
          <w:rPr>
            <w:noProof/>
            <w:webHidden/>
          </w:rPr>
          <w:tab/>
        </w:r>
        <w:r w:rsidR="007D4320">
          <w:rPr>
            <w:noProof/>
            <w:webHidden/>
          </w:rPr>
          <w:fldChar w:fldCharType="begin"/>
        </w:r>
        <w:r w:rsidR="007D4320">
          <w:rPr>
            <w:noProof/>
            <w:webHidden/>
          </w:rPr>
          <w:instrText xml:space="preserve"> PAGEREF _Toc70079156 \h </w:instrText>
        </w:r>
        <w:r w:rsidR="007D4320">
          <w:rPr>
            <w:noProof/>
            <w:webHidden/>
          </w:rPr>
        </w:r>
        <w:r w:rsidR="007D4320">
          <w:rPr>
            <w:noProof/>
            <w:webHidden/>
          </w:rPr>
          <w:fldChar w:fldCharType="separate"/>
        </w:r>
        <w:r w:rsidR="00D47803">
          <w:rPr>
            <w:noProof/>
            <w:webHidden/>
          </w:rPr>
          <w:t>25</w:t>
        </w:r>
        <w:r w:rsidR="007D4320">
          <w:rPr>
            <w:noProof/>
            <w:webHidden/>
          </w:rPr>
          <w:fldChar w:fldCharType="end"/>
        </w:r>
      </w:hyperlink>
    </w:p>
    <w:p w14:paraId="4F534D54" w14:textId="77777777" w:rsidR="00EE7F36" w:rsidRDefault="002917CF" w:rsidP="00EE7F36">
      <w:pPr>
        <w:pStyle w:val="Heading1"/>
        <w:tabs>
          <w:tab w:val="left" w:pos="3957"/>
          <w:tab w:val="left" w:pos="6349"/>
        </w:tabs>
      </w:pPr>
      <w:r w:rsidRPr="00C739A6">
        <w:fldChar w:fldCharType="end"/>
      </w:r>
      <w:bookmarkStart w:id="5" w:name="_Toc66785660"/>
    </w:p>
    <w:p w14:paraId="776EE040" w14:textId="77777777" w:rsidR="00EE7F36" w:rsidRDefault="00EE7F36">
      <w:pPr>
        <w:rPr>
          <w:rFonts w:asciiTheme="majorHAnsi" w:eastAsiaTheme="majorEastAsia" w:hAnsiTheme="majorHAnsi" w:cstheme="majorBidi"/>
          <w:color w:val="2E74B5" w:themeColor="accent1" w:themeShade="BF"/>
          <w:sz w:val="32"/>
          <w:szCs w:val="32"/>
        </w:rPr>
      </w:pPr>
      <w:r>
        <w:br w:type="page"/>
      </w:r>
    </w:p>
    <w:p w14:paraId="23C353F9" w14:textId="49CA781E" w:rsidR="008D7FA8" w:rsidRPr="00C739A6" w:rsidRDefault="008D7FA8" w:rsidP="00EE7F36">
      <w:pPr>
        <w:pStyle w:val="Heading1"/>
        <w:tabs>
          <w:tab w:val="left" w:pos="3957"/>
          <w:tab w:val="left" w:pos="6349"/>
        </w:tabs>
      </w:pPr>
      <w:bookmarkStart w:id="6" w:name="_Hlk70686415"/>
      <w:r w:rsidRPr="00C739A6">
        <w:lastRenderedPageBreak/>
        <w:t>Executive summary</w:t>
      </w:r>
      <w:bookmarkEnd w:id="5"/>
      <w:r w:rsidR="00EE7F36">
        <w:tab/>
      </w:r>
      <w:r w:rsidR="00EE7F36">
        <w:tab/>
      </w:r>
    </w:p>
    <w:p w14:paraId="56DFC3E2" w14:textId="06FE6968" w:rsidR="004257E3" w:rsidRPr="00CB1D59" w:rsidRDefault="004257E3" w:rsidP="004F0598">
      <w:pPr>
        <w:pStyle w:val="ListParagraph"/>
        <w:numPr>
          <w:ilvl w:val="0"/>
          <w:numId w:val="13"/>
        </w:numPr>
        <w:spacing w:after="80" w:line="240" w:lineRule="auto"/>
        <w:ind w:left="425"/>
        <w:contextualSpacing w:val="0"/>
      </w:pPr>
      <w:r w:rsidRPr="00CB1D59">
        <w:t>W</w:t>
      </w:r>
      <w:r w:rsidR="009E3954" w:rsidRPr="00CB1D59">
        <w:t xml:space="preserve">orking for </w:t>
      </w:r>
      <w:r w:rsidRPr="00CB1D59">
        <w:t>F</w:t>
      </w:r>
      <w:r w:rsidR="009E3954" w:rsidRPr="00CB1D59">
        <w:t>amilies (WFF)</w:t>
      </w:r>
      <w:r w:rsidRPr="00CB1D59">
        <w:t xml:space="preserve"> is a critical tool to reduce child poverty. </w:t>
      </w:r>
      <w:r w:rsidR="00EE7F36" w:rsidRPr="00CB1D59">
        <w:t>C</w:t>
      </w:r>
      <w:r w:rsidRPr="00CB1D59">
        <w:t xml:space="preserve">hild poverty </w:t>
      </w:r>
      <w:r w:rsidR="00EE7F36" w:rsidRPr="00CB1D59">
        <w:t xml:space="preserve">rates </w:t>
      </w:r>
      <w:r w:rsidRPr="00CB1D59">
        <w:t xml:space="preserve">remain high and have likely increased further during the COVID-19 recession. </w:t>
      </w:r>
    </w:p>
    <w:p w14:paraId="5FAC06F5" w14:textId="0EA7691C" w:rsidR="002B2E4D" w:rsidRPr="00B95E09" w:rsidRDefault="009E3954" w:rsidP="004F0598">
      <w:pPr>
        <w:pStyle w:val="ListParagraph"/>
        <w:numPr>
          <w:ilvl w:val="0"/>
          <w:numId w:val="13"/>
        </w:numPr>
        <w:spacing w:after="80" w:line="240" w:lineRule="auto"/>
        <w:ind w:left="425"/>
        <w:contextualSpacing w:val="0"/>
        <w:rPr>
          <w:b/>
          <w:bCs/>
        </w:rPr>
      </w:pPr>
      <w:bookmarkStart w:id="7" w:name="_Hlk69796229"/>
      <w:r>
        <w:rPr>
          <w:b/>
          <w:bCs/>
        </w:rPr>
        <w:t xml:space="preserve">Because </w:t>
      </w:r>
      <w:r w:rsidR="008A5059">
        <w:rPr>
          <w:b/>
          <w:bCs/>
        </w:rPr>
        <w:t>WFF</w:t>
      </w:r>
      <w:r w:rsidR="00601A8A" w:rsidRPr="009E3954">
        <w:rPr>
          <w:b/>
          <w:bCs/>
        </w:rPr>
        <w:t xml:space="preserve"> is not wage-indexed, </w:t>
      </w:r>
      <w:r w:rsidR="009D3755" w:rsidRPr="009E3954">
        <w:rPr>
          <w:b/>
          <w:bCs/>
        </w:rPr>
        <w:t xml:space="preserve">income support for children erodes </w:t>
      </w:r>
      <w:r w:rsidR="00B95E09">
        <w:rPr>
          <w:b/>
          <w:bCs/>
        </w:rPr>
        <w:t xml:space="preserve">almost </w:t>
      </w:r>
      <w:r w:rsidR="009D3755" w:rsidRPr="009E3954">
        <w:rPr>
          <w:b/>
          <w:bCs/>
        </w:rPr>
        <w:t>constantly, unlike income support for other age groups</w:t>
      </w:r>
      <w:r w:rsidR="00601A8A" w:rsidRPr="009E3954">
        <w:rPr>
          <w:b/>
          <w:bCs/>
        </w:rPr>
        <w:t>.</w:t>
      </w:r>
      <w:r w:rsidR="00601A8A">
        <w:t xml:space="preserve"> </w:t>
      </w:r>
      <w:r>
        <w:t xml:space="preserve">NZ Superannuation </w:t>
      </w:r>
      <w:r w:rsidR="000801A8">
        <w:t>and</w:t>
      </w:r>
      <w:r w:rsidR="006B1549">
        <w:t xml:space="preserve"> core</w:t>
      </w:r>
      <w:r w:rsidR="000801A8">
        <w:t xml:space="preserve"> benefits </w:t>
      </w:r>
      <w:r>
        <w:t xml:space="preserve">are </w:t>
      </w:r>
      <w:r w:rsidR="006B1549">
        <w:t xml:space="preserve">now </w:t>
      </w:r>
      <w:r>
        <w:t>both linked to wages. WFF</w:t>
      </w:r>
      <w:r w:rsidRPr="00C739A6">
        <w:t xml:space="preserve"> payments, which are payments for children, are not wage-indexed </w:t>
      </w:r>
      <w:r w:rsidR="006B1549">
        <w:t xml:space="preserve">and </w:t>
      </w:r>
      <w:r w:rsidRPr="00C739A6">
        <w:t xml:space="preserve">are </w:t>
      </w:r>
      <w:r>
        <w:t xml:space="preserve">only </w:t>
      </w:r>
      <w:r w:rsidRPr="00C739A6">
        <w:t>partially CPI-indexed</w:t>
      </w:r>
      <w:r w:rsidR="00CC6FA1">
        <w:t>.</w:t>
      </w:r>
      <w:r w:rsidR="002B2E4D">
        <w:t xml:space="preserve"> </w:t>
      </w:r>
      <w:r w:rsidR="002B2E4D" w:rsidRPr="00B95E09">
        <w:t>If WFF had been</w:t>
      </w:r>
      <w:r w:rsidR="000801A8">
        <w:t xml:space="preserve"> wage-</w:t>
      </w:r>
      <w:r w:rsidR="002B2E4D" w:rsidRPr="00B95E09">
        <w:t xml:space="preserve">indexed </w:t>
      </w:r>
      <w:r w:rsidR="000801A8">
        <w:t xml:space="preserve">when </w:t>
      </w:r>
      <w:r w:rsidR="002B2E4D" w:rsidRPr="00B95E09">
        <w:t>the Families Package</w:t>
      </w:r>
      <w:r w:rsidR="000801A8">
        <w:t xml:space="preserve"> was introduced in July 2018</w:t>
      </w:r>
      <w:r w:rsidR="002B2E4D" w:rsidRPr="00B95E09">
        <w:t xml:space="preserve">, </w:t>
      </w:r>
      <w:r w:rsidR="002B2E4D" w:rsidRPr="00B95E09">
        <w:rPr>
          <w:bCs/>
        </w:rPr>
        <w:t xml:space="preserve">families </w:t>
      </w:r>
      <w:r w:rsidR="00B95E09">
        <w:rPr>
          <w:bCs/>
        </w:rPr>
        <w:t>in low-paid employment</w:t>
      </w:r>
      <w:r w:rsidR="00CB1D59">
        <w:rPr>
          <w:bCs/>
        </w:rPr>
        <w:t xml:space="preserve"> off-benefit</w:t>
      </w:r>
      <w:r w:rsidR="00B95E09">
        <w:rPr>
          <w:bCs/>
        </w:rPr>
        <w:t xml:space="preserve"> </w:t>
      </w:r>
      <w:r w:rsidR="002B2E4D" w:rsidRPr="00B95E09">
        <w:rPr>
          <w:bCs/>
        </w:rPr>
        <w:t>with three children aged 3-12 would be receiving as much as $27</w:t>
      </w:r>
      <w:r w:rsidR="000801A8">
        <w:rPr>
          <w:bCs/>
        </w:rPr>
        <w:t>pw</w:t>
      </w:r>
      <w:r w:rsidR="002B2E4D" w:rsidRPr="00B95E09">
        <w:rPr>
          <w:bCs/>
        </w:rPr>
        <w:t xml:space="preserve"> more </w:t>
      </w:r>
      <w:r w:rsidR="004F0598">
        <w:rPr>
          <w:bCs/>
        </w:rPr>
        <w:t xml:space="preserve">for the June 2021 year </w:t>
      </w:r>
      <w:r w:rsidR="002B2E4D" w:rsidRPr="00B95E09">
        <w:rPr>
          <w:bCs/>
        </w:rPr>
        <w:t xml:space="preserve">than they </w:t>
      </w:r>
      <w:proofErr w:type="gramStart"/>
      <w:r w:rsidR="004F0598">
        <w:rPr>
          <w:bCs/>
        </w:rPr>
        <w:t xml:space="preserve">actually </w:t>
      </w:r>
      <w:r w:rsidR="002B2E4D" w:rsidRPr="00B95E09">
        <w:rPr>
          <w:bCs/>
        </w:rPr>
        <w:t>are</w:t>
      </w:r>
      <w:proofErr w:type="gramEnd"/>
      <w:r w:rsidR="002B2E4D" w:rsidRPr="00B95E09">
        <w:rPr>
          <w:bCs/>
        </w:rPr>
        <w:t>.</w:t>
      </w:r>
      <w:r w:rsidR="000801A8">
        <w:rPr>
          <w:bCs/>
        </w:rPr>
        <w:t xml:space="preserve"> </w:t>
      </w:r>
      <w:r w:rsidR="002B2E4D" w:rsidRPr="00B95E09">
        <w:rPr>
          <w:bCs/>
        </w:rPr>
        <w:t xml:space="preserve">Cumulatively, they would have received $1,900 more over the two years to June 2021 </w:t>
      </w:r>
      <w:r w:rsidR="00B95E09">
        <w:rPr>
          <w:bCs/>
        </w:rPr>
        <w:t>if WFF w</w:t>
      </w:r>
      <w:r w:rsidR="006B1549">
        <w:rPr>
          <w:bCs/>
        </w:rPr>
        <w:t>ere</w:t>
      </w:r>
      <w:r w:rsidR="00B95E09">
        <w:rPr>
          <w:bCs/>
        </w:rPr>
        <w:t xml:space="preserve"> </w:t>
      </w:r>
      <w:proofErr w:type="gramStart"/>
      <w:r w:rsidR="000801A8">
        <w:rPr>
          <w:bCs/>
        </w:rPr>
        <w:t>wage-</w:t>
      </w:r>
      <w:r w:rsidR="00B95E09">
        <w:rPr>
          <w:bCs/>
        </w:rPr>
        <w:t>indexed</w:t>
      </w:r>
      <w:proofErr w:type="gramEnd"/>
      <w:r w:rsidR="002B2E4D" w:rsidRPr="00B95E09">
        <w:rPr>
          <w:bCs/>
        </w:rPr>
        <w:t>.</w:t>
      </w:r>
      <w:r w:rsidR="002B2E4D">
        <w:rPr>
          <w:bCs/>
        </w:rPr>
        <w:t xml:space="preserve"> </w:t>
      </w:r>
    </w:p>
    <w:p w14:paraId="3B779E30" w14:textId="6744AEDB" w:rsidR="00380E73" w:rsidRDefault="00380E73" w:rsidP="004F0598">
      <w:pPr>
        <w:pStyle w:val="ListParagraph"/>
        <w:numPr>
          <w:ilvl w:val="0"/>
          <w:numId w:val="13"/>
        </w:numPr>
        <w:spacing w:after="80" w:line="240" w:lineRule="auto"/>
        <w:ind w:left="425" w:hanging="357"/>
        <w:contextualSpacing w:val="0"/>
      </w:pPr>
      <w:r w:rsidRPr="00B95E09">
        <w:rPr>
          <w:b/>
          <w:bCs/>
        </w:rPr>
        <w:t>After</w:t>
      </w:r>
      <w:r w:rsidRPr="00601A8A">
        <w:rPr>
          <w:b/>
          <w:bCs/>
        </w:rPr>
        <w:t xml:space="preserve"> </w:t>
      </w:r>
      <w:r w:rsidR="009638DC">
        <w:rPr>
          <w:b/>
          <w:bCs/>
        </w:rPr>
        <w:t xml:space="preserve">nearly </w:t>
      </w:r>
      <w:r w:rsidRPr="00601A8A">
        <w:rPr>
          <w:b/>
          <w:bCs/>
        </w:rPr>
        <w:t xml:space="preserve">a decade of </w:t>
      </w:r>
      <w:r w:rsidR="00237025">
        <w:rPr>
          <w:b/>
          <w:bCs/>
        </w:rPr>
        <w:t xml:space="preserve">WFF </w:t>
      </w:r>
      <w:r w:rsidRPr="00601A8A">
        <w:rPr>
          <w:b/>
          <w:bCs/>
        </w:rPr>
        <w:t xml:space="preserve">neglect and erosion, the </w:t>
      </w:r>
      <w:r w:rsidR="008F0E1D">
        <w:rPr>
          <w:b/>
          <w:bCs/>
        </w:rPr>
        <w:t xml:space="preserve">2018 </w:t>
      </w:r>
      <w:r w:rsidRPr="00601A8A">
        <w:rPr>
          <w:b/>
          <w:bCs/>
        </w:rPr>
        <w:t xml:space="preserve">Families Package </w:t>
      </w:r>
      <w:r w:rsidR="00237025">
        <w:rPr>
          <w:b/>
          <w:bCs/>
        </w:rPr>
        <w:t xml:space="preserve">increases to </w:t>
      </w:r>
      <w:r>
        <w:rPr>
          <w:b/>
          <w:bCs/>
        </w:rPr>
        <w:t xml:space="preserve">Working for Families </w:t>
      </w:r>
      <w:r w:rsidR="00237025">
        <w:rPr>
          <w:b/>
          <w:bCs/>
        </w:rPr>
        <w:t xml:space="preserve">payments were </w:t>
      </w:r>
      <w:r>
        <w:rPr>
          <w:b/>
          <w:bCs/>
        </w:rPr>
        <w:t xml:space="preserve">largely </w:t>
      </w:r>
      <w:r w:rsidRPr="00601A8A">
        <w:rPr>
          <w:b/>
          <w:bCs/>
        </w:rPr>
        <w:t xml:space="preserve">equivalent to a </w:t>
      </w:r>
      <w:r w:rsidR="009638DC">
        <w:rPr>
          <w:b/>
          <w:bCs/>
        </w:rPr>
        <w:t>10</w:t>
      </w:r>
      <w:r w:rsidR="0083610C">
        <w:rPr>
          <w:b/>
          <w:bCs/>
        </w:rPr>
        <w:t>-</w:t>
      </w:r>
      <w:r w:rsidR="009638DC">
        <w:rPr>
          <w:b/>
          <w:bCs/>
        </w:rPr>
        <w:t xml:space="preserve"> or 11</w:t>
      </w:r>
      <w:r w:rsidR="0083610C">
        <w:rPr>
          <w:b/>
          <w:bCs/>
        </w:rPr>
        <w:t>-</w:t>
      </w:r>
      <w:r w:rsidRPr="00601A8A">
        <w:rPr>
          <w:b/>
          <w:bCs/>
        </w:rPr>
        <w:t>year catch-up to wage movement</w:t>
      </w:r>
      <w:r w:rsidR="008740D3">
        <w:rPr>
          <w:b/>
          <w:bCs/>
        </w:rPr>
        <w:t>s</w:t>
      </w:r>
      <w:r w:rsidR="00C74E36">
        <w:rPr>
          <w:b/>
          <w:bCs/>
        </w:rPr>
        <w:t xml:space="preserve"> for many families, with some missing out on even that boost</w:t>
      </w:r>
      <w:r w:rsidR="008740D3">
        <w:rPr>
          <w:b/>
          <w:bCs/>
        </w:rPr>
        <w:t xml:space="preserve">. </w:t>
      </w:r>
      <w:r w:rsidR="00C74E36" w:rsidRPr="00C74E36">
        <w:t>For example, for families with one child aged 3-12,</w:t>
      </w:r>
      <w:r w:rsidR="00C74E36">
        <w:rPr>
          <w:b/>
          <w:bCs/>
        </w:rPr>
        <w:t xml:space="preserve"> </w:t>
      </w:r>
      <w:r w:rsidR="0073044F">
        <w:t>the full non-abated WFF payments</w:t>
      </w:r>
      <w:r w:rsidR="008740D3">
        <w:t xml:space="preserve"> </w:t>
      </w:r>
      <w:r w:rsidR="007951ED">
        <w:t xml:space="preserve">for </w:t>
      </w:r>
      <w:r w:rsidR="008124DD">
        <w:t xml:space="preserve">2019/20 </w:t>
      </w:r>
      <w:r w:rsidR="008740D3">
        <w:t>were roughly the same</w:t>
      </w:r>
      <w:r w:rsidR="007951ED">
        <w:t xml:space="preserve"> as for 2008/9</w:t>
      </w:r>
      <w:r w:rsidR="00C74E36">
        <w:t>, in wage-indexed terms.</w:t>
      </w:r>
      <w:r w:rsidR="00CB3FFD">
        <w:t xml:space="preserve"> T</w:t>
      </w:r>
      <w:r w:rsidR="00C74E36">
        <w:t xml:space="preserve">he </w:t>
      </w:r>
      <w:r w:rsidR="007951ED">
        <w:t>subsequent</w:t>
      </w:r>
      <w:r w:rsidR="006B1549">
        <w:t>-</w:t>
      </w:r>
      <w:r w:rsidR="007951ED">
        <w:t>child</w:t>
      </w:r>
      <w:r w:rsidR="00C74E36">
        <w:t xml:space="preserve"> </w:t>
      </w:r>
      <w:r w:rsidR="00B95E09">
        <w:t xml:space="preserve">Family Tax Credit </w:t>
      </w:r>
      <w:r w:rsidR="00C74E36">
        <w:t>rate (</w:t>
      </w:r>
      <w:r w:rsidR="00B95E09">
        <w:t xml:space="preserve">for children </w:t>
      </w:r>
      <w:r w:rsidR="00C74E36">
        <w:t xml:space="preserve">aged 3-12) was </w:t>
      </w:r>
      <w:r w:rsidR="00B95E09">
        <w:t xml:space="preserve">13% </w:t>
      </w:r>
      <w:r w:rsidR="00C74E36">
        <w:t>higher in 2019</w:t>
      </w:r>
      <w:r w:rsidR="008124DD">
        <w:t>/20</w:t>
      </w:r>
      <w:r w:rsidR="00C74E36">
        <w:t xml:space="preserve"> than in 200</w:t>
      </w:r>
      <w:r w:rsidR="008124DD">
        <w:t>8/0</w:t>
      </w:r>
      <w:r w:rsidR="00C74E36">
        <w:t>9</w:t>
      </w:r>
      <w:r w:rsidR="00B95E09">
        <w:t xml:space="preserve"> in wage-indexed terms. </w:t>
      </w:r>
    </w:p>
    <w:bookmarkEnd w:id="7"/>
    <w:p w14:paraId="153D5E4A" w14:textId="77777777" w:rsidR="004F0598" w:rsidRDefault="004F0598" w:rsidP="004F0598">
      <w:pPr>
        <w:pStyle w:val="ListParagraph"/>
        <w:numPr>
          <w:ilvl w:val="0"/>
          <w:numId w:val="13"/>
        </w:numPr>
        <w:spacing w:after="80" w:line="240" w:lineRule="auto"/>
        <w:ind w:left="425"/>
        <w:contextualSpacing w:val="0"/>
      </w:pPr>
      <w:r w:rsidRPr="00636477">
        <w:rPr>
          <w:b/>
          <w:bCs/>
        </w:rPr>
        <w:t>One-off increases such as the Families Package do not compensate for the cumulative loss in relative income over time</w:t>
      </w:r>
      <w:r w:rsidRPr="00292F8D">
        <w:t>, the effects of which are likely to include high-interest debt for some families.</w:t>
      </w:r>
    </w:p>
    <w:p w14:paraId="5B77AA9A" w14:textId="7C23A864" w:rsidR="00C57BD1" w:rsidRPr="00C57BD1" w:rsidRDefault="004A590C" w:rsidP="004F0598">
      <w:pPr>
        <w:pStyle w:val="ListParagraph"/>
        <w:numPr>
          <w:ilvl w:val="0"/>
          <w:numId w:val="13"/>
        </w:numPr>
        <w:spacing w:after="80" w:line="240" w:lineRule="auto"/>
        <w:ind w:left="425"/>
        <w:contextualSpacing w:val="0"/>
      </w:pPr>
      <w:r w:rsidRPr="2310FC1E">
        <w:rPr>
          <w:b/>
          <w:bCs/>
        </w:rPr>
        <w:t>Relative to wages, e</w:t>
      </w:r>
      <w:r w:rsidR="00C57BD1" w:rsidRPr="2310FC1E">
        <w:rPr>
          <w:b/>
          <w:bCs/>
        </w:rPr>
        <w:t xml:space="preserve">rosion of the value of the Families Package </w:t>
      </w:r>
      <w:r w:rsidR="004F7B2F" w:rsidRPr="2310FC1E">
        <w:rPr>
          <w:b/>
          <w:bCs/>
        </w:rPr>
        <w:t xml:space="preserve">boost to WFF </w:t>
      </w:r>
      <w:r w:rsidR="00C57BD1" w:rsidRPr="2310FC1E">
        <w:rPr>
          <w:b/>
          <w:bCs/>
        </w:rPr>
        <w:t xml:space="preserve">for recipients </w:t>
      </w:r>
      <w:r w:rsidR="007951ED" w:rsidRPr="2310FC1E">
        <w:rPr>
          <w:b/>
          <w:bCs/>
        </w:rPr>
        <w:t>is ongoing and significant</w:t>
      </w:r>
      <w:r w:rsidR="00C57BD1" w:rsidRPr="2310FC1E">
        <w:rPr>
          <w:b/>
          <w:bCs/>
        </w:rPr>
        <w:t xml:space="preserve">. </w:t>
      </w:r>
      <w:r w:rsidR="00C57BD1">
        <w:t xml:space="preserve">For example, </w:t>
      </w:r>
      <w:r w:rsidR="00B95E09">
        <w:t xml:space="preserve">if WFF had been wage-indexed from 2018/19, </w:t>
      </w:r>
      <w:r w:rsidR="006B1549">
        <w:t>a family with three children</w:t>
      </w:r>
      <w:r w:rsidR="00CB3FFD">
        <w:t>,</w:t>
      </w:r>
      <w:r w:rsidR="006B1549">
        <w:t xml:space="preserve"> on benefit, would have received nearly $8 more </w:t>
      </w:r>
      <w:proofErr w:type="spellStart"/>
      <w:r w:rsidR="00B95E09">
        <w:t>more</w:t>
      </w:r>
      <w:proofErr w:type="spellEnd"/>
      <w:r w:rsidR="00B95E09">
        <w:t xml:space="preserve"> </w:t>
      </w:r>
      <w:r w:rsidR="008124DD">
        <w:t>per week in the year ending June 2020, and</w:t>
      </w:r>
      <w:r w:rsidR="004F7B2F">
        <w:t xml:space="preserve"> </w:t>
      </w:r>
      <w:r w:rsidR="006B1549">
        <w:t xml:space="preserve">nearly </w:t>
      </w:r>
      <w:r w:rsidR="008124DD">
        <w:t>$</w:t>
      </w:r>
      <w:r w:rsidR="006B1549">
        <w:t>22</w:t>
      </w:r>
      <w:r w:rsidR="008124DD">
        <w:t xml:space="preserve"> </w:t>
      </w:r>
      <w:r w:rsidR="00B95E09">
        <w:t xml:space="preserve">more </w:t>
      </w:r>
      <w:r w:rsidR="008124DD">
        <w:t xml:space="preserve">per week in the year ending June 2021, than they </w:t>
      </w:r>
      <w:proofErr w:type="gramStart"/>
      <w:r w:rsidR="00CB3FFD">
        <w:t xml:space="preserve">actually </w:t>
      </w:r>
      <w:r w:rsidR="008124DD">
        <w:t>did</w:t>
      </w:r>
      <w:proofErr w:type="gramEnd"/>
      <w:r w:rsidR="008124DD">
        <w:t xml:space="preserve">. </w:t>
      </w:r>
      <w:r w:rsidR="004A30AA">
        <w:t xml:space="preserve">Cumulatively, they would have received </w:t>
      </w:r>
      <w:r w:rsidR="006B1549">
        <w:t xml:space="preserve">over </w:t>
      </w:r>
      <w:r w:rsidR="004A30AA">
        <w:t>$</w:t>
      </w:r>
      <w:r w:rsidR="006B1549">
        <w:t xml:space="preserve">1,500 </w:t>
      </w:r>
      <w:r w:rsidR="004A30AA">
        <w:t xml:space="preserve">more over the two years to June 2021 if WFF </w:t>
      </w:r>
      <w:r w:rsidR="000801A8">
        <w:t>had been</w:t>
      </w:r>
      <w:r w:rsidR="004A30AA">
        <w:t xml:space="preserve"> indexed to wages</w:t>
      </w:r>
      <w:r w:rsidR="008124DD">
        <w:t xml:space="preserve">. </w:t>
      </w:r>
      <w:r w:rsidR="004F7B2F">
        <w:t xml:space="preserve">These are </w:t>
      </w:r>
      <w:r w:rsidR="004236BA">
        <w:t>significant</w:t>
      </w:r>
      <w:r w:rsidR="004F7B2F">
        <w:t xml:space="preserve"> </w:t>
      </w:r>
      <w:r w:rsidR="000801A8">
        <w:t xml:space="preserve">amounts </w:t>
      </w:r>
      <w:r w:rsidR="004F7B2F">
        <w:t xml:space="preserve">for </w:t>
      </w:r>
      <w:proofErr w:type="gramStart"/>
      <w:r w:rsidR="004F7B2F">
        <w:t>low income</w:t>
      </w:r>
      <w:proofErr w:type="gramEnd"/>
      <w:r w:rsidR="004F7B2F">
        <w:t xml:space="preserve"> </w:t>
      </w:r>
      <w:r w:rsidR="00EE7F36">
        <w:t>families</w:t>
      </w:r>
      <w:r w:rsidR="004F7B2F">
        <w:t>, and may represent a missed GP visit, or school camp, or loss of digital access.</w:t>
      </w:r>
      <w:r w:rsidR="00744D9F" w:rsidRPr="2310FC1E">
        <w:rPr>
          <w:b/>
          <w:bCs/>
        </w:rPr>
        <w:t xml:space="preserve"> </w:t>
      </w:r>
    </w:p>
    <w:p w14:paraId="009799D8" w14:textId="11C986F2" w:rsidR="008A1393" w:rsidRPr="00CC52C4" w:rsidRDefault="00B076E7" w:rsidP="004F0598">
      <w:pPr>
        <w:pStyle w:val="ListParagraph"/>
        <w:numPr>
          <w:ilvl w:val="0"/>
          <w:numId w:val="13"/>
        </w:numPr>
        <w:spacing w:after="80" w:line="240" w:lineRule="auto"/>
        <w:ind w:left="425"/>
        <w:contextualSpacing w:val="0"/>
        <w:rPr>
          <w:b/>
          <w:bCs/>
        </w:rPr>
      </w:pPr>
      <w:r w:rsidRPr="00CC52C4">
        <w:rPr>
          <w:b/>
          <w:bCs/>
        </w:rPr>
        <w:t xml:space="preserve">The WFF abatement threshold in 2019 was not as high as it was in 2008 </w:t>
      </w:r>
      <w:r w:rsidR="004834C0">
        <w:rPr>
          <w:b/>
          <w:bCs/>
        </w:rPr>
        <w:t>i</w:t>
      </w:r>
      <w:r w:rsidRPr="00CC52C4">
        <w:rPr>
          <w:b/>
          <w:bCs/>
        </w:rPr>
        <w:t>n wage-indexed or CPI terms</w:t>
      </w:r>
      <w:r>
        <w:t xml:space="preserve">, </w:t>
      </w:r>
      <w:r w:rsidR="0073044F">
        <w:t xml:space="preserve">and has eroded since then, putting </w:t>
      </w:r>
      <w:r>
        <w:t>families in low-paid employment</w:t>
      </w:r>
      <w:r w:rsidR="0073044F">
        <w:t xml:space="preserve"> at higher financial risk now than they were in 2008</w:t>
      </w:r>
      <w:r w:rsidRPr="00CC52C4">
        <w:rPr>
          <w:b/>
          <w:bCs/>
        </w:rPr>
        <w:t xml:space="preserve">. </w:t>
      </w:r>
    </w:p>
    <w:p w14:paraId="3E2A2790" w14:textId="7B4ABE90" w:rsidR="00CC52C4" w:rsidRDefault="00B076E7" w:rsidP="004F0598">
      <w:pPr>
        <w:pStyle w:val="ListParagraph"/>
        <w:numPr>
          <w:ilvl w:val="0"/>
          <w:numId w:val="13"/>
        </w:numPr>
        <w:spacing w:after="80" w:line="240" w:lineRule="auto"/>
        <w:ind w:left="425"/>
        <w:contextualSpacing w:val="0"/>
      </w:pPr>
      <w:r>
        <w:rPr>
          <w:b/>
          <w:bCs/>
        </w:rPr>
        <w:t>S</w:t>
      </w:r>
      <w:r w:rsidRPr="00CC52C4">
        <w:rPr>
          <w:b/>
          <w:bCs/>
        </w:rPr>
        <w:t xml:space="preserve">upport for </w:t>
      </w:r>
      <w:r w:rsidR="008A1393" w:rsidRPr="00CC52C4">
        <w:rPr>
          <w:b/>
          <w:bCs/>
        </w:rPr>
        <w:t>young people</w:t>
      </w:r>
      <w:r w:rsidRPr="00CC52C4">
        <w:rPr>
          <w:b/>
          <w:bCs/>
        </w:rPr>
        <w:t xml:space="preserve"> aged 16-18</w:t>
      </w:r>
      <w:r>
        <w:rPr>
          <w:b/>
          <w:bCs/>
        </w:rPr>
        <w:t xml:space="preserve"> has eroded most substantially: their </w:t>
      </w:r>
      <w:r w:rsidRPr="00CC52C4">
        <w:rPr>
          <w:b/>
          <w:bCs/>
        </w:rPr>
        <w:t>Family Tax Credit support has decreased 19%-27% in wage-indexed terms since 2008.</w:t>
      </w:r>
      <w:r>
        <w:t xml:space="preserve"> As they also miss out on many free services for younger children, the assumption seems to be that low-income young people will be in paid work for </w:t>
      </w:r>
      <w:proofErr w:type="gramStart"/>
      <w:r>
        <w:t>basic necessities</w:t>
      </w:r>
      <w:proofErr w:type="gramEnd"/>
      <w:r>
        <w:t xml:space="preserve"> at the same time as studying for qualifications so vital to prevent inter-generational poverty</w:t>
      </w:r>
      <w:r w:rsidR="008A1393">
        <w:t xml:space="preserve">. </w:t>
      </w:r>
    </w:p>
    <w:p w14:paraId="5BBA833B" w14:textId="1EFAF0FA" w:rsidR="009D3755" w:rsidRPr="009D3755" w:rsidRDefault="009D3755" w:rsidP="004F0598">
      <w:pPr>
        <w:pStyle w:val="ListParagraph"/>
        <w:numPr>
          <w:ilvl w:val="0"/>
          <w:numId w:val="13"/>
        </w:numPr>
        <w:spacing w:after="80" w:line="240" w:lineRule="auto"/>
        <w:ind w:left="425"/>
        <w:rPr>
          <w:bCs/>
        </w:rPr>
      </w:pPr>
      <w:r w:rsidRPr="009D3755">
        <w:rPr>
          <w:b/>
        </w:rPr>
        <w:t>At an immediate cost of $51 million, W</w:t>
      </w:r>
      <w:r w:rsidR="004236BA">
        <w:rPr>
          <w:b/>
        </w:rPr>
        <w:t>FF wage-indexation is a low-cost</w:t>
      </w:r>
      <w:r w:rsidRPr="009D3755">
        <w:rPr>
          <w:b/>
        </w:rPr>
        <w:t xml:space="preserve"> and overdue</w:t>
      </w:r>
      <w:r w:rsidR="00CC7064">
        <w:rPr>
          <w:b/>
        </w:rPr>
        <w:t xml:space="preserve"> policy</w:t>
      </w:r>
      <w:r w:rsidRPr="009D3755">
        <w:rPr>
          <w:b/>
        </w:rPr>
        <w:t xml:space="preserve">. </w:t>
      </w:r>
      <w:r w:rsidRPr="009D3755">
        <w:rPr>
          <w:bCs/>
        </w:rPr>
        <w:t xml:space="preserve">To reduce child poverty, more substantial income-support increases than </w:t>
      </w:r>
      <w:r w:rsidR="00BB5021">
        <w:rPr>
          <w:bCs/>
        </w:rPr>
        <w:t xml:space="preserve">improved </w:t>
      </w:r>
      <w:r w:rsidRPr="009D3755">
        <w:rPr>
          <w:bCs/>
        </w:rPr>
        <w:t xml:space="preserve">indexation </w:t>
      </w:r>
      <w:proofErr w:type="gramStart"/>
      <w:r w:rsidRPr="009D3755">
        <w:rPr>
          <w:bCs/>
        </w:rPr>
        <w:t>are</w:t>
      </w:r>
      <w:proofErr w:type="gramEnd"/>
      <w:r w:rsidRPr="009D3755">
        <w:rPr>
          <w:bCs/>
        </w:rPr>
        <w:t xml:space="preserve"> required.</w:t>
      </w:r>
    </w:p>
    <w:p w14:paraId="1A5CD862" w14:textId="1BFB5D72" w:rsidR="00CC52C4" w:rsidRPr="009D3755" w:rsidRDefault="009D3755" w:rsidP="009D3755">
      <w:pPr>
        <w:ind w:left="360"/>
        <w:rPr>
          <w:color w:val="002060"/>
          <w:sz w:val="28"/>
          <w:szCs w:val="24"/>
        </w:rPr>
      </w:pPr>
      <w:r w:rsidRPr="009D3755">
        <w:rPr>
          <w:b/>
          <w:color w:val="002060"/>
          <w:sz w:val="28"/>
          <w:szCs w:val="24"/>
        </w:rPr>
        <w:t>Wage indexation of WFF is a necessary but not sufficient step to halt increasing income poverty for children.</w:t>
      </w:r>
    </w:p>
    <w:p w14:paraId="2E81F58D" w14:textId="296F45D7" w:rsidR="000B7F59" w:rsidRPr="00C739A6" w:rsidRDefault="001C14AE" w:rsidP="000B7F59">
      <w:pPr>
        <w:pStyle w:val="Heading1"/>
      </w:pPr>
      <w:bookmarkStart w:id="8" w:name="_Toc66785661"/>
      <w:bookmarkEnd w:id="6"/>
      <w:r>
        <w:lastRenderedPageBreak/>
        <w:t>Adequate indexation: k</w:t>
      </w:r>
      <w:r w:rsidR="000B7F59" w:rsidRPr="00C739A6">
        <w:t>ey recommendations</w:t>
      </w:r>
      <w:bookmarkEnd w:id="8"/>
      <w:r w:rsidR="0001026F">
        <w:t xml:space="preserve"> </w:t>
      </w:r>
    </w:p>
    <w:p w14:paraId="4AB5F970" w14:textId="49A3DB33" w:rsidR="000B7F59" w:rsidRPr="00C739A6" w:rsidRDefault="00B8468F" w:rsidP="002C2328">
      <w:pPr>
        <w:pStyle w:val="ListParagraph"/>
        <w:numPr>
          <w:ilvl w:val="0"/>
          <w:numId w:val="11"/>
        </w:numPr>
        <w:ind w:left="714" w:hanging="357"/>
        <w:contextualSpacing w:val="0"/>
      </w:pPr>
      <w:r>
        <w:t>I</w:t>
      </w:r>
      <w:r w:rsidR="000B7F59" w:rsidRPr="00C739A6">
        <w:t xml:space="preserve">ndex </w:t>
      </w:r>
      <w:r w:rsidR="00D0058F" w:rsidRPr="00C739A6">
        <w:t xml:space="preserve">annually </w:t>
      </w:r>
      <w:r w:rsidR="000B7F59" w:rsidRPr="00C739A6">
        <w:t xml:space="preserve">all </w:t>
      </w:r>
      <w:r w:rsidR="008632DF" w:rsidRPr="00C739A6">
        <w:t>Working for Families</w:t>
      </w:r>
      <w:r w:rsidR="000B7F59" w:rsidRPr="00C739A6">
        <w:t xml:space="preserve"> payments to wages, as is </w:t>
      </w:r>
      <w:r w:rsidR="00E367EE" w:rsidRPr="00C739A6">
        <w:t xml:space="preserve">done </w:t>
      </w:r>
      <w:r w:rsidR="000B7F59" w:rsidRPr="00C739A6">
        <w:t>for NZ Superannuation and benefits</w:t>
      </w:r>
      <w:r w:rsidR="00E367EE" w:rsidRPr="00C739A6">
        <w:t xml:space="preserve">, </w:t>
      </w:r>
      <w:proofErr w:type="gramStart"/>
      <w:r w:rsidR="00E367EE" w:rsidRPr="00C739A6">
        <w:t>in order to</w:t>
      </w:r>
      <w:proofErr w:type="gramEnd"/>
      <w:r w:rsidR="00E367EE" w:rsidRPr="00C739A6">
        <w:t xml:space="preserve"> prevent </w:t>
      </w:r>
      <w:r w:rsidR="009A0A9A" w:rsidRPr="00C739A6">
        <w:t xml:space="preserve">ongoing </w:t>
      </w:r>
      <w:r w:rsidR="00E367EE" w:rsidRPr="00C739A6">
        <w:t>erosion of income support for children</w:t>
      </w:r>
      <w:r w:rsidR="000B7F59" w:rsidRPr="00C739A6">
        <w:t>.</w:t>
      </w:r>
    </w:p>
    <w:p w14:paraId="422F2803" w14:textId="6A907350" w:rsidR="000B7F59" w:rsidRPr="00C739A6" w:rsidRDefault="00DB330F" w:rsidP="004F7B2F">
      <w:pPr>
        <w:pStyle w:val="ListParagraph"/>
        <w:numPr>
          <w:ilvl w:val="0"/>
          <w:numId w:val="11"/>
        </w:numPr>
      </w:pPr>
      <w:r>
        <w:t xml:space="preserve">Reinstate indexing of </w:t>
      </w:r>
      <w:r w:rsidR="000B7F59" w:rsidRPr="00C739A6">
        <w:t xml:space="preserve">the </w:t>
      </w:r>
      <w:r w:rsidR="008632DF" w:rsidRPr="00C739A6">
        <w:t>Working for Families</w:t>
      </w:r>
      <w:r w:rsidR="000B7F59" w:rsidRPr="00C739A6">
        <w:t xml:space="preserve"> abatement </w:t>
      </w:r>
      <w:proofErr w:type="gramStart"/>
      <w:r w:rsidR="000B7F59" w:rsidRPr="00C739A6">
        <w:t>threshold</w:t>
      </w:r>
      <w:r>
        <w:t>, and</w:t>
      </w:r>
      <w:proofErr w:type="gramEnd"/>
      <w:r>
        <w:t xml:space="preserve"> link it</w:t>
      </w:r>
      <w:r w:rsidR="006F348F">
        <w:t xml:space="preserve"> </w:t>
      </w:r>
      <w:r w:rsidR="00D31508">
        <w:t xml:space="preserve">either </w:t>
      </w:r>
      <w:r w:rsidR="006F348F">
        <w:t xml:space="preserve">to </w:t>
      </w:r>
      <w:r w:rsidR="00C739A6" w:rsidRPr="00C739A6">
        <w:t>CPI</w:t>
      </w:r>
      <w:r w:rsidR="00D31508">
        <w:t xml:space="preserve"> on an annual basis, or to movements in the minimum wage</w:t>
      </w:r>
      <w:r w:rsidR="00C73D57" w:rsidRPr="00C739A6">
        <w:t xml:space="preserve">, </w:t>
      </w:r>
      <w:r>
        <w:t xml:space="preserve">in order </w:t>
      </w:r>
      <w:r w:rsidR="00C73D57" w:rsidRPr="00C739A6">
        <w:t xml:space="preserve">to </w:t>
      </w:r>
      <w:r w:rsidR="00475E0B">
        <w:t xml:space="preserve">slow </w:t>
      </w:r>
      <w:r w:rsidR="00C73D57" w:rsidRPr="00C739A6">
        <w:t>further erosion</w:t>
      </w:r>
      <w:r w:rsidR="006F348F">
        <w:t xml:space="preserve"> </w:t>
      </w:r>
      <w:r w:rsidR="00D31508">
        <w:t xml:space="preserve">of income support for children while </w:t>
      </w:r>
      <w:r w:rsidR="004F7B2F">
        <w:t>mitigating</w:t>
      </w:r>
      <w:r w:rsidR="00475E0B">
        <w:t xml:space="preserve"> </w:t>
      </w:r>
      <w:r w:rsidR="006F348F">
        <w:t>“double indexing”</w:t>
      </w:r>
      <w:r w:rsidR="00C73D57" w:rsidRPr="00C739A6">
        <w:t>.</w:t>
      </w:r>
    </w:p>
    <w:p w14:paraId="392B7488" w14:textId="3B8E5A38" w:rsidR="000B7F59" w:rsidRPr="00C739A6" w:rsidRDefault="00250E10" w:rsidP="007F4CFC">
      <w:pPr>
        <w:pStyle w:val="Heading1"/>
      </w:pPr>
      <w:bookmarkStart w:id="9" w:name="_Toc66785662"/>
      <w:r>
        <w:t>I</w:t>
      </w:r>
      <w:r w:rsidR="000B7F59" w:rsidRPr="00C739A6">
        <w:t>ntroduction</w:t>
      </w:r>
      <w:bookmarkEnd w:id="9"/>
    </w:p>
    <w:p w14:paraId="4B883D3D" w14:textId="1284A895" w:rsidR="00667966" w:rsidRPr="00C739A6" w:rsidRDefault="002B36C1" w:rsidP="008D7FA8">
      <w:r w:rsidRPr="00C739A6">
        <w:t>There is widespread underst</w:t>
      </w:r>
      <w:r w:rsidRPr="00D31508">
        <w:rPr>
          <w:szCs w:val="24"/>
        </w:rPr>
        <w:t>andin</w:t>
      </w:r>
      <w:r w:rsidRPr="00D31508">
        <w:t>g</w:t>
      </w:r>
      <w:r w:rsidRPr="00C739A6">
        <w:t xml:space="preserve"> in Aotearoa New Zealand</w:t>
      </w:r>
      <w:r w:rsidR="002D4ABD" w:rsidRPr="00C739A6">
        <w:t xml:space="preserve"> (NZ)</w:t>
      </w:r>
      <w:r w:rsidRPr="00C739A6">
        <w:t xml:space="preserve"> that all children should have the best possible start to life. </w:t>
      </w:r>
      <w:r w:rsidR="009C694E" w:rsidRPr="00C739A6">
        <w:t>T</w:t>
      </w:r>
      <w:r w:rsidR="008D7FA8" w:rsidRPr="00C739A6">
        <w:t xml:space="preserve">o achieve this, </w:t>
      </w:r>
      <w:r w:rsidR="008728A3" w:rsidRPr="00C739A6">
        <w:t xml:space="preserve">all </w:t>
      </w:r>
      <w:proofErr w:type="spellStart"/>
      <w:r w:rsidR="00A0495A">
        <w:t>wh</w:t>
      </w:r>
      <w:r w:rsidR="00A0495A">
        <w:rPr>
          <w:lang w:val="en-US"/>
        </w:rPr>
        <w:t>ānau</w:t>
      </w:r>
      <w:proofErr w:type="spellEnd"/>
      <w:r w:rsidR="00A0495A">
        <w:rPr>
          <w:lang w:val="en-US"/>
        </w:rPr>
        <w:t xml:space="preserve"> and </w:t>
      </w:r>
      <w:r w:rsidR="008D7FA8" w:rsidRPr="00C739A6">
        <w:t>families must have adequate income to support their children’s needs and provide them with opportunities</w:t>
      </w:r>
      <w:r w:rsidR="003D3940" w:rsidRPr="00C739A6">
        <w:t xml:space="preserve"> to flourish</w:t>
      </w:r>
      <w:r w:rsidR="008D7FA8" w:rsidRPr="00C739A6">
        <w:t xml:space="preserve">. </w:t>
      </w:r>
    </w:p>
    <w:p w14:paraId="750B0B96" w14:textId="078B86BD" w:rsidR="00450F86" w:rsidRDefault="00B12808" w:rsidP="004F7B2F">
      <w:r>
        <w:t>Working f</w:t>
      </w:r>
      <w:r w:rsidR="00E367EE" w:rsidRPr="004F7B2F">
        <w:t>or Families (</w:t>
      </w:r>
      <w:r w:rsidR="00FA6B64" w:rsidRPr="004F7B2F">
        <w:t>WFF</w:t>
      </w:r>
      <w:r w:rsidR="00E367EE" w:rsidRPr="004F7B2F">
        <w:t xml:space="preserve">) </w:t>
      </w:r>
      <w:r w:rsidR="00FA6B64" w:rsidRPr="004F7B2F">
        <w:t xml:space="preserve">is </w:t>
      </w:r>
      <w:r w:rsidR="00A0495A" w:rsidRPr="004F7B2F">
        <w:t xml:space="preserve">the primary income support </w:t>
      </w:r>
      <w:r w:rsidR="00FA6B64" w:rsidRPr="004F7B2F">
        <w:t>mechanism for children</w:t>
      </w:r>
      <w:r w:rsidR="00A0495A" w:rsidRPr="004F7B2F">
        <w:t xml:space="preserve"> in </w:t>
      </w:r>
      <w:r w:rsidR="00781996">
        <w:t>NZ</w:t>
      </w:r>
      <w:r w:rsidR="00FA6B64" w:rsidRPr="004F7B2F">
        <w:t xml:space="preserve">. </w:t>
      </w:r>
      <w:r w:rsidR="00667966" w:rsidRPr="004F7B2F">
        <w:t xml:space="preserve">In </w:t>
      </w:r>
      <w:r w:rsidR="00A0495A" w:rsidRPr="004F7B2F">
        <w:t xml:space="preserve">New Zealand’s </w:t>
      </w:r>
      <w:r w:rsidR="00F212B4" w:rsidRPr="004F7B2F">
        <w:t>social security</w:t>
      </w:r>
      <w:r w:rsidR="00667966" w:rsidRPr="004F7B2F">
        <w:t xml:space="preserve"> system, benefits</w:t>
      </w:r>
      <w:r w:rsidR="008728A3" w:rsidRPr="004F7B2F">
        <w:t xml:space="preserve"> are </w:t>
      </w:r>
      <w:r w:rsidR="00E367EE" w:rsidRPr="004F7B2F">
        <w:t xml:space="preserve">primarily </w:t>
      </w:r>
      <w:r w:rsidR="008728A3" w:rsidRPr="004F7B2F">
        <w:t>for adults</w:t>
      </w:r>
      <w:r w:rsidR="00667966" w:rsidRPr="004F7B2F">
        <w:t>,</w:t>
      </w:r>
      <w:r w:rsidR="008728A3" w:rsidRPr="004F7B2F">
        <w:t xml:space="preserve"> </w:t>
      </w:r>
      <w:r w:rsidR="001671CD" w:rsidRPr="004F7B2F">
        <w:t>N</w:t>
      </w:r>
      <w:r w:rsidR="00F61D61" w:rsidRPr="004F7B2F">
        <w:t xml:space="preserve">ew </w:t>
      </w:r>
      <w:r w:rsidR="001671CD" w:rsidRPr="004F7B2F">
        <w:t>Z</w:t>
      </w:r>
      <w:r w:rsidR="00F61D61" w:rsidRPr="004F7B2F">
        <w:t>ealand</w:t>
      </w:r>
      <w:r w:rsidR="001671CD" w:rsidRPr="004F7B2F">
        <w:t xml:space="preserve"> </w:t>
      </w:r>
      <w:r w:rsidR="00667966" w:rsidRPr="004F7B2F">
        <w:t>Super</w:t>
      </w:r>
      <w:r w:rsidR="00F61D61" w:rsidRPr="004F7B2F">
        <w:t>annuation (NZ</w:t>
      </w:r>
      <w:r w:rsidR="00C605B4" w:rsidRPr="004F7B2F">
        <w:t xml:space="preserve"> </w:t>
      </w:r>
      <w:r w:rsidR="00F61D61" w:rsidRPr="004F7B2F">
        <w:t>S</w:t>
      </w:r>
      <w:r w:rsidR="00C605B4" w:rsidRPr="004F7B2F">
        <w:t>uper</w:t>
      </w:r>
      <w:r w:rsidR="00F61D61" w:rsidRPr="004F7B2F">
        <w:t>)</w:t>
      </w:r>
      <w:r w:rsidR="00667966" w:rsidRPr="004F7B2F">
        <w:t xml:space="preserve"> is for the support of older ci</w:t>
      </w:r>
      <w:r w:rsidR="001671CD" w:rsidRPr="004F7B2F">
        <w:t>tizens</w:t>
      </w:r>
      <w:r w:rsidR="00667966" w:rsidRPr="004F7B2F">
        <w:t xml:space="preserve">, </w:t>
      </w:r>
      <w:r w:rsidR="008728A3" w:rsidRPr="004F7B2F">
        <w:t xml:space="preserve">while </w:t>
      </w:r>
      <w:r w:rsidR="008632DF" w:rsidRPr="004F7B2F">
        <w:t>Working for Families</w:t>
      </w:r>
      <w:r w:rsidR="008728A3" w:rsidRPr="004F7B2F">
        <w:t xml:space="preserve"> is </w:t>
      </w:r>
      <w:r w:rsidR="008728A3" w:rsidRPr="004F7B2F">
        <w:rPr>
          <w:b/>
          <w:i/>
        </w:rPr>
        <w:t xml:space="preserve">for the support of </w:t>
      </w:r>
      <w:r w:rsidR="007F4CFC" w:rsidRPr="004F7B2F">
        <w:rPr>
          <w:b/>
          <w:i/>
        </w:rPr>
        <w:t>chi</w:t>
      </w:r>
      <w:r w:rsidR="008728A3" w:rsidRPr="004F7B2F">
        <w:rPr>
          <w:b/>
          <w:i/>
        </w:rPr>
        <w:t>l</w:t>
      </w:r>
      <w:r w:rsidR="007F4CFC" w:rsidRPr="004F7B2F">
        <w:rPr>
          <w:b/>
          <w:i/>
        </w:rPr>
        <w:t>dren</w:t>
      </w:r>
      <w:r w:rsidR="007F4CFC" w:rsidRPr="004F7B2F">
        <w:t>.</w:t>
      </w:r>
      <w:r w:rsidR="002D4ABD" w:rsidRPr="004F7B2F">
        <w:t xml:space="preserve"> The reach of WFF is significant; a</w:t>
      </w:r>
      <w:r w:rsidR="00AA0879" w:rsidRPr="004F7B2F">
        <w:t xml:space="preserve">s </w:t>
      </w:r>
      <w:proofErr w:type="gramStart"/>
      <w:r w:rsidR="00AA0879" w:rsidRPr="004F7B2F">
        <w:t>at</w:t>
      </w:r>
      <w:proofErr w:type="gramEnd"/>
      <w:r w:rsidR="00AA0879" w:rsidRPr="004F7B2F">
        <w:t xml:space="preserve"> March 2019, </w:t>
      </w:r>
      <w:r w:rsidR="002D4ABD" w:rsidRPr="004F7B2F">
        <w:t xml:space="preserve">roughly 60 percent of all children in </w:t>
      </w:r>
      <w:r w:rsidR="001B148A">
        <w:t xml:space="preserve">NZ </w:t>
      </w:r>
      <w:r w:rsidR="002D4ABD" w:rsidRPr="004F7B2F">
        <w:t>were receiving some WFF payment</w:t>
      </w:r>
      <w:r w:rsidR="009F4D12" w:rsidRPr="004F7B2F">
        <w:t xml:space="preserve"> (Inland Revenue D</w:t>
      </w:r>
      <w:r w:rsidR="00533ECE" w:rsidRPr="004F7B2F">
        <w:t>epartment, 2021</w:t>
      </w:r>
      <w:r w:rsidR="000766EE" w:rsidRPr="004F7B2F">
        <w:t>f</w:t>
      </w:r>
      <w:r w:rsidR="009F4D12" w:rsidRPr="004F7B2F">
        <w:t>; Stats NZ, 2021)</w:t>
      </w:r>
      <w:r w:rsidR="00AA0879" w:rsidRPr="004F7B2F">
        <w:t xml:space="preserve">. </w:t>
      </w:r>
      <w:r w:rsidR="00DB330F" w:rsidRPr="004F7B2F">
        <w:t>C</w:t>
      </w:r>
      <w:r w:rsidR="00AA0879" w:rsidRPr="004F7B2F">
        <w:t xml:space="preserve">hildren and young people are overrepresented among those living in poverty </w:t>
      </w:r>
      <w:r w:rsidR="002D4ABD" w:rsidRPr="004F7B2F">
        <w:t xml:space="preserve">in NZ </w:t>
      </w:r>
      <w:r w:rsidR="00AA0879" w:rsidRPr="004F7B2F">
        <w:t>(Perry, 2019, pp. 151)</w:t>
      </w:r>
      <w:r w:rsidR="00DB330F" w:rsidRPr="004F7B2F">
        <w:t>;</w:t>
      </w:r>
      <w:r w:rsidR="007D74DF" w:rsidRPr="004F7B2F">
        <w:t xml:space="preserve"> it is</w:t>
      </w:r>
      <w:r w:rsidR="007906A6" w:rsidRPr="004F7B2F">
        <w:t xml:space="preserve"> therefore</w:t>
      </w:r>
      <w:r w:rsidR="007D74DF" w:rsidRPr="004F7B2F">
        <w:t xml:space="preserve"> crucial that WFF income support levels </w:t>
      </w:r>
      <w:r w:rsidR="007906A6" w:rsidRPr="004F7B2F">
        <w:t xml:space="preserve">are </w:t>
      </w:r>
      <w:r w:rsidR="007D74DF" w:rsidRPr="004F7B2F">
        <w:t xml:space="preserve">adequate, and its structures supportive of the goal of eliminating </w:t>
      </w:r>
      <w:proofErr w:type="gramStart"/>
      <w:r w:rsidR="007D74DF" w:rsidRPr="004F7B2F">
        <w:t>disadvantage</w:t>
      </w:r>
      <w:proofErr w:type="gramEnd"/>
      <w:r w:rsidR="007D74DF" w:rsidRPr="004F7B2F">
        <w:t xml:space="preserve"> for </w:t>
      </w:r>
      <w:r w:rsidR="007906A6" w:rsidRPr="004F7B2F">
        <w:t xml:space="preserve">all </w:t>
      </w:r>
      <w:r w:rsidR="007D74DF" w:rsidRPr="004F7B2F">
        <w:t>children</w:t>
      </w:r>
      <w:r w:rsidR="00A0495A" w:rsidRPr="004F7B2F">
        <w:t>.</w:t>
      </w:r>
      <w:r w:rsidR="00A0495A">
        <w:t xml:space="preserve"> </w:t>
      </w:r>
    </w:p>
    <w:p w14:paraId="47E8210B" w14:textId="5F228884" w:rsidR="00912C05" w:rsidRPr="00C739A6" w:rsidRDefault="00912C05" w:rsidP="00912C05">
      <w:r w:rsidRPr="00C739A6">
        <w:t xml:space="preserve">Child Poverty Action Group envisages this paper as the first of a series making recommendations for </w:t>
      </w:r>
      <w:r w:rsidR="007D74DF">
        <w:t xml:space="preserve">anticipated </w:t>
      </w:r>
      <w:r w:rsidRPr="00C739A6">
        <w:t xml:space="preserve">WFF </w:t>
      </w:r>
      <w:r w:rsidR="007D74DF">
        <w:t>reform (</w:t>
      </w:r>
      <w:r w:rsidR="007D74DF" w:rsidRPr="004F7B2F">
        <w:t>as indicated by MSD and IRD (202</w:t>
      </w:r>
      <w:r w:rsidR="00072C41">
        <w:t>0</w:t>
      </w:r>
      <w:r w:rsidR="00072C41" w:rsidRPr="00072C41">
        <w:t>)</w:t>
      </w:r>
      <w:r w:rsidR="00072C41">
        <w:t>, see Cooke (2021)).</w:t>
      </w:r>
      <w:r w:rsidRPr="004F7B2F">
        <w:t xml:space="preserve"> The full set of CPAG’s WFF reco</w:t>
      </w:r>
      <w:r w:rsidRPr="00C739A6">
        <w:t>mmendations – some of which will be the subject of future papers – includes:</w:t>
      </w:r>
    </w:p>
    <w:p w14:paraId="2F488754" w14:textId="54593D7D" w:rsidR="00912C05" w:rsidRPr="00C739A6" w:rsidRDefault="00912C05" w:rsidP="00912C05">
      <w:pPr>
        <w:pStyle w:val="ListParagraph"/>
        <w:numPr>
          <w:ilvl w:val="0"/>
          <w:numId w:val="20"/>
        </w:numPr>
      </w:pPr>
      <w:r w:rsidRPr="00C739A6">
        <w:t xml:space="preserve">Indexing WFF payment rates to wages </w:t>
      </w:r>
      <w:proofErr w:type="gramStart"/>
      <w:r w:rsidRPr="00C739A6">
        <w:t>in order to</w:t>
      </w:r>
      <w:proofErr w:type="gramEnd"/>
      <w:r w:rsidRPr="00C739A6">
        <w:t xml:space="preserve"> halt relative erosion of income support for children, and </w:t>
      </w:r>
      <w:r w:rsidR="007D74DF">
        <w:t xml:space="preserve">indexing </w:t>
      </w:r>
      <w:r w:rsidRPr="00C739A6">
        <w:t>WFF thresholds</w:t>
      </w:r>
      <w:r w:rsidR="007D74DF">
        <w:t>, either to CPI or to the minimum wage</w:t>
      </w:r>
      <w:r w:rsidRPr="00C739A6">
        <w:t xml:space="preserve"> (the subjects of this current paper).</w:t>
      </w:r>
    </w:p>
    <w:p w14:paraId="0C7C5D50" w14:textId="1F213235" w:rsidR="00912C05" w:rsidRDefault="00912C05" w:rsidP="00912C05">
      <w:pPr>
        <w:pStyle w:val="ListParagraph"/>
        <w:numPr>
          <w:ilvl w:val="0"/>
          <w:numId w:val="20"/>
        </w:numPr>
      </w:pPr>
      <w:r w:rsidRPr="00C739A6">
        <w:t xml:space="preserve">Extending the In-Work Tax Credit to all low-income children, </w:t>
      </w:r>
      <w:proofErr w:type="gramStart"/>
      <w:r w:rsidRPr="00C739A6">
        <w:t>whether or not</w:t>
      </w:r>
      <w:proofErr w:type="gramEnd"/>
      <w:r w:rsidRPr="00C739A6">
        <w:t xml:space="preserve"> their parents are on- or off-benefit, in order to help ensure incomes for all children are adequate in the most cost-effective manner. </w:t>
      </w:r>
    </w:p>
    <w:p w14:paraId="5F1B9FC9" w14:textId="1ADC2C67" w:rsidR="00531520" w:rsidRPr="00531520" w:rsidRDefault="00531520" w:rsidP="00531520">
      <w:pPr>
        <w:pStyle w:val="ListParagraph"/>
        <w:numPr>
          <w:ilvl w:val="0"/>
          <w:numId w:val="20"/>
        </w:numPr>
        <w:rPr>
          <w:szCs w:val="24"/>
        </w:rPr>
      </w:pPr>
      <w:r w:rsidRPr="00531520">
        <w:rPr>
          <w:szCs w:val="24"/>
        </w:rPr>
        <w:t xml:space="preserve">Increasing Family Tax Credit payment rates, over and above indexation, as a one-off (in conjunction with benefit increases), to help ensure incomes for all children are adequate and reduce government reliance on the Accommodation Supplement. </w:t>
      </w:r>
    </w:p>
    <w:p w14:paraId="1A147798" w14:textId="77777777" w:rsidR="00912C05" w:rsidRPr="00C739A6" w:rsidRDefault="00912C05" w:rsidP="00912C05">
      <w:pPr>
        <w:pStyle w:val="ListParagraph"/>
        <w:numPr>
          <w:ilvl w:val="0"/>
          <w:numId w:val="20"/>
        </w:numPr>
      </w:pPr>
      <w:r w:rsidRPr="00C739A6">
        <w:t>Changing the WFF name</w:t>
      </w:r>
      <w:r>
        <w:t>, after appropriate consultation</w:t>
      </w:r>
      <w:r w:rsidRPr="00C739A6">
        <w:t xml:space="preserve"> to better reflect the purpose of ensuring all children can flourish, free of financial need.</w:t>
      </w:r>
    </w:p>
    <w:p w14:paraId="7E983709" w14:textId="37115D29" w:rsidR="007A2D8C" w:rsidRPr="00C739A6" w:rsidRDefault="00912C05" w:rsidP="00912C05">
      <w:pPr>
        <w:pStyle w:val="ListParagraph"/>
        <w:numPr>
          <w:ilvl w:val="0"/>
          <w:numId w:val="20"/>
        </w:numPr>
      </w:pPr>
      <w:r w:rsidRPr="00C739A6">
        <w:t xml:space="preserve">Abolishing the Minimum Family Tax Credit in favour of a fully seamless and integrated income support progression between the benefit system and paid work, </w:t>
      </w:r>
      <w:proofErr w:type="gramStart"/>
      <w:r w:rsidRPr="00C739A6">
        <w:lastRenderedPageBreak/>
        <w:t>in order to</w:t>
      </w:r>
      <w:proofErr w:type="gramEnd"/>
      <w:r w:rsidRPr="00C739A6">
        <w:t xml:space="preserve"> reduce insecurity of potential reduced income due to system gaps and potential faults</w:t>
      </w:r>
    </w:p>
    <w:p w14:paraId="30845EBD" w14:textId="1C2F8977" w:rsidR="007A2D8C" w:rsidRPr="00C739A6" w:rsidRDefault="00912C05" w:rsidP="007F4762">
      <w:pPr>
        <w:pStyle w:val="ListParagraph"/>
        <w:numPr>
          <w:ilvl w:val="0"/>
          <w:numId w:val="20"/>
        </w:numPr>
      </w:pPr>
      <w:r w:rsidRPr="00C739A6">
        <w:t xml:space="preserve">Decreasing the </w:t>
      </w:r>
      <w:r w:rsidR="006B5A09">
        <w:t>WFF abatement rate</w:t>
      </w:r>
      <w:r>
        <w:t xml:space="preserve"> for low-income families</w:t>
      </w:r>
      <w:r w:rsidRPr="00C739A6">
        <w:t xml:space="preserve">, </w:t>
      </w:r>
      <w:proofErr w:type="gramStart"/>
      <w:r>
        <w:t xml:space="preserve">in order </w:t>
      </w:r>
      <w:r w:rsidRPr="00C739A6">
        <w:t>to</w:t>
      </w:r>
      <w:proofErr w:type="gramEnd"/>
      <w:r w:rsidRPr="00C739A6">
        <w:t xml:space="preserve"> lower </w:t>
      </w:r>
      <w:r>
        <w:t xml:space="preserve">their </w:t>
      </w:r>
      <w:r w:rsidRPr="00C739A6">
        <w:t>effective marginal tax rates.</w:t>
      </w:r>
    </w:p>
    <w:p w14:paraId="4B3987C4" w14:textId="77777777" w:rsidR="00D06D1D" w:rsidRDefault="00591E4B" w:rsidP="00AC5022">
      <w:pPr>
        <w:rPr>
          <w:szCs w:val="24"/>
        </w:rPr>
      </w:pPr>
      <w:r w:rsidRPr="00D130B0">
        <w:rPr>
          <w:szCs w:val="24"/>
        </w:rPr>
        <w:t>WFF</w:t>
      </w:r>
      <w:r w:rsidR="00013010" w:rsidRPr="00D130B0">
        <w:rPr>
          <w:szCs w:val="24"/>
        </w:rPr>
        <w:t xml:space="preserve"> </w:t>
      </w:r>
      <w:r w:rsidR="002C4A93" w:rsidRPr="00D130B0">
        <w:rPr>
          <w:szCs w:val="24"/>
        </w:rPr>
        <w:t xml:space="preserve">was established </w:t>
      </w:r>
      <w:r w:rsidR="008728A3" w:rsidRPr="00D130B0">
        <w:rPr>
          <w:szCs w:val="24"/>
        </w:rPr>
        <w:t xml:space="preserve">in 2005, </w:t>
      </w:r>
      <w:r w:rsidR="002C4A93" w:rsidRPr="00D130B0">
        <w:rPr>
          <w:szCs w:val="24"/>
        </w:rPr>
        <w:t>with</w:t>
      </w:r>
      <w:r w:rsidR="00510DB0" w:rsidRPr="00D130B0">
        <w:rPr>
          <w:szCs w:val="24"/>
        </w:rPr>
        <w:t xml:space="preserve"> two goals: </w:t>
      </w:r>
      <w:r w:rsidR="00013010" w:rsidRPr="00D130B0">
        <w:rPr>
          <w:szCs w:val="24"/>
        </w:rPr>
        <w:t>to address child poverty</w:t>
      </w:r>
      <w:r w:rsidR="008C429C" w:rsidRPr="00D130B0">
        <w:rPr>
          <w:szCs w:val="24"/>
        </w:rPr>
        <w:t>,</w:t>
      </w:r>
      <w:r w:rsidR="00013010" w:rsidRPr="00D130B0">
        <w:rPr>
          <w:szCs w:val="24"/>
        </w:rPr>
        <w:t xml:space="preserve"> and to incentivise paid work.</w:t>
      </w:r>
      <w:r w:rsidR="00B829D8" w:rsidRPr="00D130B0">
        <w:rPr>
          <w:szCs w:val="24"/>
        </w:rPr>
        <w:t xml:space="preserve"> The result</w:t>
      </w:r>
      <w:r w:rsidR="001202FB" w:rsidRPr="00D130B0">
        <w:rPr>
          <w:szCs w:val="24"/>
        </w:rPr>
        <w:t>s</w:t>
      </w:r>
      <w:r w:rsidR="00B829D8" w:rsidRPr="00D130B0">
        <w:rPr>
          <w:szCs w:val="24"/>
        </w:rPr>
        <w:t xml:space="preserve"> </w:t>
      </w:r>
      <w:r w:rsidR="001202FB" w:rsidRPr="00D130B0">
        <w:rPr>
          <w:szCs w:val="24"/>
        </w:rPr>
        <w:t xml:space="preserve">have been mixed: on one hand, </w:t>
      </w:r>
      <w:r w:rsidR="00713A4B" w:rsidRPr="00D130B0">
        <w:rPr>
          <w:szCs w:val="24"/>
        </w:rPr>
        <w:t>WFF ensure</w:t>
      </w:r>
      <w:r w:rsidR="00343F01" w:rsidRPr="00D130B0">
        <w:rPr>
          <w:szCs w:val="24"/>
        </w:rPr>
        <w:t>s</w:t>
      </w:r>
      <w:r w:rsidR="00713A4B" w:rsidRPr="00D130B0">
        <w:rPr>
          <w:szCs w:val="24"/>
        </w:rPr>
        <w:t xml:space="preserve"> </w:t>
      </w:r>
      <w:r w:rsidR="001202FB" w:rsidRPr="00D130B0">
        <w:rPr>
          <w:szCs w:val="24"/>
        </w:rPr>
        <w:t xml:space="preserve">higher incomes than previous for many families </w:t>
      </w:r>
      <w:r w:rsidR="00C605B4" w:rsidRPr="00D130B0">
        <w:rPr>
          <w:szCs w:val="24"/>
        </w:rPr>
        <w:t>who are in low-paid employment and not receiving benefits</w:t>
      </w:r>
      <w:r w:rsidR="006B5A09" w:rsidRPr="00D130B0">
        <w:rPr>
          <w:szCs w:val="24"/>
        </w:rPr>
        <w:t xml:space="preserve">; </w:t>
      </w:r>
      <w:r w:rsidR="001202FB" w:rsidRPr="00D130B0">
        <w:rPr>
          <w:szCs w:val="24"/>
        </w:rPr>
        <w:t xml:space="preserve">on the other, </w:t>
      </w:r>
      <w:r w:rsidR="00713A4B" w:rsidRPr="00D130B0">
        <w:rPr>
          <w:szCs w:val="24"/>
        </w:rPr>
        <w:t xml:space="preserve">it contributed </w:t>
      </w:r>
      <w:r w:rsidR="001202FB" w:rsidRPr="00D130B0">
        <w:rPr>
          <w:szCs w:val="24"/>
        </w:rPr>
        <w:t xml:space="preserve">to </w:t>
      </w:r>
      <w:r w:rsidR="008C429C" w:rsidRPr="00D130B0">
        <w:rPr>
          <w:szCs w:val="24"/>
        </w:rPr>
        <w:t>the</w:t>
      </w:r>
      <w:r w:rsidR="00B829D8" w:rsidRPr="00D130B0">
        <w:rPr>
          <w:szCs w:val="24"/>
        </w:rPr>
        <w:t xml:space="preserve"> perpetuation of deep family poverty</w:t>
      </w:r>
      <w:r w:rsidR="002C4A93" w:rsidRPr="00D130B0">
        <w:rPr>
          <w:szCs w:val="24"/>
        </w:rPr>
        <w:t xml:space="preserve"> for those living in household</w:t>
      </w:r>
      <w:r w:rsidR="00007AEC" w:rsidRPr="00D130B0">
        <w:rPr>
          <w:szCs w:val="24"/>
        </w:rPr>
        <w:t>s</w:t>
      </w:r>
      <w:r w:rsidR="002C4A93" w:rsidRPr="00D130B0">
        <w:rPr>
          <w:szCs w:val="24"/>
        </w:rPr>
        <w:t xml:space="preserve"> receiving main benefits</w:t>
      </w:r>
      <w:r w:rsidR="002B28DA" w:rsidRPr="00D130B0">
        <w:rPr>
          <w:szCs w:val="24"/>
        </w:rPr>
        <w:t>.</w:t>
      </w:r>
    </w:p>
    <w:p w14:paraId="22087C3D" w14:textId="41E48757" w:rsidR="00634829" w:rsidRPr="00DC0F8F" w:rsidRDefault="00D130B0" w:rsidP="00AC5022">
      <w:r w:rsidRPr="00D130B0">
        <w:rPr>
          <w:szCs w:val="24"/>
        </w:rPr>
        <w:t>Before WFF, children in workless households generally had poverty rates around four times higher than for those in households where at least one adult was in full-time work. From 2007 to 2015, the difference increased to around six to seven times higher for children in workless households (Perry, 2019</w:t>
      </w:r>
      <w:r>
        <w:rPr>
          <w:szCs w:val="24"/>
        </w:rPr>
        <w:t>, pp. 168</w:t>
      </w:r>
      <w:r w:rsidRPr="00D130B0">
        <w:rPr>
          <w:szCs w:val="24"/>
        </w:rPr>
        <w:t xml:space="preserve">). </w:t>
      </w:r>
      <w:r w:rsidR="00634829">
        <w:rPr>
          <w:szCs w:val="24"/>
        </w:rPr>
        <w:t xml:space="preserve"> </w:t>
      </w:r>
      <w:r>
        <w:t>This is because t</w:t>
      </w:r>
      <w:r w:rsidR="002B28DA">
        <w:t xml:space="preserve">hose </w:t>
      </w:r>
      <w:r w:rsidR="001202FB">
        <w:t xml:space="preserve">receiving </w:t>
      </w:r>
      <w:r w:rsidR="002B28DA">
        <w:t>benefits</w:t>
      </w:r>
      <w:r w:rsidR="008728A3" w:rsidRPr="00C739A6">
        <w:t xml:space="preserve"> </w:t>
      </w:r>
      <w:r w:rsidR="001202FB">
        <w:t xml:space="preserve">(whether in paid-work or not) </w:t>
      </w:r>
      <w:r w:rsidR="00AC5022" w:rsidRPr="00C739A6">
        <w:t xml:space="preserve">are </w:t>
      </w:r>
      <w:r w:rsidR="000B7F59" w:rsidRPr="00C739A6">
        <w:t xml:space="preserve">deliberately </w:t>
      </w:r>
      <w:r w:rsidR="008728A3" w:rsidRPr="00C739A6">
        <w:t>excluded from</w:t>
      </w:r>
      <w:r w:rsidR="00AC5022" w:rsidRPr="00C739A6">
        <w:t xml:space="preserve"> the full </w:t>
      </w:r>
      <w:r w:rsidR="001202FB">
        <w:t xml:space="preserve">WFF </w:t>
      </w:r>
      <w:r w:rsidR="00AC5022" w:rsidRPr="00C739A6">
        <w:t>package</w:t>
      </w:r>
      <w:r w:rsidR="00007AEC" w:rsidRPr="00C739A6">
        <w:t xml:space="preserve"> </w:t>
      </w:r>
      <w:proofErr w:type="gramStart"/>
      <w:r w:rsidR="00007AEC" w:rsidRPr="00C739A6">
        <w:t>in order to</w:t>
      </w:r>
      <w:proofErr w:type="gramEnd"/>
      <w:r w:rsidR="00007AEC" w:rsidRPr="00C739A6">
        <w:t xml:space="preserve"> incentivise paid work</w:t>
      </w:r>
      <w:r w:rsidR="00634829">
        <w:t>,</w:t>
      </w:r>
      <w:r w:rsidR="00007AEC" w:rsidRPr="00C739A6">
        <w:t xml:space="preserve"> </w:t>
      </w:r>
      <w:r w:rsidR="002B28DA">
        <w:t xml:space="preserve">despite </w:t>
      </w:r>
      <w:r w:rsidR="00007AEC" w:rsidRPr="00C739A6">
        <w:t xml:space="preserve">paid work </w:t>
      </w:r>
      <w:r w:rsidR="002B28DA">
        <w:t>being</w:t>
      </w:r>
      <w:r w:rsidR="002B28DA" w:rsidRPr="00C739A6">
        <w:t xml:space="preserve"> </w:t>
      </w:r>
      <w:r w:rsidR="00007AEC" w:rsidRPr="00C739A6">
        <w:t>inappropriate and/or impossible for many families</w:t>
      </w:r>
      <w:r w:rsidR="000B7F59" w:rsidRPr="00C739A6">
        <w:t xml:space="preserve">. </w:t>
      </w:r>
      <w:r w:rsidR="001D2558" w:rsidRPr="00C739A6">
        <w:t xml:space="preserve">The </w:t>
      </w:r>
      <w:r w:rsidR="00C605B4">
        <w:t xml:space="preserve">supposed </w:t>
      </w:r>
      <w:r w:rsidR="001D2558" w:rsidRPr="00C739A6">
        <w:t xml:space="preserve">incentive </w:t>
      </w:r>
      <w:r w:rsidR="002E7C20" w:rsidRPr="00C739A6">
        <w:t>relies on</w:t>
      </w:r>
      <w:r w:rsidR="001D2558" w:rsidRPr="00C739A6">
        <w:t xml:space="preserve"> making poor children poorer</w:t>
      </w:r>
      <w:r w:rsidR="002B28DA">
        <w:t>, an</w:t>
      </w:r>
      <w:r w:rsidR="001D2558" w:rsidRPr="00C739A6">
        <w:t xml:space="preserve"> outcome </w:t>
      </w:r>
      <w:r w:rsidR="001202FB">
        <w:t xml:space="preserve">which contributes to </w:t>
      </w:r>
      <w:r w:rsidR="000B7F59" w:rsidRPr="00C739A6">
        <w:t>the</w:t>
      </w:r>
      <w:r w:rsidR="00F20030" w:rsidRPr="00C739A6">
        <w:t xml:space="preserve"> approximately 16</w:t>
      </w:r>
      <w:r w:rsidR="006B1549">
        <w:t>0</w:t>
      </w:r>
      <w:r w:rsidR="00F20030" w:rsidRPr="00C739A6">
        <w:t>,</w:t>
      </w:r>
      <w:r w:rsidR="006B1549">
        <w:t>0</w:t>
      </w:r>
      <w:r w:rsidR="00F20030" w:rsidRPr="00C739A6">
        <w:t xml:space="preserve">00 children found under the 40% AHC </w:t>
      </w:r>
      <w:r w:rsidR="001202FB">
        <w:t xml:space="preserve">(severe poverty) </w:t>
      </w:r>
      <w:r w:rsidR="00F20030" w:rsidRPr="00C739A6">
        <w:t xml:space="preserve">line (see Figure 1). </w:t>
      </w:r>
    </w:p>
    <w:p w14:paraId="44ED996B" w14:textId="3E0FC18F" w:rsidR="004A655F" w:rsidRPr="00C739A6" w:rsidRDefault="00F20030" w:rsidP="00C605B4">
      <w:pPr>
        <w:pStyle w:val="Caption"/>
      </w:pPr>
      <w:bookmarkStart w:id="10" w:name="_Toc69738142"/>
      <w:r w:rsidRPr="00C605B4">
        <w:rPr>
          <w:sz w:val="22"/>
        </w:rPr>
        <w:t xml:space="preserve">Figure </w:t>
      </w:r>
      <w:r w:rsidR="00772ABD" w:rsidRPr="00C605B4">
        <w:rPr>
          <w:sz w:val="22"/>
        </w:rPr>
        <w:fldChar w:fldCharType="begin"/>
      </w:r>
      <w:r w:rsidR="00772ABD" w:rsidRPr="00C605B4">
        <w:rPr>
          <w:sz w:val="22"/>
        </w:rPr>
        <w:instrText xml:space="preserve"> SEQ Figure \* ARABIC </w:instrText>
      </w:r>
      <w:r w:rsidR="00772ABD" w:rsidRPr="00C605B4">
        <w:rPr>
          <w:sz w:val="22"/>
        </w:rPr>
        <w:fldChar w:fldCharType="separate"/>
      </w:r>
      <w:r w:rsidR="00D47803">
        <w:rPr>
          <w:noProof/>
          <w:sz w:val="22"/>
        </w:rPr>
        <w:t>1</w:t>
      </w:r>
      <w:r w:rsidR="00772ABD" w:rsidRPr="00C605B4">
        <w:rPr>
          <w:sz w:val="22"/>
        </w:rPr>
        <w:fldChar w:fldCharType="end"/>
      </w:r>
      <w:r w:rsidRPr="00C605B4">
        <w:rPr>
          <w:sz w:val="22"/>
        </w:rPr>
        <w:t xml:space="preserve">: </w:t>
      </w:r>
      <w:r w:rsidR="007257F7" w:rsidRPr="00C605B4">
        <w:rPr>
          <w:sz w:val="22"/>
        </w:rPr>
        <w:t xml:space="preserve">Percentage of children living in households in NZ with less than 40%/50%/60% median equivalised disposable household income after housing costs (AHC) for the financial year to June (*to March 2020)- supplementary measures </w:t>
      </w:r>
      <w:proofErr w:type="spellStart"/>
      <w:proofErr w:type="gramStart"/>
      <w:r w:rsidR="007257F7" w:rsidRPr="00C605B4">
        <w:rPr>
          <w:sz w:val="22"/>
        </w:rPr>
        <w:t>f,g</w:t>
      </w:r>
      <w:proofErr w:type="gramEnd"/>
      <w:r w:rsidR="007257F7" w:rsidRPr="00C605B4">
        <w:rPr>
          <w:sz w:val="22"/>
        </w:rPr>
        <w:t>,h</w:t>
      </w:r>
      <w:proofErr w:type="spellEnd"/>
      <w:r w:rsidR="007257F7" w:rsidRPr="00C605B4">
        <w:rPr>
          <w:sz w:val="22"/>
        </w:rPr>
        <w:t>. Source: Stats NZ (</w:t>
      </w:r>
      <w:r w:rsidR="00174BA1">
        <w:rPr>
          <w:sz w:val="22"/>
        </w:rPr>
        <w:t xml:space="preserve">Apr </w:t>
      </w:r>
      <w:r w:rsidR="007257F7" w:rsidRPr="00C605B4">
        <w:rPr>
          <w:sz w:val="22"/>
        </w:rPr>
        <w:t>2021).</w:t>
      </w:r>
      <w:bookmarkEnd w:id="10"/>
    </w:p>
    <w:p w14:paraId="72EC84AA" w14:textId="623A222B" w:rsidR="001E644B" w:rsidRPr="00C739A6" w:rsidRDefault="00BF3F8C" w:rsidP="00AC5022">
      <w:r>
        <w:rPr>
          <w:noProof/>
        </w:rPr>
        <w:drawing>
          <wp:inline distT="0" distB="0" distL="0" distR="0" wp14:anchorId="6B3DACE0" wp14:editId="381E04BD">
            <wp:extent cx="4572000" cy="2743200"/>
            <wp:effectExtent l="0" t="0" r="0" b="0"/>
            <wp:docPr id="9" name="Chart 9">
              <a:extLst xmlns:a="http://schemas.openxmlformats.org/drawingml/2006/main">
                <a:ext uri="{FF2B5EF4-FFF2-40B4-BE49-F238E27FC236}">
                  <a16:creationId xmlns:a16="http://schemas.microsoft.com/office/drawing/2014/main" id="{EAEDF1BA-D983-43B3-AD8F-10D00E3A8E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9BBCF8" w14:textId="5A4EAF3F" w:rsidR="003D3940" w:rsidRPr="00C739A6" w:rsidRDefault="008D7FA8" w:rsidP="008D7FA8">
      <w:r w:rsidRPr="00C739A6">
        <w:t xml:space="preserve">In </w:t>
      </w:r>
      <w:r w:rsidR="003D3940" w:rsidRPr="00C739A6">
        <w:t xml:space="preserve">2018, the Labour-led Coalition Government’s Families Package came into </w:t>
      </w:r>
      <w:r w:rsidR="003D3940" w:rsidRPr="00D130B0">
        <w:t>effect</w:t>
      </w:r>
      <w:r w:rsidR="001202FB" w:rsidRPr="00D130B0">
        <w:t xml:space="preserve">, much of which was focussed on </w:t>
      </w:r>
      <w:r w:rsidR="000C38A2">
        <w:t xml:space="preserve">increasing </w:t>
      </w:r>
      <w:r w:rsidR="001202FB" w:rsidRPr="00D130B0">
        <w:t>WFF</w:t>
      </w:r>
      <w:r w:rsidR="00F34FB5">
        <w:t xml:space="preserve"> (</w:t>
      </w:r>
      <w:r w:rsidR="00AE729C">
        <w:t>NZ Government, 2017</w:t>
      </w:r>
      <w:r w:rsidR="00F34FB5">
        <w:t>)</w:t>
      </w:r>
      <w:r w:rsidR="00B829D8" w:rsidRPr="00C739A6">
        <w:t xml:space="preserve">. From 1 July, there </w:t>
      </w:r>
      <w:r w:rsidR="00476F51">
        <w:t xml:space="preserve">were </w:t>
      </w:r>
      <w:r w:rsidR="00F16471" w:rsidRPr="00C739A6">
        <w:t>increase</w:t>
      </w:r>
      <w:r w:rsidR="00476F51">
        <w:t>s</w:t>
      </w:r>
      <w:r w:rsidR="00F16471" w:rsidRPr="00C739A6">
        <w:t xml:space="preserve"> to</w:t>
      </w:r>
      <w:r w:rsidR="003D3940" w:rsidRPr="00C739A6">
        <w:t xml:space="preserve"> the </w:t>
      </w:r>
      <w:r w:rsidR="001202FB">
        <w:t xml:space="preserve">WFF </w:t>
      </w:r>
      <w:r w:rsidR="003D3940" w:rsidRPr="00C739A6">
        <w:t>Family Tax Credit</w:t>
      </w:r>
      <w:r w:rsidR="00C605B4">
        <w:t xml:space="preserve"> (FTC)</w:t>
      </w:r>
      <w:r w:rsidR="00476F51">
        <w:t xml:space="preserve"> </w:t>
      </w:r>
      <w:r w:rsidR="00343F01">
        <w:t xml:space="preserve">mostly </w:t>
      </w:r>
      <w:r w:rsidR="00476F51" w:rsidRPr="00D130B0">
        <w:t>for children under the age of 16</w:t>
      </w:r>
      <w:r w:rsidR="00476F51">
        <w:t>;</w:t>
      </w:r>
      <w:r w:rsidR="003D3940" w:rsidRPr="00C739A6">
        <w:t xml:space="preserve"> </w:t>
      </w:r>
      <w:r w:rsidR="00F16471" w:rsidRPr="00C739A6">
        <w:t xml:space="preserve">the introduction of </w:t>
      </w:r>
      <w:r w:rsidR="003D3940" w:rsidRPr="00C739A6">
        <w:t xml:space="preserve">Best Start </w:t>
      </w:r>
      <w:r w:rsidR="00013010" w:rsidRPr="00C739A6">
        <w:t xml:space="preserve">for children </w:t>
      </w:r>
      <w:r w:rsidR="00C605B4">
        <w:t xml:space="preserve">born after 1 July 2018 </w:t>
      </w:r>
      <w:r w:rsidR="00013010" w:rsidRPr="00C739A6">
        <w:t>up to the age of 3</w:t>
      </w:r>
      <w:r w:rsidR="00476F51">
        <w:t>;</w:t>
      </w:r>
      <w:r w:rsidR="003D3940" w:rsidRPr="00C739A6">
        <w:t xml:space="preserve"> and </w:t>
      </w:r>
      <w:r w:rsidR="00F16471" w:rsidRPr="00C739A6">
        <w:t>an increase in the</w:t>
      </w:r>
      <w:r w:rsidR="003D3940" w:rsidRPr="00C739A6">
        <w:t xml:space="preserve"> abatement threshold</w:t>
      </w:r>
      <w:r w:rsidR="00B75C07" w:rsidRPr="00C739A6">
        <w:t xml:space="preserve"> for WFF from $</w:t>
      </w:r>
      <w:r w:rsidR="00013010" w:rsidRPr="00C739A6">
        <w:t xml:space="preserve">35,000 </w:t>
      </w:r>
      <w:r w:rsidR="001D2558" w:rsidRPr="00C739A6">
        <w:t xml:space="preserve">(where it was headed under National) </w:t>
      </w:r>
      <w:r w:rsidR="00013010" w:rsidRPr="00C739A6">
        <w:t>to $42,</w:t>
      </w:r>
      <w:r w:rsidR="001D2558" w:rsidRPr="00C739A6">
        <w:t>7</w:t>
      </w:r>
      <w:r w:rsidR="00013010" w:rsidRPr="00C739A6">
        <w:t>00</w:t>
      </w:r>
      <w:r w:rsidR="00FD7CAB" w:rsidRPr="00C739A6">
        <w:t xml:space="preserve"> (New Zealand Government, 2017)</w:t>
      </w:r>
      <w:r w:rsidR="00D845C7" w:rsidRPr="00C739A6">
        <w:t>. These changes resulted in</w:t>
      </w:r>
      <w:r w:rsidR="003D3940" w:rsidRPr="00C739A6">
        <w:t xml:space="preserve"> significant </w:t>
      </w:r>
      <w:r w:rsidR="00B829D8" w:rsidRPr="00C739A6">
        <w:t xml:space="preserve">nominal </w:t>
      </w:r>
      <w:r w:rsidR="003D3940" w:rsidRPr="00C739A6">
        <w:t>increase</w:t>
      </w:r>
      <w:r w:rsidR="00013010" w:rsidRPr="00C739A6">
        <w:t>s</w:t>
      </w:r>
      <w:r w:rsidR="003D3940" w:rsidRPr="00C739A6">
        <w:t xml:space="preserve"> to payments</w:t>
      </w:r>
      <w:r w:rsidR="007D1349" w:rsidRPr="00C739A6">
        <w:t>, particularly</w:t>
      </w:r>
      <w:r w:rsidR="00BA337A" w:rsidRPr="00C739A6">
        <w:t xml:space="preserve"> for families </w:t>
      </w:r>
      <w:r w:rsidR="00476F51" w:rsidRPr="00D130B0">
        <w:t xml:space="preserve">with babies (including </w:t>
      </w:r>
      <w:r w:rsidR="00476F51" w:rsidRPr="00D130B0">
        <w:lastRenderedPageBreak/>
        <w:t xml:space="preserve">those on high incomes), </w:t>
      </w:r>
      <w:r w:rsidR="00476F51" w:rsidRPr="00713A4B">
        <w:t>and for families</w:t>
      </w:r>
      <w:r w:rsidR="00713A4B">
        <w:t xml:space="preserve"> </w:t>
      </w:r>
      <w:r w:rsidR="00BA337A" w:rsidRPr="00C739A6">
        <w:t>in low-</w:t>
      </w:r>
      <w:r w:rsidR="00B829D8" w:rsidRPr="00C739A6">
        <w:t>paid work</w:t>
      </w:r>
      <w:r w:rsidR="008C429C" w:rsidRPr="00C739A6">
        <w:t xml:space="preserve"> </w:t>
      </w:r>
      <w:r w:rsidR="00AA4358" w:rsidRPr="00C739A6">
        <w:t>(</w:t>
      </w:r>
      <w:r w:rsidR="008C358C" w:rsidRPr="00C739A6">
        <w:t>and off-benefit</w:t>
      </w:r>
      <w:r w:rsidR="00AA4358" w:rsidRPr="00C739A6">
        <w:t xml:space="preserve">) </w:t>
      </w:r>
      <w:r w:rsidR="008C429C" w:rsidRPr="00C739A6">
        <w:t xml:space="preserve">who </w:t>
      </w:r>
      <w:r w:rsidR="00AA4358" w:rsidRPr="00C739A6">
        <w:t xml:space="preserve">gained </w:t>
      </w:r>
      <w:r w:rsidR="007D1349" w:rsidRPr="00C739A6">
        <w:t>from the rise in the threshold</w:t>
      </w:r>
      <w:r w:rsidR="008C429C" w:rsidRPr="00C739A6">
        <w:t xml:space="preserve">. </w:t>
      </w:r>
      <w:r w:rsidR="00AE729C" w:rsidRPr="00D130B0">
        <w:t>The cost of Best Start was forecast to reach $450M a year by 2021/22, while WFF changes (increases to FTC and raising the abatement threshold) were forecast to cost $540M- $510M a year – reducing with every subsequent year (New Zealand Government, 2017) – bringing total investment in WFF support for children</w:t>
      </w:r>
      <w:r w:rsidR="00E044BF">
        <w:t xml:space="preserve"> to around $3billion per year (F</w:t>
      </w:r>
      <w:r w:rsidR="00AE729C" w:rsidRPr="00D130B0">
        <w:t xml:space="preserve">igure </w:t>
      </w:r>
      <w:r w:rsidR="00E044BF">
        <w:t>2</w:t>
      </w:r>
      <w:r w:rsidR="00AE729C" w:rsidRPr="00D130B0">
        <w:t xml:space="preserve"> below).</w:t>
      </w:r>
    </w:p>
    <w:p w14:paraId="4058ACDD" w14:textId="3E11EFA5" w:rsidR="00476F51" w:rsidRDefault="00E53DA4" w:rsidP="008D7FA8">
      <w:r w:rsidRPr="00C739A6">
        <w:t>However, t</w:t>
      </w:r>
      <w:r w:rsidR="008C429C" w:rsidRPr="00C739A6">
        <w:t>he WFF increases</w:t>
      </w:r>
      <w:r w:rsidR="00BA337A" w:rsidRPr="00C739A6">
        <w:t xml:space="preserve"> associated with the Families Package</w:t>
      </w:r>
      <w:r w:rsidR="008C429C" w:rsidRPr="00C739A6">
        <w:t xml:space="preserve"> must be viewed in the context of </w:t>
      </w:r>
      <w:r w:rsidR="00A80C7A" w:rsidRPr="00C739A6">
        <w:t xml:space="preserve">considerable </w:t>
      </w:r>
      <w:r w:rsidR="007D1349" w:rsidRPr="00C739A6">
        <w:t>wage growth of</w:t>
      </w:r>
      <w:r w:rsidR="00C33BC2" w:rsidRPr="00C739A6">
        <w:t xml:space="preserve"> the past two </w:t>
      </w:r>
      <w:proofErr w:type="gramStart"/>
      <w:r w:rsidR="00C33BC2" w:rsidRPr="00C739A6">
        <w:t>decades</w:t>
      </w:r>
      <w:r w:rsidR="00F34FB5" w:rsidRPr="00D130B0">
        <w:t>, and</w:t>
      </w:r>
      <w:proofErr w:type="gramEnd"/>
      <w:r w:rsidR="00F34FB5" w:rsidRPr="00D130B0">
        <w:t xml:space="preserve"> indexing of other income support</w:t>
      </w:r>
      <w:r w:rsidR="00C33BC2" w:rsidRPr="00C739A6">
        <w:t xml:space="preserve">. </w:t>
      </w:r>
      <w:r w:rsidR="00991883">
        <w:t>A</w:t>
      </w:r>
      <w:r w:rsidR="00A75462" w:rsidRPr="00C739A6">
        <w:t xml:space="preserve">djustments </w:t>
      </w:r>
      <w:r w:rsidR="00AA4358" w:rsidRPr="00C739A6">
        <w:t xml:space="preserve">to WFF </w:t>
      </w:r>
      <w:r w:rsidR="00A80C7A" w:rsidRPr="00C739A6">
        <w:t xml:space="preserve">have largely been ad hoc since its establishment. </w:t>
      </w:r>
      <w:r w:rsidR="00476F51" w:rsidRPr="00C739A6">
        <w:t>Benefits for adults are still far too low, as the Welfare Expert Advisory Group (2019) and CPAG’s own modelling (McAllister, 2020) ha</w:t>
      </w:r>
      <w:r w:rsidR="00476F51">
        <w:t>ve</w:t>
      </w:r>
      <w:r w:rsidR="00476F51" w:rsidRPr="00C739A6">
        <w:t xml:space="preserve"> highlighted; however as of 2020, benefits are indexed to wage movements, as is </w:t>
      </w:r>
      <w:r w:rsidR="00476F51">
        <w:t>NZ Super</w:t>
      </w:r>
      <w:r w:rsidR="00476F51" w:rsidRPr="00C739A6">
        <w:t>, meaning that these income support mechanisms do not erode in relative value as the average wage increases. On the other hand, WFF is not wage-linked.</w:t>
      </w:r>
      <w:r w:rsidR="00476F51">
        <w:t xml:space="preserve"> </w:t>
      </w:r>
      <w:r w:rsidR="00476F51" w:rsidRPr="00C739A6">
        <w:t xml:space="preserve">The only indexation in place is for the FTC, which is indexed to the CPI, but only when cumulative inflation reaches 5%. As the Welfare Expert Advisory Group (2018, pp. 20) </w:t>
      </w:r>
      <w:r w:rsidR="00F94620">
        <w:t xml:space="preserve">found </w:t>
      </w:r>
      <w:r w:rsidR="00476F51" w:rsidRPr="00C739A6">
        <w:t>in their review of family assistance, “The Working for Families indexation policy seems out of step with the current and potential indexation of main benefits.”</w:t>
      </w:r>
    </w:p>
    <w:p w14:paraId="012F261B" w14:textId="422F56BB" w:rsidR="00A96A60" w:rsidRPr="00C739A6" w:rsidRDefault="00C33BC2" w:rsidP="00311110">
      <w:r w:rsidRPr="00C739A6">
        <w:t xml:space="preserve">In </w:t>
      </w:r>
      <w:r w:rsidR="00CC6100" w:rsidRPr="00C739A6">
        <w:t xml:space="preserve">this backgrounder, </w:t>
      </w:r>
      <w:r w:rsidR="00F06D46" w:rsidRPr="00C739A6">
        <w:t xml:space="preserve">we </w:t>
      </w:r>
      <w:r w:rsidR="00E739B0" w:rsidRPr="00C739A6">
        <w:t xml:space="preserve">thus </w:t>
      </w:r>
      <w:r w:rsidR="00F06D46" w:rsidRPr="00C739A6">
        <w:t>highlight how</w:t>
      </w:r>
      <w:r w:rsidR="00F34F67" w:rsidRPr="00C739A6">
        <w:t>,</w:t>
      </w:r>
      <w:r w:rsidR="00F06D46" w:rsidRPr="00C739A6">
        <w:t xml:space="preserve"> relative to wages, families are losing out on crucial income through WFF.</w:t>
      </w:r>
      <w:r w:rsidR="00A25D6A" w:rsidRPr="00C739A6">
        <w:rPr>
          <w:rStyle w:val="FootnoteReference"/>
        </w:rPr>
        <w:footnoteReference w:id="1"/>
      </w:r>
      <w:r w:rsidR="00F06D46" w:rsidRPr="00C739A6">
        <w:t xml:space="preserve"> This</w:t>
      </w:r>
      <w:r w:rsidR="002E5646" w:rsidRPr="00C739A6">
        <w:t xml:space="preserve"> lack of </w:t>
      </w:r>
      <w:r w:rsidR="00F34F67" w:rsidRPr="00C739A6">
        <w:t xml:space="preserve">wage </w:t>
      </w:r>
      <w:r w:rsidR="002E5646" w:rsidRPr="00C739A6">
        <w:t>indexation</w:t>
      </w:r>
      <w:r w:rsidR="00F06D46" w:rsidRPr="00C739A6">
        <w:t xml:space="preserve"> exacerbates growing inequality between children in low-income households, and all other children</w:t>
      </w:r>
      <w:r w:rsidR="00D227C6" w:rsidRPr="00C739A6">
        <w:t xml:space="preserve"> in NZ</w:t>
      </w:r>
      <w:r w:rsidR="00F06D46" w:rsidRPr="00C739A6">
        <w:t>. We begin with an overview of the WFF package, highlighting its objectives, structure, and current indexation</w:t>
      </w:r>
      <w:r w:rsidR="00F06D46" w:rsidRPr="00D130B0">
        <w:t>. Discussing macro-level trends, we then</w:t>
      </w:r>
      <w:r w:rsidR="00645263">
        <w:t xml:space="preserve"> illustrate </w:t>
      </w:r>
      <w:r w:rsidR="00F06D46" w:rsidRPr="00D130B0">
        <w:t xml:space="preserve">the </w:t>
      </w:r>
      <w:r w:rsidR="00476F51" w:rsidRPr="00D130B0">
        <w:t xml:space="preserve">movement of </w:t>
      </w:r>
      <w:r w:rsidR="00F06D46" w:rsidRPr="00D130B0">
        <w:t xml:space="preserve">real </w:t>
      </w:r>
      <w:r w:rsidR="00645263">
        <w:t xml:space="preserve">WFF </w:t>
      </w:r>
      <w:r w:rsidR="00F06D46" w:rsidRPr="00D130B0">
        <w:t>spending between 2010 and 20</w:t>
      </w:r>
      <w:r w:rsidR="00ED3C7A">
        <w:t>21</w:t>
      </w:r>
      <w:r w:rsidR="00F06D46" w:rsidRPr="00D130B0">
        <w:t>, which reflect</w:t>
      </w:r>
      <w:r w:rsidR="00476F51" w:rsidRPr="00D130B0">
        <w:t>s</w:t>
      </w:r>
      <w:r w:rsidR="00F06D46" w:rsidRPr="00D130B0">
        <w:t xml:space="preserve"> the eroding value of the abatement threshold</w:t>
      </w:r>
      <w:r w:rsidR="00476F51" w:rsidRPr="00D130B0">
        <w:t xml:space="preserve"> and payment rates</w:t>
      </w:r>
      <w:r w:rsidR="00F06D46" w:rsidRPr="00D130B0">
        <w:t xml:space="preserve">, </w:t>
      </w:r>
      <w:r w:rsidR="00476F51" w:rsidRPr="00D130B0">
        <w:t>and the 2018 Families package</w:t>
      </w:r>
      <w:r w:rsidR="00ED3C7A">
        <w:t>, including increased abatement rates</w:t>
      </w:r>
      <w:r w:rsidR="000C38A2">
        <w:t xml:space="preserve">, as well as </w:t>
      </w:r>
      <w:r w:rsidR="000C38A2" w:rsidRPr="00D130B0">
        <w:t>wider labour market conditions</w:t>
      </w:r>
      <w:r w:rsidR="00F06D46" w:rsidRPr="00C739A6">
        <w:t>. Consequently, we discuss movements in WFF payment rates over time, before modelling these rates using six example families. We find that while the Families Package made a noteworthy difference in income, much of this was catch</w:t>
      </w:r>
      <w:r w:rsidR="00132A83" w:rsidRPr="00C739A6">
        <w:t>-</w:t>
      </w:r>
      <w:r w:rsidR="00F06D46" w:rsidRPr="00C739A6">
        <w:t xml:space="preserve">up for erosion since </w:t>
      </w:r>
      <w:r w:rsidR="002E6254">
        <w:t>2010</w:t>
      </w:r>
      <w:r w:rsidR="00ED3C7A">
        <w:t xml:space="preserve">, and that spending is currently lower than the spend in years </w:t>
      </w:r>
      <w:proofErr w:type="gramStart"/>
      <w:r w:rsidR="00ED3C7A">
        <w:t>previous to</w:t>
      </w:r>
      <w:proofErr w:type="gramEnd"/>
      <w:r w:rsidR="00ED3C7A">
        <w:t xml:space="preserve"> </w:t>
      </w:r>
      <w:r w:rsidR="002E6254">
        <w:t>2010</w:t>
      </w:r>
      <w:r w:rsidR="00ED3C7A">
        <w:t>, in wage-indexed terms</w:t>
      </w:r>
      <w:r w:rsidR="00F06D46" w:rsidRPr="00C739A6">
        <w:t xml:space="preserve">. </w:t>
      </w:r>
      <w:r w:rsidR="005D0408" w:rsidRPr="00C739A6">
        <w:t>We conclude that f</w:t>
      </w:r>
      <w:r w:rsidR="00F06D46" w:rsidRPr="00C739A6">
        <w:t xml:space="preserve">ull </w:t>
      </w:r>
      <w:r w:rsidR="00DC1BB1" w:rsidRPr="00C739A6">
        <w:t>index</w:t>
      </w:r>
      <w:r w:rsidR="00402596" w:rsidRPr="00C739A6">
        <w:t>ation of</w:t>
      </w:r>
      <w:r w:rsidR="00DC1BB1" w:rsidRPr="00C739A6">
        <w:t xml:space="preserve"> WFF</w:t>
      </w:r>
      <w:r w:rsidR="00402596" w:rsidRPr="00C739A6">
        <w:t xml:space="preserve"> is needed</w:t>
      </w:r>
      <w:r w:rsidR="00EE0E21" w:rsidRPr="00C739A6">
        <w:t xml:space="preserve"> </w:t>
      </w:r>
      <w:proofErr w:type="gramStart"/>
      <w:r w:rsidR="00EE0E21" w:rsidRPr="00C739A6">
        <w:t>in</w:t>
      </w:r>
      <w:r w:rsidR="00BC46AB" w:rsidRPr="00C739A6">
        <w:t xml:space="preserve"> order to</w:t>
      </w:r>
      <w:proofErr w:type="gramEnd"/>
      <w:r w:rsidR="00BC46AB" w:rsidRPr="00C739A6">
        <w:t xml:space="preserve"> ‘bake in’ the improvements ma</w:t>
      </w:r>
      <w:r w:rsidR="00314F6B" w:rsidRPr="00C739A6">
        <w:t>de through the Families Package</w:t>
      </w:r>
      <w:r w:rsidR="00476F51">
        <w:t xml:space="preserve"> </w:t>
      </w:r>
      <w:r w:rsidR="00476F51" w:rsidRPr="00ED3C7A">
        <w:t>and future much-needed improvements</w:t>
      </w:r>
      <w:r w:rsidR="00314F6B" w:rsidRPr="00C739A6">
        <w:t>;</w:t>
      </w:r>
      <w:r w:rsidR="00BC46AB" w:rsidRPr="00C739A6">
        <w:t xml:space="preserve"> otherwise</w:t>
      </w:r>
      <w:r w:rsidR="00AA4358" w:rsidRPr="00C739A6">
        <w:t>, as has been the case since 2018</w:t>
      </w:r>
      <w:r w:rsidR="00311110" w:rsidRPr="00C739A6">
        <w:t>,</w:t>
      </w:r>
      <w:r w:rsidR="00BC46AB" w:rsidRPr="00C739A6">
        <w:t xml:space="preserve"> these </w:t>
      </w:r>
      <w:r w:rsidR="00ED3C7A">
        <w:t>gains</w:t>
      </w:r>
      <w:r w:rsidR="00ED3C7A" w:rsidRPr="00C739A6">
        <w:t xml:space="preserve"> </w:t>
      </w:r>
      <w:r w:rsidR="00BC46AB" w:rsidRPr="00C739A6">
        <w:t xml:space="preserve">for children </w:t>
      </w:r>
      <w:r w:rsidR="00AA4358" w:rsidRPr="00C739A6">
        <w:t xml:space="preserve">quickly </w:t>
      </w:r>
      <w:r w:rsidR="00BC46AB" w:rsidRPr="00C739A6">
        <w:t>erode in value</w:t>
      </w:r>
      <w:r w:rsidR="00AA4358" w:rsidRPr="00C739A6">
        <w:t>.</w:t>
      </w:r>
    </w:p>
    <w:p w14:paraId="011BD7E8" w14:textId="2133ACC5" w:rsidR="00823ACC" w:rsidRPr="00C739A6" w:rsidRDefault="0063523A" w:rsidP="00944A58">
      <w:pPr>
        <w:pStyle w:val="Heading1"/>
      </w:pPr>
      <w:bookmarkStart w:id="11" w:name="_Toc66785663"/>
      <w:r w:rsidRPr="00C739A6">
        <w:t>Overview of</w:t>
      </w:r>
      <w:r w:rsidR="00823ACC" w:rsidRPr="00C739A6">
        <w:t xml:space="preserve"> </w:t>
      </w:r>
      <w:r w:rsidR="008632DF" w:rsidRPr="00C739A6">
        <w:t>Working for Families</w:t>
      </w:r>
      <w:bookmarkEnd w:id="11"/>
    </w:p>
    <w:p w14:paraId="27F4B7C7" w14:textId="5DEE9993" w:rsidR="00EF4C72" w:rsidRPr="00C739A6" w:rsidRDefault="00BC535D" w:rsidP="00A90A8C">
      <w:r w:rsidRPr="00C739A6">
        <w:t xml:space="preserve">WFF tax credits </w:t>
      </w:r>
      <w:r w:rsidR="00B42B75" w:rsidRPr="00C739A6">
        <w:t>are payments to</w:t>
      </w:r>
      <w:r w:rsidR="00D101A1" w:rsidRPr="00C739A6">
        <w:t xml:space="preserve"> families with dependent children aged 18 and under</w:t>
      </w:r>
      <w:r w:rsidR="002C3B03" w:rsidRPr="00C739A6">
        <w:t>, administered by the Inland Revenue Department (IRD)</w:t>
      </w:r>
      <w:r w:rsidR="00D101A1" w:rsidRPr="00C739A6">
        <w:t xml:space="preserve">. </w:t>
      </w:r>
      <w:r w:rsidR="00165730" w:rsidRPr="00C739A6">
        <w:t xml:space="preserve">These payments are targeted to low- and middle-income families, with rates abated once household income </w:t>
      </w:r>
      <w:r w:rsidR="002C3B03" w:rsidRPr="00C739A6">
        <w:t>reache</w:t>
      </w:r>
      <w:r w:rsidR="00165730" w:rsidRPr="00C739A6">
        <w:t>s a certain threshold</w:t>
      </w:r>
      <w:r w:rsidR="00B839D8" w:rsidRPr="00C739A6">
        <w:t xml:space="preserve"> (see </w:t>
      </w:r>
      <w:r w:rsidR="00D227C6" w:rsidRPr="00C739A6">
        <w:fldChar w:fldCharType="begin"/>
      </w:r>
      <w:r w:rsidR="00D227C6" w:rsidRPr="00C739A6">
        <w:instrText xml:space="preserve"> REF _Ref67063373 \h </w:instrText>
      </w:r>
      <w:r w:rsidR="00D227C6" w:rsidRPr="00C739A6">
        <w:fldChar w:fldCharType="separate"/>
      </w:r>
      <w:r w:rsidR="00D47803" w:rsidRPr="00C739A6">
        <w:t>Appendix A: Selected WFF rates 2008 to 2021</w:t>
      </w:r>
      <w:r w:rsidR="00D227C6" w:rsidRPr="00C739A6">
        <w:fldChar w:fldCharType="end"/>
      </w:r>
      <w:r w:rsidR="007D4320">
        <w:t xml:space="preserve"> </w:t>
      </w:r>
      <w:r w:rsidR="00822640">
        <w:t>Table 5</w:t>
      </w:r>
      <w:r w:rsidR="001816D0" w:rsidRPr="00C739A6">
        <w:t xml:space="preserve"> for details)</w:t>
      </w:r>
      <w:r w:rsidR="00165730" w:rsidRPr="00C739A6">
        <w:t xml:space="preserve">. </w:t>
      </w:r>
      <w:r w:rsidR="00F92EEE" w:rsidRPr="00C739A6">
        <w:t xml:space="preserve">WFF tax credits are child-specific </w:t>
      </w:r>
      <w:r w:rsidR="009539DB" w:rsidRPr="00C739A6">
        <w:t xml:space="preserve">weekly </w:t>
      </w:r>
      <w:r w:rsidR="00F92EEE" w:rsidRPr="00C739A6">
        <w:t>payments</w:t>
      </w:r>
      <w:r w:rsidR="009539DB" w:rsidRPr="00C739A6">
        <w:t xml:space="preserve"> to the </w:t>
      </w:r>
      <w:r w:rsidR="00472B9C" w:rsidRPr="00C739A6">
        <w:t xml:space="preserve">primary </w:t>
      </w:r>
      <w:r w:rsidR="009539DB" w:rsidRPr="00C739A6">
        <w:t>caregiver</w:t>
      </w:r>
      <w:r w:rsidR="00F92EEE" w:rsidRPr="00C739A6">
        <w:t xml:space="preserve">, </w:t>
      </w:r>
      <w:r w:rsidR="009539DB" w:rsidRPr="00C739A6">
        <w:t>to</w:t>
      </w:r>
      <w:r w:rsidR="00F92EEE" w:rsidRPr="00C739A6">
        <w:t xml:space="preserve"> assist parents</w:t>
      </w:r>
      <w:r w:rsidR="00D227C6" w:rsidRPr="00C739A6">
        <w:t>/caregivers</w:t>
      </w:r>
      <w:r w:rsidR="00F92EEE" w:rsidRPr="00C739A6">
        <w:t xml:space="preserve"> with the costs of raising children. Prior to the establishment of WFF in </w:t>
      </w:r>
      <w:r w:rsidR="00F92EEE" w:rsidRPr="00C739A6">
        <w:lastRenderedPageBreak/>
        <w:t xml:space="preserve">2004, main benefits had rates that increased by number of dependent children. These child-related components were disestablished following the introduction of WFF, simplifying the main benefit </w:t>
      </w:r>
      <w:proofErr w:type="gramStart"/>
      <w:r w:rsidR="00F92EEE" w:rsidRPr="00C739A6">
        <w:t>system</w:t>
      </w:r>
      <w:proofErr w:type="gramEnd"/>
      <w:r w:rsidR="00F92EEE" w:rsidRPr="00C739A6">
        <w:t xml:space="preserve"> and making main benefits payments </w:t>
      </w:r>
      <w:r w:rsidR="00034143" w:rsidRPr="00C739A6">
        <w:t xml:space="preserve">more clearly </w:t>
      </w:r>
      <w:r w:rsidR="00F92EEE" w:rsidRPr="00C739A6">
        <w:t>for adults, ra</w:t>
      </w:r>
      <w:r w:rsidR="00D102E7" w:rsidRPr="00C739A6">
        <w:t>ther than children (</w:t>
      </w:r>
      <w:r w:rsidR="00206C63" w:rsidRPr="00C739A6">
        <w:t>Welfare Expert Advisory Group</w:t>
      </w:r>
      <w:r w:rsidR="00D102E7" w:rsidRPr="00C739A6">
        <w:t>, 2018).</w:t>
      </w:r>
      <w:r w:rsidR="00EF4C72" w:rsidRPr="00C739A6">
        <w:t xml:space="preserve"> While</w:t>
      </w:r>
      <w:r w:rsidR="00C605B4">
        <w:t xml:space="preserve"> it is</w:t>
      </w:r>
      <w:r w:rsidR="00EF4C72" w:rsidRPr="00C739A6">
        <w:t xml:space="preserve"> a sound principle to have separate child-specific payments – as adults need adequate income in their own right – WFF must be designed to meet the needs of children </w:t>
      </w:r>
      <w:proofErr w:type="gramStart"/>
      <w:r w:rsidR="00EF4C72" w:rsidRPr="00C739A6">
        <w:t>in order to</w:t>
      </w:r>
      <w:proofErr w:type="gramEnd"/>
      <w:r w:rsidR="00EF4C72" w:rsidRPr="00C739A6">
        <w:t xml:space="preserve"> fulfil this principle.</w:t>
      </w:r>
    </w:p>
    <w:p w14:paraId="55D3BFB7" w14:textId="35964625" w:rsidR="00F92EEE" w:rsidRPr="00C739A6" w:rsidRDefault="0063523A" w:rsidP="00A90A8C">
      <w:r w:rsidRPr="00C739A6">
        <w:t xml:space="preserve">The </w:t>
      </w:r>
      <w:r w:rsidR="00165730" w:rsidRPr="00C739A6">
        <w:t xml:space="preserve">WFF </w:t>
      </w:r>
      <w:r w:rsidRPr="00C739A6">
        <w:t xml:space="preserve">package </w:t>
      </w:r>
      <w:r w:rsidR="00165730" w:rsidRPr="00C739A6">
        <w:t>is made up of four tax credit payments</w:t>
      </w:r>
      <w:r w:rsidRPr="00C739A6">
        <w:t xml:space="preserve"> – the </w:t>
      </w:r>
      <w:r w:rsidR="00165730" w:rsidRPr="00C739A6">
        <w:t>Family Tax Credit</w:t>
      </w:r>
      <w:r w:rsidR="00C605B4">
        <w:t xml:space="preserve"> (FTC)</w:t>
      </w:r>
      <w:r w:rsidR="00165730" w:rsidRPr="00C739A6">
        <w:t>, the In-Work Tax Credit</w:t>
      </w:r>
      <w:r w:rsidR="00C605B4">
        <w:t xml:space="preserve"> (IWTC)</w:t>
      </w:r>
      <w:r w:rsidR="00165730" w:rsidRPr="00C739A6">
        <w:t>, the Best Start Tax Credit and the Minimum Family Tax Credit</w:t>
      </w:r>
      <w:r w:rsidR="00C605B4">
        <w:t xml:space="preserve"> (MFTC)</w:t>
      </w:r>
      <w:r w:rsidR="00165730" w:rsidRPr="00C739A6">
        <w:t>.</w:t>
      </w:r>
      <w:r w:rsidR="004C5D94" w:rsidRPr="00C739A6">
        <w:t xml:space="preserve"> </w:t>
      </w:r>
      <w:r w:rsidR="00A12788" w:rsidRPr="00C739A6">
        <w:t xml:space="preserve">The modelling in this paper focuses on the two largest payments, the </w:t>
      </w:r>
      <w:r w:rsidR="00150E40" w:rsidRPr="00C739A6">
        <w:t>FTC</w:t>
      </w:r>
      <w:r w:rsidR="00A12788" w:rsidRPr="00C739A6">
        <w:t xml:space="preserve"> and the </w:t>
      </w:r>
      <w:r w:rsidR="00FA19EE" w:rsidRPr="00C739A6">
        <w:t>IWTC</w:t>
      </w:r>
      <w:r w:rsidR="00490473" w:rsidRPr="00C739A6">
        <w:t>, as they reflect the bulk of WFF spending</w:t>
      </w:r>
      <w:r w:rsidR="00A12788" w:rsidRPr="00C739A6">
        <w:t>. The Best Start Tax Credit was introduced in 2018, available universally</w:t>
      </w:r>
      <w:r w:rsidR="00E21F7A" w:rsidRPr="00C739A6">
        <w:t xml:space="preserve"> for children under one and </w:t>
      </w:r>
      <w:r w:rsidR="00A12788" w:rsidRPr="00C739A6">
        <w:t>income-tested for children aged one to three (</w:t>
      </w:r>
      <w:r w:rsidR="00206C63" w:rsidRPr="00C739A6">
        <w:t>Welfare Expert Advisory Group</w:t>
      </w:r>
      <w:r w:rsidR="00145654" w:rsidRPr="00C739A6">
        <w:t xml:space="preserve">, 2018). The </w:t>
      </w:r>
      <w:r w:rsidR="002065D8" w:rsidRPr="00C739A6">
        <w:t>MFTC</w:t>
      </w:r>
      <w:r w:rsidR="00A12788" w:rsidRPr="00C739A6">
        <w:t xml:space="preserve"> </w:t>
      </w:r>
      <w:r w:rsidR="00ED32AB" w:rsidRPr="00C739A6">
        <w:t xml:space="preserve">is a ‘top-up’ payment for families who are in </w:t>
      </w:r>
      <w:r w:rsidR="00706045" w:rsidRPr="00C739A6">
        <w:t xml:space="preserve">paid </w:t>
      </w:r>
      <w:r w:rsidR="00ED32AB" w:rsidRPr="00C739A6">
        <w:t xml:space="preserve">work but earn under a given threshold, and are not on a benefit (IRD, </w:t>
      </w:r>
      <w:r w:rsidR="007F6EBE" w:rsidRPr="00C739A6">
        <w:t xml:space="preserve">2021c). </w:t>
      </w:r>
      <w:r w:rsidR="0060592D" w:rsidRPr="00C739A6">
        <w:t>As of March 2019, a</w:t>
      </w:r>
      <w:r w:rsidR="00472B9C" w:rsidRPr="00C739A6">
        <w:t>pproximately 3</w:t>
      </w:r>
      <w:r w:rsidR="0060592D" w:rsidRPr="00C739A6">
        <w:t>,1</w:t>
      </w:r>
      <w:r w:rsidR="00472B9C" w:rsidRPr="00C739A6">
        <w:t>00 families receive</w:t>
      </w:r>
      <w:r w:rsidR="0060592D" w:rsidRPr="00C739A6">
        <w:t>d</w:t>
      </w:r>
      <w:r w:rsidR="00472B9C" w:rsidRPr="00C739A6">
        <w:t xml:space="preserve"> the MFTC, far lower than receive</w:t>
      </w:r>
      <w:r w:rsidR="0060592D" w:rsidRPr="00C739A6">
        <w:t>d</w:t>
      </w:r>
      <w:r w:rsidR="00472B9C" w:rsidRPr="00C739A6">
        <w:t xml:space="preserve"> the FTC (</w:t>
      </w:r>
      <w:r w:rsidR="0060592D" w:rsidRPr="00C739A6">
        <w:t>289,300</w:t>
      </w:r>
      <w:r w:rsidR="00472B9C" w:rsidRPr="00C739A6">
        <w:t>) or IWTC (</w:t>
      </w:r>
      <w:r w:rsidR="0060592D" w:rsidRPr="00C739A6">
        <w:t>203,200</w:t>
      </w:r>
      <w:r w:rsidR="00472B9C" w:rsidRPr="00C739A6">
        <w:t xml:space="preserve">) </w:t>
      </w:r>
      <w:r w:rsidR="0060592D" w:rsidRPr="00C739A6">
        <w:t>(</w:t>
      </w:r>
      <w:r w:rsidR="00BA649F">
        <w:t>IRD</w:t>
      </w:r>
      <w:r w:rsidR="0060592D" w:rsidRPr="00C739A6">
        <w:t>, 2019d)</w:t>
      </w:r>
      <w:r w:rsidR="00472B9C" w:rsidRPr="00C739A6">
        <w:t>.</w:t>
      </w:r>
    </w:p>
    <w:p w14:paraId="62BCABA1" w14:textId="1230D4E9" w:rsidR="0063523A" w:rsidRPr="00C739A6" w:rsidRDefault="00BA649F" w:rsidP="0063523A">
      <w:pPr>
        <w:pStyle w:val="Heading2"/>
      </w:pPr>
      <w:bookmarkStart w:id="12" w:name="_Toc66785664"/>
      <w:r>
        <w:t>Current i</w:t>
      </w:r>
      <w:r w:rsidR="0063523A" w:rsidRPr="00C739A6">
        <w:t>ndexation of WFF</w:t>
      </w:r>
      <w:bookmarkEnd w:id="12"/>
    </w:p>
    <w:p w14:paraId="7B112370" w14:textId="59C1F260" w:rsidR="008F75D8" w:rsidRPr="00C739A6" w:rsidRDefault="00D81950" w:rsidP="008F75D8">
      <w:r w:rsidRPr="00C739A6">
        <w:t>I</w:t>
      </w:r>
      <w:r w:rsidR="00330FC5" w:rsidRPr="00C739A6">
        <w:t xml:space="preserve">ndexation of WFF is complicated and inconsistent. </w:t>
      </w:r>
      <w:r w:rsidR="00F17DCD" w:rsidRPr="00C739A6">
        <w:t>At present, t</w:t>
      </w:r>
      <w:r w:rsidR="008F75D8" w:rsidRPr="00C739A6">
        <w:t xml:space="preserve">he </w:t>
      </w:r>
      <w:r w:rsidR="00150E40" w:rsidRPr="00C739A6">
        <w:t>FTC</w:t>
      </w:r>
      <w:r w:rsidR="008F75D8" w:rsidRPr="00C739A6">
        <w:t xml:space="preserve"> increases when the </w:t>
      </w:r>
      <w:r w:rsidR="00FA592F">
        <w:t>CPI</w:t>
      </w:r>
      <w:r w:rsidR="008F75D8" w:rsidRPr="00C739A6">
        <w:t xml:space="preserve"> measure exceeds 5%; however, rates have only ever been automatically adjusted </w:t>
      </w:r>
      <w:r w:rsidR="007D269F" w:rsidRPr="00C739A6">
        <w:t>once (</w:t>
      </w:r>
      <w:r w:rsidR="00292717" w:rsidRPr="00C739A6">
        <w:t>in</w:t>
      </w:r>
      <w:r w:rsidR="00CD2392" w:rsidRPr="00C739A6">
        <w:t xml:space="preserve"> 2012;</w:t>
      </w:r>
      <w:r w:rsidR="00C15E9B" w:rsidRPr="00C739A6">
        <w:t xml:space="preserve"> </w:t>
      </w:r>
      <w:r w:rsidR="002A72F5" w:rsidRPr="00C739A6">
        <w:t xml:space="preserve">see </w:t>
      </w:r>
      <w:r w:rsidR="00CD2392" w:rsidRPr="00C739A6">
        <w:t>Welfare Expert Advisory Group</w:t>
      </w:r>
      <w:r w:rsidR="007D269F" w:rsidRPr="00C739A6">
        <w:t xml:space="preserve">, 2018). </w:t>
      </w:r>
      <w:r w:rsidR="00292717" w:rsidRPr="00C739A6">
        <w:t>C</w:t>
      </w:r>
      <w:r w:rsidR="004F68AE" w:rsidRPr="00C739A6">
        <w:t xml:space="preserve">hanges </w:t>
      </w:r>
      <w:r w:rsidR="00373F17" w:rsidRPr="00C739A6">
        <w:t xml:space="preserve">to the </w:t>
      </w:r>
      <w:r w:rsidR="00150E40" w:rsidRPr="00C739A6">
        <w:t>FTC</w:t>
      </w:r>
      <w:r w:rsidR="00373F17" w:rsidRPr="00C739A6">
        <w:t xml:space="preserve"> </w:t>
      </w:r>
      <w:r w:rsidR="00C15E9B" w:rsidRPr="00C739A6">
        <w:t>in 2018</w:t>
      </w:r>
      <w:r w:rsidR="004F68AE" w:rsidRPr="00C739A6">
        <w:t xml:space="preserve"> </w:t>
      </w:r>
      <w:r w:rsidR="00292717" w:rsidRPr="00C739A6">
        <w:t>resulting from Budget decisions</w:t>
      </w:r>
      <w:r w:rsidR="004F68AE" w:rsidRPr="00C739A6">
        <w:t xml:space="preserve"> reset the</w:t>
      </w:r>
      <w:r w:rsidR="00373F17" w:rsidRPr="00C739A6">
        <w:t xml:space="preserve"> cumulative</w:t>
      </w:r>
      <w:r w:rsidR="004F68AE" w:rsidRPr="00C739A6">
        <w:t xml:space="preserve"> CPI count. </w:t>
      </w:r>
      <w:r w:rsidR="00330FC5" w:rsidRPr="00C739A6">
        <w:t xml:space="preserve">The </w:t>
      </w:r>
      <w:r w:rsidR="00FA19EE" w:rsidRPr="00C739A6">
        <w:t>IWTC</w:t>
      </w:r>
      <w:r w:rsidR="00330FC5" w:rsidRPr="00C739A6">
        <w:t xml:space="preserve"> is not indexed, but is reviewed every three years, with no obligation for the government to make any changes. </w:t>
      </w:r>
      <w:r w:rsidR="00055109" w:rsidRPr="00C739A6">
        <w:t xml:space="preserve">No changes have ever been made following these reviews, </w:t>
      </w:r>
      <w:r w:rsidR="000D5FF0" w:rsidRPr="00C739A6">
        <w:t>with one</w:t>
      </w:r>
      <w:r w:rsidR="00373F17" w:rsidRPr="00C739A6">
        <w:t xml:space="preserve"> increase </w:t>
      </w:r>
      <w:r w:rsidR="00CE02DF" w:rsidRPr="00C739A6">
        <w:t xml:space="preserve">to the </w:t>
      </w:r>
      <w:r w:rsidR="00FA19EE" w:rsidRPr="00C739A6">
        <w:t>IWTC</w:t>
      </w:r>
      <w:r w:rsidR="00CE02DF" w:rsidRPr="00C739A6">
        <w:t xml:space="preserve"> </w:t>
      </w:r>
      <w:r w:rsidR="00373F17" w:rsidRPr="00C739A6">
        <w:t>o</w:t>
      </w:r>
      <w:r w:rsidR="000D5FF0" w:rsidRPr="00C739A6">
        <w:t>ccu</w:t>
      </w:r>
      <w:r w:rsidR="00C605B4">
        <w:t>r</w:t>
      </w:r>
      <w:r w:rsidR="000D5FF0" w:rsidRPr="00C739A6">
        <w:t>ring</w:t>
      </w:r>
      <w:r w:rsidR="00055109" w:rsidRPr="00C739A6">
        <w:t xml:space="preserve"> </w:t>
      </w:r>
      <w:r w:rsidR="00C15E9B" w:rsidRPr="00C739A6">
        <w:t xml:space="preserve">in 2016 </w:t>
      </w:r>
      <w:proofErr w:type="gramStart"/>
      <w:r w:rsidR="00055109" w:rsidRPr="00C739A6">
        <w:t xml:space="preserve">as </w:t>
      </w:r>
      <w:r w:rsidR="00373F17" w:rsidRPr="00C739A6">
        <w:t>a result of</w:t>
      </w:r>
      <w:proofErr w:type="gramEnd"/>
      <w:r w:rsidR="00373F17" w:rsidRPr="00C739A6">
        <w:t xml:space="preserve"> a </w:t>
      </w:r>
      <w:r w:rsidR="00472B9C" w:rsidRPr="00C739A6">
        <w:t xml:space="preserve">separate </w:t>
      </w:r>
      <w:r w:rsidR="00055109" w:rsidRPr="00C739A6">
        <w:t>Budget decision (</w:t>
      </w:r>
      <w:r w:rsidR="001A7E66" w:rsidRPr="00C739A6">
        <w:t>Welfare Expert Advisory Group</w:t>
      </w:r>
      <w:r w:rsidR="00055109" w:rsidRPr="00C739A6">
        <w:t xml:space="preserve">, 2018). </w:t>
      </w:r>
      <w:r w:rsidR="007F4762">
        <w:t>For more details, see the timeline in Appendix B.</w:t>
      </w:r>
    </w:p>
    <w:p w14:paraId="12B9075C" w14:textId="5F5C2245" w:rsidR="000F11EF" w:rsidRPr="00C739A6" w:rsidRDefault="00467A94" w:rsidP="000F11EF">
      <w:pPr>
        <w:pStyle w:val="Heading1"/>
      </w:pPr>
      <w:bookmarkStart w:id="13" w:name="_Toc66785665"/>
      <w:r w:rsidRPr="00C739A6">
        <w:t>Macro spending on WFF over time</w:t>
      </w:r>
      <w:bookmarkEnd w:id="13"/>
    </w:p>
    <w:p w14:paraId="416507FE" w14:textId="4864F32E" w:rsidR="00487E47" w:rsidRPr="00487E47" w:rsidRDefault="00487E47" w:rsidP="00713A4B">
      <w:pPr>
        <w:pStyle w:val="Heading2"/>
      </w:pPr>
      <w:r w:rsidRPr="00487E47">
        <w:t xml:space="preserve">Nominal vs wage-indexed macro </w:t>
      </w:r>
      <w:r w:rsidR="00471849">
        <w:t xml:space="preserve">expenditure </w:t>
      </w:r>
    </w:p>
    <w:p w14:paraId="2DE52186" w14:textId="4E1FDCC2" w:rsidR="00DD6E27" w:rsidRDefault="00C15E9B" w:rsidP="00DD6E27">
      <w:r w:rsidRPr="00C739A6">
        <w:t xml:space="preserve">Figure </w:t>
      </w:r>
      <w:r w:rsidR="00106A85" w:rsidRPr="00C739A6">
        <w:t>2</w:t>
      </w:r>
      <w:r w:rsidRPr="00C739A6">
        <w:t xml:space="preserve"> presents the </w:t>
      </w:r>
      <w:r w:rsidR="00767AF7" w:rsidRPr="00C739A6">
        <w:t xml:space="preserve">nominal value and wage-adjusted value (in Q4 2020 dollars) of </w:t>
      </w:r>
      <w:r w:rsidR="00D83404">
        <w:t xml:space="preserve">annual </w:t>
      </w:r>
      <w:r w:rsidR="00767AF7" w:rsidRPr="00C739A6">
        <w:t>WFF spending</w:t>
      </w:r>
      <w:r w:rsidR="00C4717E" w:rsidRPr="00C739A6">
        <w:rPr>
          <w:rStyle w:val="FootnoteReference"/>
        </w:rPr>
        <w:footnoteReference w:id="2"/>
      </w:r>
      <w:r w:rsidR="00767AF7" w:rsidRPr="00C739A6">
        <w:t xml:space="preserve"> from June 2008 to June 2021. </w:t>
      </w:r>
      <w:r w:rsidR="00DD6E27" w:rsidRPr="00C739A6">
        <w:t xml:space="preserve">While WFF </w:t>
      </w:r>
      <w:r w:rsidR="00DD6E27">
        <w:t>spending is forecast to be 24 percent higher in 2021 than in 2008 in nominal terms, the wage-indexed forecast is 15 percent lower.</w:t>
      </w:r>
      <w:r w:rsidR="00DD6E27" w:rsidRPr="00C739A6">
        <w:t xml:space="preserve"> When wage-indexed, spending on WFF rapidly erodes between 2010 and 2018, </w:t>
      </w:r>
      <w:r w:rsidR="00DD6E27">
        <w:t xml:space="preserve">before </w:t>
      </w:r>
      <w:r w:rsidR="00DD6E27" w:rsidRPr="00C739A6">
        <w:t xml:space="preserve">a notable increase </w:t>
      </w:r>
      <w:r w:rsidR="00DD6E27">
        <w:t xml:space="preserve">in </w:t>
      </w:r>
      <w:r w:rsidR="00DD6E27" w:rsidRPr="00C739A6">
        <w:t xml:space="preserve">2019 when the Families Package came into effect. Yet despite this increase, </w:t>
      </w:r>
      <w:r w:rsidR="00DD6E27">
        <w:t xml:space="preserve">wage-indexed </w:t>
      </w:r>
      <w:r w:rsidR="00DD6E27" w:rsidRPr="00C739A6">
        <w:t xml:space="preserve">spending </w:t>
      </w:r>
      <w:r w:rsidR="00DD6E27">
        <w:t xml:space="preserve">has </w:t>
      </w:r>
      <w:r w:rsidR="00DD6E27" w:rsidRPr="00C739A6">
        <w:t>not recovered to levels</w:t>
      </w:r>
      <w:r w:rsidR="00DD6E27">
        <w:t xml:space="preserve"> of the early 2010s</w:t>
      </w:r>
      <w:r w:rsidR="006D1AE6">
        <w:t xml:space="preserve">; </w:t>
      </w:r>
      <w:r w:rsidR="00DD6E27">
        <w:t>the 2020 spend was $640 million lower in Q4 2020 dollars than the 2010 spend. As discussed below, spend is affected by the fluctuating number of families that meet the (changing) criteria as well as entitlement levels. Moreover, due to the lack of wage-indexing, the overall spend has once again started eroding</w:t>
      </w:r>
      <w:r w:rsidR="00DD6E27" w:rsidRPr="001D533A">
        <w:t>, even though in nominal terms it appears to increase between 2020 and 2021</w:t>
      </w:r>
      <w:r w:rsidR="00DD6E27">
        <w:t xml:space="preserve">. </w:t>
      </w:r>
    </w:p>
    <w:p w14:paraId="345D2073" w14:textId="3499BE13" w:rsidR="0015165D" w:rsidRPr="00BF4AD7" w:rsidRDefault="0015165D" w:rsidP="00BF4AD7">
      <w:pPr>
        <w:pStyle w:val="Caption"/>
        <w:rPr>
          <w:sz w:val="22"/>
        </w:rPr>
      </w:pPr>
      <w:bookmarkStart w:id="14" w:name="_Toc69738143"/>
      <w:r w:rsidRPr="00BF4AD7">
        <w:rPr>
          <w:sz w:val="22"/>
        </w:rPr>
        <w:lastRenderedPageBreak/>
        <w:t xml:space="preserve">Figure </w:t>
      </w:r>
      <w:r w:rsidRPr="00BF4AD7">
        <w:rPr>
          <w:sz w:val="22"/>
        </w:rPr>
        <w:fldChar w:fldCharType="begin"/>
      </w:r>
      <w:r w:rsidRPr="00BF4AD7">
        <w:rPr>
          <w:sz w:val="22"/>
        </w:rPr>
        <w:instrText xml:space="preserve"> SEQ Figure \* ARABIC </w:instrText>
      </w:r>
      <w:r w:rsidRPr="00BF4AD7">
        <w:rPr>
          <w:sz w:val="22"/>
        </w:rPr>
        <w:fldChar w:fldCharType="separate"/>
      </w:r>
      <w:r w:rsidR="00D47803">
        <w:rPr>
          <w:noProof/>
          <w:sz w:val="22"/>
        </w:rPr>
        <w:t>2</w:t>
      </w:r>
      <w:r w:rsidRPr="00BF4AD7">
        <w:rPr>
          <w:sz w:val="22"/>
        </w:rPr>
        <w:fldChar w:fldCharType="end"/>
      </w:r>
      <w:r w:rsidRPr="00BF4AD7">
        <w:rPr>
          <w:sz w:val="22"/>
        </w:rPr>
        <w:t xml:space="preserve">: Nominal WFF spending and wage-adjusted spending (in Q4 2020 dollars) 2008 to 2021 (forecasted). </w:t>
      </w:r>
      <w:r w:rsidRPr="00BF4AD7">
        <w:rPr>
          <w:sz w:val="20"/>
        </w:rPr>
        <w:t>Source: 2008-12 figures from Treasury (2013), 2013-17 from Treasury (2018), and 2018-21 from Treasury (2020a).</w:t>
      </w:r>
      <w:bookmarkEnd w:id="14"/>
    </w:p>
    <w:p w14:paraId="1411E1F4" w14:textId="7DEE1D3D" w:rsidR="00BF7D74" w:rsidRDefault="0015165D" w:rsidP="000F11EF">
      <w:r>
        <w:rPr>
          <w:noProof/>
          <w:lang w:eastAsia="en-NZ"/>
        </w:rPr>
        <w:drawing>
          <wp:inline distT="0" distB="0" distL="0" distR="0" wp14:anchorId="26D203E5" wp14:editId="7B8AAD51">
            <wp:extent cx="5311471" cy="3108960"/>
            <wp:effectExtent l="0" t="0" r="3810" b="15240"/>
            <wp:docPr id="19" name="Chart 19">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03F153" w14:textId="6408E2B5" w:rsidR="00F5171D" w:rsidRDefault="00F10D5C" w:rsidP="00EE7F36">
      <w:pPr>
        <w:spacing w:after="120"/>
      </w:pPr>
      <w:r w:rsidRPr="00C739A6">
        <w:t xml:space="preserve">From 2019, WFF totals </w:t>
      </w:r>
      <w:r w:rsidR="00BA5FB0">
        <w:t xml:space="preserve">in the graph above </w:t>
      </w:r>
      <w:r w:rsidRPr="00C739A6">
        <w:t>include the Best Start Tax Credit</w:t>
      </w:r>
      <w:r w:rsidR="00BA5FB0">
        <w:t xml:space="preserve"> which is </w:t>
      </w:r>
      <w:r w:rsidRPr="00C739A6">
        <w:t xml:space="preserve">a key feature </w:t>
      </w:r>
      <w:r w:rsidR="00F5171D">
        <w:t xml:space="preserve">and new initiative </w:t>
      </w:r>
      <w:r w:rsidRPr="00C739A6">
        <w:t xml:space="preserve">of the Families Package, </w:t>
      </w:r>
      <w:r w:rsidR="00BA5FB0">
        <w:t xml:space="preserve">and </w:t>
      </w:r>
      <w:r w:rsidRPr="00C739A6">
        <w:t xml:space="preserve">commendably </w:t>
      </w:r>
      <w:r w:rsidR="00BA5FB0">
        <w:t xml:space="preserve">supports </w:t>
      </w:r>
      <w:r w:rsidRPr="00C739A6">
        <w:t xml:space="preserve">children in their early years. </w:t>
      </w:r>
      <w:r w:rsidR="00BA5FB0">
        <w:t xml:space="preserve">As </w:t>
      </w:r>
      <w:r w:rsidRPr="00C739A6">
        <w:t xml:space="preserve">Best Start is a universal payment for children under </w:t>
      </w:r>
      <w:r w:rsidR="0059724D">
        <w:t xml:space="preserve">the age of </w:t>
      </w:r>
      <w:r w:rsidRPr="00C739A6">
        <w:t xml:space="preserve">one (income-tested for children </w:t>
      </w:r>
      <w:r w:rsidR="0059724D">
        <w:t xml:space="preserve">aged between one and </w:t>
      </w:r>
      <w:r w:rsidRPr="00C739A6">
        <w:t xml:space="preserve">three), spending on Best Start is </w:t>
      </w:r>
      <w:r w:rsidR="001D7BF3">
        <w:t xml:space="preserve">only partially </w:t>
      </w:r>
      <w:r w:rsidRPr="00C739A6">
        <w:t xml:space="preserve">targeted to children in </w:t>
      </w:r>
      <w:proofErr w:type="gramStart"/>
      <w:r w:rsidRPr="00C739A6">
        <w:t>low income</w:t>
      </w:r>
      <w:proofErr w:type="gramEnd"/>
      <w:r w:rsidRPr="00C739A6">
        <w:t xml:space="preserve"> households</w:t>
      </w:r>
      <w:r w:rsidR="001D7BF3">
        <w:t>, unlike</w:t>
      </w:r>
      <w:r w:rsidRPr="00C739A6">
        <w:t xml:space="preserve"> the rest of the WFF package</w:t>
      </w:r>
      <w:r w:rsidR="0059724D">
        <w:t>, and t</w:t>
      </w:r>
      <w:r w:rsidR="00BA5FB0">
        <w:t>herefore, n</w:t>
      </w:r>
      <w:r w:rsidR="001D7BF3">
        <w:t xml:space="preserve">ot all of the </w:t>
      </w:r>
      <w:r w:rsidR="0059724D">
        <w:t xml:space="preserve">new Best Start </w:t>
      </w:r>
      <w:r w:rsidRPr="00C739A6">
        <w:t xml:space="preserve">spending goes to families who are </w:t>
      </w:r>
      <w:r w:rsidR="00BA5FB0">
        <w:t xml:space="preserve">on </w:t>
      </w:r>
      <w:r w:rsidRPr="00C739A6">
        <w:t>low income</w:t>
      </w:r>
      <w:r w:rsidR="00BA5FB0">
        <w:t>s</w:t>
      </w:r>
      <w:r w:rsidRPr="00C739A6">
        <w:t xml:space="preserve">. </w:t>
      </w:r>
      <w:r w:rsidR="00BA5FB0">
        <w:t xml:space="preserve">Best Start </w:t>
      </w:r>
      <w:r w:rsidRPr="00C739A6">
        <w:t>will reflect 11 percent of overall WFF spending by June 2021.</w:t>
      </w:r>
      <w:r w:rsidR="00F5171D">
        <w:t xml:space="preserve"> </w:t>
      </w:r>
    </w:p>
    <w:p w14:paraId="15F19CEE" w14:textId="49B53065" w:rsidR="00F5171D" w:rsidRDefault="00F5171D" w:rsidP="00EE7F36">
      <w:pPr>
        <w:spacing w:after="120"/>
      </w:pPr>
      <w:r>
        <w:t>Once wage-indexed, the 2021 spend is forecast by Treasury (</w:t>
      </w:r>
      <w:r w:rsidRPr="001A4422">
        <w:t>2020</w:t>
      </w:r>
      <w:r w:rsidR="001A4422" w:rsidRPr="001A4422">
        <w:t>a</w:t>
      </w:r>
      <w:r>
        <w:t>)</w:t>
      </w:r>
      <w:r>
        <w:rPr>
          <w:rStyle w:val="FootnoteReference"/>
        </w:rPr>
        <w:footnoteReference w:id="3"/>
      </w:r>
      <w:r>
        <w:t xml:space="preserve"> to be lower than the 2020 spend by $28 million (Q4, 2020 $). And that includes a</w:t>
      </w:r>
      <w:r w:rsidR="0059724D">
        <w:t xml:space="preserve"> (nominal)</w:t>
      </w:r>
      <w:r>
        <w:t xml:space="preserve"> increase in the Best Start </w:t>
      </w:r>
      <w:proofErr w:type="gramStart"/>
      <w:r>
        <w:t>spend</w:t>
      </w:r>
      <w:proofErr w:type="gramEnd"/>
      <w:r>
        <w:t xml:space="preserve"> from $18</w:t>
      </w:r>
      <w:r w:rsidR="0059724D">
        <w:t>4</w:t>
      </w:r>
      <w:r>
        <w:t xml:space="preserve"> million to $336 million between 2020 and 2021. Excluding Best Start, the wage-indexed spend between 2020 and 2021 will decrease by $182 million (in 2020 </w:t>
      </w:r>
      <w:r w:rsidR="003872A1">
        <w:t xml:space="preserve">Q4 </w:t>
      </w:r>
      <w:r>
        <w:t>$ terms), or by 6.1</w:t>
      </w:r>
      <w:r w:rsidR="002B5E13">
        <w:t xml:space="preserve"> percent</w:t>
      </w:r>
      <w:r>
        <w:t>.</w:t>
      </w:r>
      <w:r w:rsidR="00487E47">
        <w:t xml:space="preserve"> </w:t>
      </w:r>
    </w:p>
    <w:p w14:paraId="222BAEC6" w14:textId="417B030C" w:rsidR="003872A1" w:rsidRPr="003872A1" w:rsidRDefault="003872A1" w:rsidP="003872A1">
      <w:pPr>
        <w:pStyle w:val="Caption"/>
        <w:keepNext/>
        <w:rPr>
          <w:sz w:val="22"/>
        </w:rPr>
      </w:pPr>
      <w:bookmarkStart w:id="15" w:name="_Toc70079148"/>
      <w:r w:rsidRPr="003872A1">
        <w:rPr>
          <w:sz w:val="22"/>
        </w:rPr>
        <w:t xml:space="preserve">Table </w:t>
      </w:r>
      <w:r w:rsidRPr="003872A1">
        <w:rPr>
          <w:sz w:val="22"/>
        </w:rPr>
        <w:fldChar w:fldCharType="begin"/>
      </w:r>
      <w:r w:rsidRPr="003872A1">
        <w:rPr>
          <w:sz w:val="22"/>
        </w:rPr>
        <w:instrText xml:space="preserve"> SEQ Table \* ARABIC </w:instrText>
      </w:r>
      <w:r w:rsidRPr="003872A1">
        <w:rPr>
          <w:sz w:val="22"/>
        </w:rPr>
        <w:fldChar w:fldCharType="separate"/>
      </w:r>
      <w:r w:rsidR="00D47803">
        <w:rPr>
          <w:noProof/>
          <w:sz w:val="22"/>
        </w:rPr>
        <w:t>1</w:t>
      </w:r>
      <w:r w:rsidRPr="003872A1">
        <w:rPr>
          <w:sz w:val="22"/>
        </w:rPr>
        <w:fldChar w:fldCharType="end"/>
      </w:r>
      <w:r w:rsidRPr="003872A1">
        <w:rPr>
          <w:sz w:val="22"/>
        </w:rPr>
        <w:t>:</w:t>
      </w:r>
      <w:r w:rsidR="002A4AB2">
        <w:rPr>
          <w:sz w:val="22"/>
        </w:rPr>
        <w:t xml:space="preserve"> </w:t>
      </w:r>
      <w:r w:rsidRPr="003872A1">
        <w:rPr>
          <w:sz w:val="22"/>
        </w:rPr>
        <w:t>2018-2021 WFF</w:t>
      </w:r>
      <w:r w:rsidR="002A4AB2">
        <w:rPr>
          <w:sz w:val="22"/>
        </w:rPr>
        <w:t xml:space="preserve"> expenditure</w:t>
      </w:r>
      <w:r w:rsidRPr="003872A1">
        <w:rPr>
          <w:sz w:val="22"/>
        </w:rPr>
        <w:t>, nominal and wage-indexed ($M)</w:t>
      </w:r>
      <w:bookmarkEnd w:id="15"/>
    </w:p>
    <w:tbl>
      <w:tblPr>
        <w:tblStyle w:val="TableGrid"/>
        <w:tblW w:w="9016" w:type="dxa"/>
        <w:tblLook w:val="04A0" w:firstRow="1" w:lastRow="0" w:firstColumn="1" w:lastColumn="0" w:noHBand="0" w:noVBand="1"/>
      </w:tblPr>
      <w:tblGrid>
        <w:gridCol w:w="988"/>
        <w:gridCol w:w="1135"/>
        <w:gridCol w:w="707"/>
        <w:gridCol w:w="1276"/>
        <w:gridCol w:w="1543"/>
        <w:gridCol w:w="1135"/>
        <w:gridCol w:w="1036"/>
        <w:gridCol w:w="1196"/>
      </w:tblGrid>
      <w:tr w:rsidR="0050294C" w:rsidRPr="00EE7F36" w14:paraId="7F52DB1D" w14:textId="77777777" w:rsidTr="003872A1">
        <w:trPr>
          <w:trHeight w:val="290"/>
        </w:trPr>
        <w:tc>
          <w:tcPr>
            <w:tcW w:w="988" w:type="dxa"/>
          </w:tcPr>
          <w:p w14:paraId="247515A5" w14:textId="77777777" w:rsidR="0050294C" w:rsidRPr="00EE7F36" w:rsidRDefault="0050294C" w:rsidP="003B0B56">
            <w:pPr>
              <w:rPr>
                <w:b/>
                <w:bCs/>
                <w:sz w:val="22"/>
                <w:lang w:eastAsia="en-NZ"/>
              </w:rPr>
            </w:pPr>
          </w:p>
        </w:tc>
        <w:tc>
          <w:tcPr>
            <w:tcW w:w="4661" w:type="dxa"/>
            <w:gridSpan w:val="4"/>
            <w:tcBorders>
              <w:right w:val="single" w:sz="8" w:space="0" w:color="auto"/>
            </w:tcBorders>
          </w:tcPr>
          <w:p w14:paraId="3D7C3A79" w14:textId="18CC098D" w:rsidR="0050294C" w:rsidRPr="00EE7F36" w:rsidRDefault="0050294C" w:rsidP="003B0B56">
            <w:pPr>
              <w:rPr>
                <w:b/>
                <w:bCs/>
                <w:sz w:val="22"/>
                <w:lang w:eastAsia="en-NZ"/>
              </w:rPr>
            </w:pPr>
            <w:r w:rsidRPr="00EE7F36">
              <w:rPr>
                <w:b/>
                <w:bCs/>
                <w:sz w:val="22"/>
                <w:lang w:eastAsia="en-NZ"/>
              </w:rPr>
              <w:t xml:space="preserve">Adjusted to wages (Q4 2020 dollars) </w:t>
            </w:r>
            <w:r w:rsidRPr="00EE7F36">
              <w:rPr>
                <w:sz w:val="22"/>
                <w:lang w:eastAsia="en-NZ"/>
              </w:rPr>
              <w:t>($M)</w:t>
            </w:r>
          </w:p>
        </w:tc>
        <w:tc>
          <w:tcPr>
            <w:tcW w:w="3367" w:type="dxa"/>
            <w:gridSpan w:val="3"/>
            <w:tcBorders>
              <w:left w:val="single" w:sz="8" w:space="0" w:color="auto"/>
            </w:tcBorders>
          </w:tcPr>
          <w:p w14:paraId="59251992" w14:textId="23E9F6F0" w:rsidR="0050294C" w:rsidRPr="00EE7F36" w:rsidRDefault="0050294C" w:rsidP="003B0B56">
            <w:pPr>
              <w:rPr>
                <w:b/>
                <w:bCs/>
                <w:sz w:val="22"/>
                <w:lang w:eastAsia="en-NZ"/>
              </w:rPr>
            </w:pPr>
            <w:r w:rsidRPr="00EE7F36">
              <w:rPr>
                <w:b/>
                <w:bCs/>
                <w:sz w:val="22"/>
                <w:lang w:eastAsia="en-NZ"/>
              </w:rPr>
              <w:t xml:space="preserve">Nominal value </w:t>
            </w:r>
            <w:r w:rsidRPr="00EE7F36">
              <w:rPr>
                <w:sz w:val="22"/>
                <w:lang w:eastAsia="en-NZ"/>
              </w:rPr>
              <w:t>($M)</w:t>
            </w:r>
          </w:p>
        </w:tc>
      </w:tr>
      <w:tr w:rsidR="0050294C" w:rsidRPr="00EE7F36" w14:paraId="12CB971A" w14:textId="77777777" w:rsidTr="00EE7F36">
        <w:trPr>
          <w:trHeight w:val="290"/>
        </w:trPr>
        <w:tc>
          <w:tcPr>
            <w:tcW w:w="988" w:type="dxa"/>
          </w:tcPr>
          <w:p w14:paraId="438DF6CF" w14:textId="77777777" w:rsidR="0050294C" w:rsidRPr="00EE7F36" w:rsidRDefault="0050294C" w:rsidP="003B0B56">
            <w:pPr>
              <w:rPr>
                <w:b/>
                <w:bCs/>
                <w:sz w:val="22"/>
                <w:lang w:eastAsia="en-NZ"/>
              </w:rPr>
            </w:pPr>
          </w:p>
        </w:tc>
        <w:tc>
          <w:tcPr>
            <w:tcW w:w="1135" w:type="dxa"/>
          </w:tcPr>
          <w:p w14:paraId="7CEC5F15" w14:textId="3ACC1D54" w:rsidR="0050294C" w:rsidRPr="00EE7F36" w:rsidRDefault="0050294C" w:rsidP="003B0B56">
            <w:pPr>
              <w:rPr>
                <w:i/>
                <w:iCs/>
                <w:sz w:val="22"/>
                <w:lang w:eastAsia="en-NZ"/>
              </w:rPr>
            </w:pPr>
            <w:r w:rsidRPr="00EE7F36">
              <w:rPr>
                <w:sz w:val="22"/>
                <w:lang w:eastAsia="en-NZ"/>
              </w:rPr>
              <w:t xml:space="preserve">Total WFF </w:t>
            </w:r>
          </w:p>
        </w:tc>
        <w:tc>
          <w:tcPr>
            <w:tcW w:w="707" w:type="dxa"/>
          </w:tcPr>
          <w:p w14:paraId="401CB069" w14:textId="6A738A47" w:rsidR="0050294C" w:rsidRPr="00EE7F36" w:rsidRDefault="0050294C" w:rsidP="003B0B56">
            <w:pPr>
              <w:rPr>
                <w:sz w:val="22"/>
                <w:lang w:eastAsia="en-NZ"/>
              </w:rPr>
            </w:pPr>
            <w:r w:rsidRPr="00EE7F36">
              <w:rPr>
                <w:sz w:val="22"/>
                <w:lang w:eastAsia="en-NZ"/>
              </w:rPr>
              <w:t xml:space="preserve">Best Start </w:t>
            </w:r>
          </w:p>
        </w:tc>
        <w:tc>
          <w:tcPr>
            <w:tcW w:w="1276" w:type="dxa"/>
          </w:tcPr>
          <w:p w14:paraId="17524167" w14:textId="0F7033C9" w:rsidR="0050294C" w:rsidRPr="00EE7F36" w:rsidRDefault="0050294C" w:rsidP="003B0B56">
            <w:pPr>
              <w:rPr>
                <w:b/>
                <w:bCs/>
                <w:sz w:val="22"/>
                <w:lang w:eastAsia="en-NZ"/>
              </w:rPr>
            </w:pPr>
            <w:r w:rsidRPr="00EE7F36">
              <w:rPr>
                <w:b/>
                <w:bCs/>
                <w:sz w:val="22"/>
                <w:lang w:eastAsia="en-NZ"/>
              </w:rPr>
              <w:t xml:space="preserve">WFF excluding Best Start </w:t>
            </w:r>
          </w:p>
        </w:tc>
        <w:tc>
          <w:tcPr>
            <w:tcW w:w="1543" w:type="dxa"/>
            <w:tcBorders>
              <w:right w:val="single" w:sz="8" w:space="0" w:color="auto"/>
            </w:tcBorders>
          </w:tcPr>
          <w:p w14:paraId="542C4435" w14:textId="5D3BD05B" w:rsidR="0050294C" w:rsidRPr="00EE7F36" w:rsidRDefault="0050294C" w:rsidP="00C048FC">
            <w:pPr>
              <w:rPr>
                <w:i/>
                <w:iCs/>
                <w:sz w:val="22"/>
                <w:lang w:eastAsia="en-NZ"/>
              </w:rPr>
            </w:pPr>
            <w:r w:rsidRPr="00EE7F36">
              <w:rPr>
                <w:i/>
                <w:iCs/>
                <w:sz w:val="22"/>
                <w:lang w:eastAsia="en-NZ"/>
              </w:rPr>
              <w:t xml:space="preserve">Difference </w:t>
            </w:r>
            <w:proofErr w:type="spellStart"/>
            <w:r w:rsidRPr="00EE7F36">
              <w:rPr>
                <w:i/>
                <w:iCs/>
                <w:sz w:val="22"/>
                <w:lang w:eastAsia="en-NZ"/>
              </w:rPr>
              <w:t>frm</w:t>
            </w:r>
            <w:proofErr w:type="spellEnd"/>
            <w:r w:rsidRPr="00EE7F36">
              <w:rPr>
                <w:i/>
                <w:iCs/>
                <w:sz w:val="22"/>
                <w:lang w:eastAsia="en-NZ"/>
              </w:rPr>
              <w:t xml:space="preserve"> </w:t>
            </w:r>
            <w:proofErr w:type="spellStart"/>
            <w:r w:rsidRPr="00EE7F36">
              <w:rPr>
                <w:i/>
                <w:iCs/>
                <w:sz w:val="22"/>
                <w:lang w:eastAsia="en-NZ"/>
              </w:rPr>
              <w:t>prev</w:t>
            </w:r>
            <w:proofErr w:type="spellEnd"/>
            <w:r w:rsidRPr="00EE7F36">
              <w:rPr>
                <w:i/>
                <w:iCs/>
                <w:sz w:val="22"/>
                <w:lang w:eastAsia="en-NZ"/>
              </w:rPr>
              <w:t xml:space="preserve"> year WFF </w:t>
            </w:r>
            <w:proofErr w:type="spellStart"/>
            <w:r w:rsidRPr="00EE7F36">
              <w:rPr>
                <w:i/>
                <w:iCs/>
                <w:sz w:val="22"/>
                <w:lang w:eastAsia="en-NZ"/>
              </w:rPr>
              <w:t>excl</w:t>
            </w:r>
            <w:proofErr w:type="spellEnd"/>
            <w:r w:rsidRPr="00EE7F36">
              <w:rPr>
                <w:i/>
                <w:iCs/>
                <w:sz w:val="22"/>
                <w:lang w:eastAsia="en-NZ"/>
              </w:rPr>
              <w:t xml:space="preserve"> B</w:t>
            </w:r>
            <w:r w:rsidR="00C048FC" w:rsidRPr="00EE7F36">
              <w:rPr>
                <w:i/>
                <w:iCs/>
                <w:sz w:val="22"/>
                <w:lang w:eastAsia="en-NZ"/>
              </w:rPr>
              <w:t xml:space="preserve">est </w:t>
            </w:r>
            <w:r w:rsidRPr="00EE7F36">
              <w:rPr>
                <w:i/>
                <w:iCs/>
                <w:sz w:val="22"/>
                <w:lang w:eastAsia="en-NZ"/>
              </w:rPr>
              <w:t>St</w:t>
            </w:r>
            <w:r w:rsidR="00C048FC" w:rsidRPr="00EE7F36">
              <w:rPr>
                <w:i/>
                <w:iCs/>
                <w:sz w:val="22"/>
                <w:lang w:eastAsia="en-NZ"/>
              </w:rPr>
              <w:t>art</w:t>
            </w:r>
          </w:p>
        </w:tc>
        <w:tc>
          <w:tcPr>
            <w:tcW w:w="1135" w:type="dxa"/>
            <w:tcBorders>
              <w:left w:val="single" w:sz="8" w:space="0" w:color="auto"/>
            </w:tcBorders>
          </w:tcPr>
          <w:p w14:paraId="10CE70E5" w14:textId="61DC1C08" w:rsidR="0050294C" w:rsidRPr="00EE7F36" w:rsidRDefault="0050294C" w:rsidP="003B0B56">
            <w:pPr>
              <w:rPr>
                <w:i/>
                <w:iCs/>
                <w:sz w:val="22"/>
                <w:lang w:eastAsia="en-NZ"/>
              </w:rPr>
            </w:pPr>
            <w:r w:rsidRPr="00EE7F36">
              <w:rPr>
                <w:sz w:val="22"/>
                <w:lang w:eastAsia="en-NZ"/>
              </w:rPr>
              <w:t xml:space="preserve">Total WFF </w:t>
            </w:r>
          </w:p>
        </w:tc>
        <w:tc>
          <w:tcPr>
            <w:tcW w:w="1036" w:type="dxa"/>
          </w:tcPr>
          <w:p w14:paraId="5ACDC094" w14:textId="76DF9731" w:rsidR="0050294C" w:rsidRPr="00EE7F36" w:rsidRDefault="0050294C" w:rsidP="003B0B56">
            <w:pPr>
              <w:rPr>
                <w:b/>
                <w:bCs/>
                <w:sz w:val="22"/>
                <w:lang w:eastAsia="en-NZ"/>
              </w:rPr>
            </w:pPr>
            <w:r w:rsidRPr="00EE7F36">
              <w:rPr>
                <w:sz w:val="22"/>
                <w:lang w:eastAsia="en-NZ"/>
              </w:rPr>
              <w:t xml:space="preserve">Best Start </w:t>
            </w:r>
          </w:p>
        </w:tc>
        <w:tc>
          <w:tcPr>
            <w:tcW w:w="1196" w:type="dxa"/>
            <w:noWrap/>
            <w:hideMark/>
          </w:tcPr>
          <w:p w14:paraId="764195EB" w14:textId="368DFB4D" w:rsidR="0050294C" w:rsidRPr="00EE7F36" w:rsidRDefault="0050294C" w:rsidP="003B0B56">
            <w:pPr>
              <w:rPr>
                <w:sz w:val="22"/>
                <w:lang w:eastAsia="en-NZ"/>
              </w:rPr>
            </w:pPr>
            <w:r w:rsidRPr="00EE7F36">
              <w:rPr>
                <w:sz w:val="22"/>
                <w:lang w:eastAsia="en-NZ"/>
              </w:rPr>
              <w:t xml:space="preserve">WFF excluding Best Start </w:t>
            </w:r>
          </w:p>
        </w:tc>
      </w:tr>
      <w:tr w:rsidR="0050294C" w:rsidRPr="00EE7F36" w14:paraId="037F4CFE" w14:textId="77777777" w:rsidTr="00EE7F36">
        <w:trPr>
          <w:trHeight w:val="290"/>
        </w:trPr>
        <w:tc>
          <w:tcPr>
            <w:tcW w:w="988" w:type="dxa"/>
          </w:tcPr>
          <w:p w14:paraId="5DF0740A" w14:textId="76B7A691" w:rsidR="0050294C" w:rsidRPr="00EE7F36" w:rsidRDefault="0050294C" w:rsidP="003B0B56">
            <w:pPr>
              <w:rPr>
                <w:b/>
                <w:bCs/>
                <w:sz w:val="22"/>
                <w:lang w:eastAsia="en-NZ"/>
              </w:rPr>
            </w:pPr>
            <w:r w:rsidRPr="00EE7F36">
              <w:rPr>
                <w:b/>
                <w:bCs/>
                <w:sz w:val="22"/>
                <w:lang w:eastAsia="en-NZ"/>
              </w:rPr>
              <w:t>2018</w:t>
            </w:r>
          </w:p>
        </w:tc>
        <w:tc>
          <w:tcPr>
            <w:tcW w:w="1135" w:type="dxa"/>
          </w:tcPr>
          <w:p w14:paraId="4D646F28" w14:textId="38422E21" w:rsidR="0050294C" w:rsidRPr="00EE7F36" w:rsidRDefault="0050294C" w:rsidP="003B0B56">
            <w:pPr>
              <w:rPr>
                <w:i/>
                <w:iCs/>
                <w:sz w:val="22"/>
                <w:lang w:eastAsia="en-NZ"/>
              </w:rPr>
            </w:pPr>
            <w:r w:rsidRPr="00EE7F36">
              <w:rPr>
                <w:sz w:val="22"/>
                <w:lang w:eastAsia="en-NZ"/>
              </w:rPr>
              <w:t xml:space="preserve">$2,448 </w:t>
            </w:r>
          </w:p>
        </w:tc>
        <w:tc>
          <w:tcPr>
            <w:tcW w:w="707" w:type="dxa"/>
          </w:tcPr>
          <w:p w14:paraId="045A468E" w14:textId="03A33EAE" w:rsidR="0050294C" w:rsidRPr="00EE7F36" w:rsidRDefault="0050294C" w:rsidP="003B0B56">
            <w:pPr>
              <w:rPr>
                <w:sz w:val="22"/>
                <w:lang w:eastAsia="en-NZ"/>
              </w:rPr>
            </w:pPr>
            <w:r w:rsidRPr="00EE7F36">
              <w:rPr>
                <w:sz w:val="22"/>
                <w:lang w:eastAsia="en-NZ"/>
              </w:rPr>
              <w:t xml:space="preserve">$- </w:t>
            </w:r>
          </w:p>
        </w:tc>
        <w:tc>
          <w:tcPr>
            <w:tcW w:w="1276" w:type="dxa"/>
          </w:tcPr>
          <w:p w14:paraId="2A81204E" w14:textId="45EC6994" w:rsidR="0050294C" w:rsidRPr="00EE7F36" w:rsidRDefault="0050294C" w:rsidP="003B0B56">
            <w:pPr>
              <w:rPr>
                <w:b/>
                <w:bCs/>
                <w:sz w:val="22"/>
                <w:lang w:eastAsia="en-NZ"/>
              </w:rPr>
            </w:pPr>
            <w:r w:rsidRPr="00EE7F36">
              <w:rPr>
                <w:b/>
                <w:bCs/>
                <w:sz w:val="22"/>
                <w:lang w:eastAsia="en-NZ"/>
              </w:rPr>
              <w:t xml:space="preserve">$2,448 </w:t>
            </w:r>
          </w:p>
        </w:tc>
        <w:tc>
          <w:tcPr>
            <w:tcW w:w="1543" w:type="dxa"/>
            <w:tcBorders>
              <w:right w:val="single" w:sz="8" w:space="0" w:color="auto"/>
            </w:tcBorders>
          </w:tcPr>
          <w:p w14:paraId="0C08671D" w14:textId="77777777" w:rsidR="0050294C" w:rsidRPr="00EE7F36" w:rsidRDefault="0050294C" w:rsidP="003B0B56">
            <w:pPr>
              <w:rPr>
                <w:b/>
                <w:bCs/>
                <w:i/>
                <w:iCs/>
                <w:sz w:val="22"/>
                <w:lang w:eastAsia="en-NZ"/>
              </w:rPr>
            </w:pPr>
          </w:p>
        </w:tc>
        <w:tc>
          <w:tcPr>
            <w:tcW w:w="1135" w:type="dxa"/>
            <w:tcBorders>
              <w:left w:val="single" w:sz="8" w:space="0" w:color="auto"/>
            </w:tcBorders>
          </w:tcPr>
          <w:p w14:paraId="200A6AC1" w14:textId="41419546" w:rsidR="0050294C" w:rsidRPr="00EE7F36" w:rsidRDefault="0050294C" w:rsidP="003B0B56">
            <w:pPr>
              <w:rPr>
                <w:i/>
                <w:iCs/>
                <w:sz w:val="22"/>
                <w:lang w:eastAsia="en-NZ"/>
              </w:rPr>
            </w:pPr>
            <w:r w:rsidRPr="00EE7F36">
              <w:rPr>
                <w:sz w:val="22"/>
                <w:lang w:eastAsia="en-NZ"/>
              </w:rPr>
              <w:t xml:space="preserve">$2,195  </w:t>
            </w:r>
          </w:p>
        </w:tc>
        <w:tc>
          <w:tcPr>
            <w:tcW w:w="1036" w:type="dxa"/>
          </w:tcPr>
          <w:p w14:paraId="4AAE2B2E" w14:textId="18B40867" w:rsidR="0050294C" w:rsidRPr="00EE7F36" w:rsidRDefault="0050294C" w:rsidP="003B0B56">
            <w:pPr>
              <w:rPr>
                <w:b/>
                <w:bCs/>
                <w:sz w:val="22"/>
                <w:lang w:eastAsia="en-NZ"/>
              </w:rPr>
            </w:pPr>
            <w:r w:rsidRPr="00EE7F36">
              <w:rPr>
                <w:sz w:val="22"/>
                <w:lang w:eastAsia="en-NZ"/>
              </w:rPr>
              <w:t>$-</w:t>
            </w:r>
          </w:p>
        </w:tc>
        <w:tc>
          <w:tcPr>
            <w:tcW w:w="1196" w:type="dxa"/>
            <w:noWrap/>
            <w:hideMark/>
          </w:tcPr>
          <w:p w14:paraId="1F16DA7B" w14:textId="405D2558" w:rsidR="0050294C" w:rsidRPr="00EE7F36" w:rsidRDefault="0050294C" w:rsidP="003B0B56">
            <w:pPr>
              <w:rPr>
                <w:sz w:val="22"/>
                <w:lang w:eastAsia="en-NZ"/>
              </w:rPr>
            </w:pPr>
            <w:r w:rsidRPr="00EE7F36">
              <w:rPr>
                <w:sz w:val="22"/>
                <w:lang w:eastAsia="en-NZ"/>
              </w:rPr>
              <w:t xml:space="preserve">$2,195 </w:t>
            </w:r>
          </w:p>
        </w:tc>
      </w:tr>
      <w:tr w:rsidR="0050294C" w:rsidRPr="00EE7F36" w14:paraId="22ABF4E0" w14:textId="77777777" w:rsidTr="00EE7F36">
        <w:trPr>
          <w:trHeight w:val="290"/>
        </w:trPr>
        <w:tc>
          <w:tcPr>
            <w:tcW w:w="988" w:type="dxa"/>
          </w:tcPr>
          <w:p w14:paraId="6613E471" w14:textId="275F2EED" w:rsidR="0050294C" w:rsidRPr="00EE7F36" w:rsidRDefault="0050294C" w:rsidP="003B0B56">
            <w:pPr>
              <w:rPr>
                <w:b/>
                <w:bCs/>
                <w:sz w:val="22"/>
                <w:lang w:eastAsia="en-NZ"/>
              </w:rPr>
            </w:pPr>
            <w:r w:rsidRPr="00EE7F36">
              <w:rPr>
                <w:b/>
                <w:bCs/>
                <w:sz w:val="22"/>
                <w:lang w:eastAsia="en-NZ"/>
              </w:rPr>
              <w:t>2019</w:t>
            </w:r>
          </w:p>
        </w:tc>
        <w:tc>
          <w:tcPr>
            <w:tcW w:w="1135" w:type="dxa"/>
          </w:tcPr>
          <w:p w14:paraId="7B66A3ED" w14:textId="6CA08B7B" w:rsidR="0050294C" w:rsidRPr="00EE7F36" w:rsidRDefault="0050294C" w:rsidP="003B0B56">
            <w:pPr>
              <w:rPr>
                <w:i/>
                <w:iCs/>
                <w:sz w:val="22"/>
                <w:lang w:eastAsia="en-NZ"/>
              </w:rPr>
            </w:pPr>
            <w:r w:rsidRPr="00EE7F36">
              <w:rPr>
                <w:sz w:val="22"/>
                <w:lang w:eastAsia="en-NZ"/>
              </w:rPr>
              <w:t xml:space="preserve">$3,022 </w:t>
            </w:r>
          </w:p>
        </w:tc>
        <w:tc>
          <w:tcPr>
            <w:tcW w:w="707" w:type="dxa"/>
          </w:tcPr>
          <w:p w14:paraId="4B5266D4" w14:textId="28A839E2" w:rsidR="0050294C" w:rsidRPr="00EE7F36" w:rsidRDefault="0050294C" w:rsidP="003B0B56">
            <w:pPr>
              <w:rPr>
                <w:sz w:val="22"/>
                <w:lang w:eastAsia="en-NZ"/>
              </w:rPr>
            </w:pPr>
            <w:r w:rsidRPr="00EE7F36">
              <w:rPr>
                <w:sz w:val="22"/>
                <w:lang w:eastAsia="en-NZ"/>
              </w:rPr>
              <w:t xml:space="preserve">$50 </w:t>
            </w:r>
          </w:p>
        </w:tc>
        <w:tc>
          <w:tcPr>
            <w:tcW w:w="1276" w:type="dxa"/>
          </w:tcPr>
          <w:p w14:paraId="27DB5BCB" w14:textId="199B3BBE" w:rsidR="0050294C" w:rsidRPr="00EE7F36" w:rsidRDefault="0050294C" w:rsidP="003B0B56">
            <w:pPr>
              <w:rPr>
                <w:b/>
                <w:bCs/>
                <w:sz w:val="22"/>
                <w:lang w:eastAsia="en-NZ"/>
              </w:rPr>
            </w:pPr>
            <w:r w:rsidRPr="00EE7F36">
              <w:rPr>
                <w:b/>
                <w:bCs/>
                <w:sz w:val="22"/>
                <w:lang w:eastAsia="en-NZ"/>
              </w:rPr>
              <w:t xml:space="preserve">$2,973 </w:t>
            </w:r>
          </w:p>
        </w:tc>
        <w:tc>
          <w:tcPr>
            <w:tcW w:w="1543" w:type="dxa"/>
            <w:tcBorders>
              <w:right w:val="single" w:sz="8" w:space="0" w:color="auto"/>
            </w:tcBorders>
          </w:tcPr>
          <w:p w14:paraId="78C43316" w14:textId="5758F547" w:rsidR="0050294C" w:rsidRPr="00EE7F36" w:rsidRDefault="0050294C" w:rsidP="003B0B56">
            <w:pPr>
              <w:rPr>
                <w:i/>
                <w:iCs/>
                <w:sz w:val="22"/>
                <w:lang w:eastAsia="en-NZ"/>
              </w:rPr>
            </w:pPr>
            <w:r w:rsidRPr="00EE7F36">
              <w:rPr>
                <w:i/>
                <w:iCs/>
                <w:sz w:val="22"/>
                <w:lang w:eastAsia="en-NZ"/>
              </w:rPr>
              <w:t>$525</w:t>
            </w:r>
          </w:p>
        </w:tc>
        <w:tc>
          <w:tcPr>
            <w:tcW w:w="1135" w:type="dxa"/>
            <w:tcBorders>
              <w:left w:val="single" w:sz="8" w:space="0" w:color="auto"/>
            </w:tcBorders>
          </w:tcPr>
          <w:p w14:paraId="2D375970" w14:textId="39687E5B" w:rsidR="0050294C" w:rsidRPr="00EE7F36" w:rsidRDefault="0050294C" w:rsidP="003B0B56">
            <w:pPr>
              <w:rPr>
                <w:i/>
                <w:iCs/>
                <w:sz w:val="22"/>
                <w:lang w:eastAsia="en-NZ"/>
              </w:rPr>
            </w:pPr>
            <w:r w:rsidRPr="00EE7F36">
              <w:rPr>
                <w:sz w:val="22"/>
                <w:lang w:eastAsia="en-NZ"/>
              </w:rPr>
              <w:t xml:space="preserve">$2,814 </w:t>
            </w:r>
          </w:p>
        </w:tc>
        <w:tc>
          <w:tcPr>
            <w:tcW w:w="1036" w:type="dxa"/>
          </w:tcPr>
          <w:p w14:paraId="3F6EF581" w14:textId="6B002A7A" w:rsidR="0050294C" w:rsidRPr="00EE7F36" w:rsidRDefault="0050294C" w:rsidP="003B0B56">
            <w:pPr>
              <w:rPr>
                <w:b/>
                <w:bCs/>
                <w:sz w:val="22"/>
                <w:lang w:eastAsia="en-NZ"/>
              </w:rPr>
            </w:pPr>
            <w:r w:rsidRPr="00EE7F36">
              <w:rPr>
                <w:sz w:val="22"/>
                <w:lang w:eastAsia="en-NZ"/>
              </w:rPr>
              <w:t xml:space="preserve">$48 </w:t>
            </w:r>
          </w:p>
        </w:tc>
        <w:tc>
          <w:tcPr>
            <w:tcW w:w="1196" w:type="dxa"/>
            <w:noWrap/>
            <w:hideMark/>
          </w:tcPr>
          <w:p w14:paraId="1E94608B" w14:textId="38A3D1CC" w:rsidR="0050294C" w:rsidRPr="00EE7F36" w:rsidRDefault="0050294C" w:rsidP="003B0B56">
            <w:pPr>
              <w:rPr>
                <w:sz w:val="22"/>
                <w:lang w:eastAsia="en-NZ"/>
              </w:rPr>
            </w:pPr>
            <w:r w:rsidRPr="00EE7F36">
              <w:rPr>
                <w:sz w:val="22"/>
                <w:lang w:eastAsia="en-NZ"/>
              </w:rPr>
              <w:t xml:space="preserve">$2,766 </w:t>
            </w:r>
          </w:p>
        </w:tc>
      </w:tr>
      <w:tr w:rsidR="0050294C" w:rsidRPr="00EE7F36" w14:paraId="42B9BA14" w14:textId="77777777" w:rsidTr="00EE7F36">
        <w:trPr>
          <w:trHeight w:val="290"/>
        </w:trPr>
        <w:tc>
          <w:tcPr>
            <w:tcW w:w="988" w:type="dxa"/>
          </w:tcPr>
          <w:p w14:paraId="56D2ACC0" w14:textId="53FD309E" w:rsidR="0050294C" w:rsidRPr="00EE7F36" w:rsidRDefault="0050294C" w:rsidP="003B0B56">
            <w:pPr>
              <w:rPr>
                <w:b/>
                <w:bCs/>
                <w:sz w:val="22"/>
                <w:lang w:eastAsia="en-NZ"/>
              </w:rPr>
            </w:pPr>
            <w:r w:rsidRPr="00EE7F36">
              <w:rPr>
                <w:b/>
                <w:bCs/>
                <w:sz w:val="22"/>
                <w:lang w:eastAsia="en-NZ"/>
              </w:rPr>
              <w:t>2020</w:t>
            </w:r>
          </w:p>
        </w:tc>
        <w:tc>
          <w:tcPr>
            <w:tcW w:w="1135" w:type="dxa"/>
          </w:tcPr>
          <w:p w14:paraId="74A23D23" w14:textId="242FBF82" w:rsidR="0050294C" w:rsidRPr="00EE7F36" w:rsidRDefault="0050294C" w:rsidP="003B0B56">
            <w:pPr>
              <w:rPr>
                <w:i/>
                <w:iCs/>
                <w:sz w:val="22"/>
                <w:lang w:eastAsia="en-NZ"/>
              </w:rPr>
            </w:pPr>
            <w:r w:rsidRPr="00EE7F36">
              <w:rPr>
                <w:sz w:val="22"/>
                <w:lang w:eastAsia="en-NZ"/>
              </w:rPr>
              <w:t xml:space="preserve">$3,152 </w:t>
            </w:r>
          </w:p>
        </w:tc>
        <w:tc>
          <w:tcPr>
            <w:tcW w:w="707" w:type="dxa"/>
          </w:tcPr>
          <w:p w14:paraId="302FB8B1" w14:textId="58C14E12" w:rsidR="0050294C" w:rsidRPr="00EE7F36" w:rsidRDefault="0050294C" w:rsidP="003B0B56">
            <w:pPr>
              <w:rPr>
                <w:sz w:val="22"/>
                <w:lang w:eastAsia="en-NZ"/>
              </w:rPr>
            </w:pPr>
            <w:r w:rsidRPr="00EE7F36">
              <w:rPr>
                <w:sz w:val="22"/>
                <w:lang w:eastAsia="en-NZ"/>
              </w:rPr>
              <w:t xml:space="preserve">$182 </w:t>
            </w:r>
          </w:p>
        </w:tc>
        <w:tc>
          <w:tcPr>
            <w:tcW w:w="1276" w:type="dxa"/>
          </w:tcPr>
          <w:p w14:paraId="06B404FD" w14:textId="734FADDB" w:rsidR="0050294C" w:rsidRPr="00EE7F36" w:rsidRDefault="0050294C" w:rsidP="003B0B56">
            <w:pPr>
              <w:rPr>
                <w:b/>
                <w:bCs/>
                <w:sz w:val="22"/>
                <w:lang w:eastAsia="en-NZ"/>
              </w:rPr>
            </w:pPr>
            <w:r w:rsidRPr="00EE7F36">
              <w:rPr>
                <w:b/>
                <w:bCs/>
                <w:sz w:val="22"/>
                <w:lang w:eastAsia="en-NZ"/>
              </w:rPr>
              <w:t xml:space="preserve">$2,970 </w:t>
            </w:r>
          </w:p>
        </w:tc>
        <w:tc>
          <w:tcPr>
            <w:tcW w:w="1543" w:type="dxa"/>
            <w:tcBorders>
              <w:right w:val="single" w:sz="8" w:space="0" w:color="auto"/>
            </w:tcBorders>
          </w:tcPr>
          <w:p w14:paraId="10E19A9C" w14:textId="0DA40D13" w:rsidR="0050294C" w:rsidRPr="00EE7F36" w:rsidRDefault="0050294C" w:rsidP="003B0B56">
            <w:pPr>
              <w:rPr>
                <w:i/>
                <w:iCs/>
                <w:color w:val="C00000"/>
                <w:sz w:val="22"/>
                <w:lang w:eastAsia="en-NZ"/>
              </w:rPr>
            </w:pPr>
            <w:r w:rsidRPr="00EE7F36">
              <w:rPr>
                <w:i/>
                <w:iCs/>
                <w:color w:val="C00000"/>
                <w:sz w:val="22"/>
                <w:lang w:eastAsia="en-NZ"/>
              </w:rPr>
              <w:t>-$3</w:t>
            </w:r>
          </w:p>
        </w:tc>
        <w:tc>
          <w:tcPr>
            <w:tcW w:w="1135" w:type="dxa"/>
            <w:tcBorders>
              <w:left w:val="single" w:sz="8" w:space="0" w:color="auto"/>
            </w:tcBorders>
          </w:tcPr>
          <w:p w14:paraId="3FFF65D3" w14:textId="19E8BE84" w:rsidR="0050294C" w:rsidRPr="00EE7F36" w:rsidRDefault="0050294C" w:rsidP="003B0B56">
            <w:pPr>
              <w:rPr>
                <w:i/>
                <w:iCs/>
                <w:sz w:val="22"/>
                <w:lang w:eastAsia="en-NZ"/>
              </w:rPr>
            </w:pPr>
            <w:r w:rsidRPr="00EE7F36">
              <w:rPr>
                <w:sz w:val="22"/>
                <w:lang w:eastAsia="en-NZ"/>
              </w:rPr>
              <w:t>$3,014</w:t>
            </w:r>
          </w:p>
        </w:tc>
        <w:tc>
          <w:tcPr>
            <w:tcW w:w="1036" w:type="dxa"/>
          </w:tcPr>
          <w:p w14:paraId="43F213C3" w14:textId="12BE4384" w:rsidR="0050294C" w:rsidRPr="00EE7F36" w:rsidRDefault="0050294C" w:rsidP="003B0B56">
            <w:pPr>
              <w:rPr>
                <w:b/>
                <w:bCs/>
                <w:sz w:val="22"/>
                <w:lang w:eastAsia="en-NZ"/>
              </w:rPr>
            </w:pPr>
            <w:r w:rsidRPr="00EE7F36">
              <w:rPr>
                <w:sz w:val="22"/>
                <w:lang w:eastAsia="en-NZ"/>
              </w:rPr>
              <w:t xml:space="preserve">$184 </w:t>
            </w:r>
          </w:p>
        </w:tc>
        <w:tc>
          <w:tcPr>
            <w:tcW w:w="1196" w:type="dxa"/>
            <w:noWrap/>
            <w:hideMark/>
          </w:tcPr>
          <w:p w14:paraId="10FF02C1" w14:textId="4152BBA7" w:rsidR="0050294C" w:rsidRPr="00EE7F36" w:rsidRDefault="0050294C" w:rsidP="003B0B56">
            <w:pPr>
              <w:rPr>
                <w:sz w:val="22"/>
                <w:lang w:eastAsia="en-NZ"/>
              </w:rPr>
            </w:pPr>
            <w:r w:rsidRPr="00EE7F36">
              <w:rPr>
                <w:sz w:val="22"/>
                <w:lang w:eastAsia="en-NZ"/>
              </w:rPr>
              <w:t xml:space="preserve">$2,830 </w:t>
            </w:r>
          </w:p>
        </w:tc>
      </w:tr>
      <w:tr w:rsidR="0050294C" w:rsidRPr="00EE7F36" w14:paraId="1B4257BD" w14:textId="77777777" w:rsidTr="00EE7F36">
        <w:trPr>
          <w:trHeight w:val="290"/>
        </w:trPr>
        <w:tc>
          <w:tcPr>
            <w:tcW w:w="988" w:type="dxa"/>
          </w:tcPr>
          <w:p w14:paraId="315229BC" w14:textId="76251AFC" w:rsidR="0050294C" w:rsidRPr="00EE7F36" w:rsidRDefault="0050294C" w:rsidP="003B0B56">
            <w:pPr>
              <w:rPr>
                <w:b/>
                <w:bCs/>
                <w:sz w:val="22"/>
                <w:lang w:eastAsia="en-NZ"/>
              </w:rPr>
            </w:pPr>
            <w:r w:rsidRPr="00EE7F36">
              <w:rPr>
                <w:b/>
                <w:bCs/>
                <w:sz w:val="22"/>
                <w:lang w:eastAsia="en-NZ"/>
              </w:rPr>
              <w:t>2021</w:t>
            </w:r>
          </w:p>
        </w:tc>
        <w:tc>
          <w:tcPr>
            <w:tcW w:w="1135" w:type="dxa"/>
          </w:tcPr>
          <w:p w14:paraId="7FB23F41" w14:textId="6B3A2960" w:rsidR="0050294C" w:rsidRPr="00EE7F36" w:rsidRDefault="0050294C" w:rsidP="003B0B56">
            <w:pPr>
              <w:rPr>
                <w:i/>
                <w:iCs/>
                <w:sz w:val="22"/>
                <w:lang w:eastAsia="en-NZ"/>
              </w:rPr>
            </w:pPr>
            <w:r w:rsidRPr="00EE7F36">
              <w:rPr>
                <w:sz w:val="22"/>
                <w:lang w:eastAsia="en-NZ"/>
              </w:rPr>
              <w:t xml:space="preserve">$3,124 </w:t>
            </w:r>
          </w:p>
        </w:tc>
        <w:tc>
          <w:tcPr>
            <w:tcW w:w="707" w:type="dxa"/>
          </w:tcPr>
          <w:p w14:paraId="28CD104E" w14:textId="0ADCE082" w:rsidR="0050294C" w:rsidRPr="00EE7F36" w:rsidRDefault="0050294C" w:rsidP="003B0B56">
            <w:pPr>
              <w:rPr>
                <w:sz w:val="22"/>
                <w:lang w:eastAsia="en-NZ"/>
              </w:rPr>
            </w:pPr>
            <w:r w:rsidRPr="00EE7F36">
              <w:rPr>
                <w:sz w:val="22"/>
                <w:lang w:eastAsia="en-NZ"/>
              </w:rPr>
              <w:t xml:space="preserve">$336 </w:t>
            </w:r>
          </w:p>
        </w:tc>
        <w:tc>
          <w:tcPr>
            <w:tcW w:w="1276" w:type="dxa"/>
          </w:tcPr>
          <w:p w14:paraId="27B8A1E3" w14:textId="52CD8F7C" w:rsidR="0050294C" w:rsidRPr="00EE7F36" w:rsidRDefault="0050294C" w:rsidP="003B0B56">
            <w:pPr>
              <w:rPr>
                <w:b/>
                <w:bCs/>
                <w:sz w:val="22"/>
                <w:lang w:eastAsia="en-NZ"/>
              </w:rPr>
            </w:pPr>
            <w:r w:rsidRPr="00EE7F36">
              <w:rPr>
                <w:b/>
                <w:bCs/>
                <w:sz w:val="22"/>
                <w:lang w:eastAsia="en-NZ"/>
              </w:rPr>
              <w:t xml:space="preserve">$2,788 </w:t>
            </w:r>
          </w:p>
        </w:tc>
        <w:tc>
          <w:tcPr>
            <w:tcW w:w="1543" w:type="dxa"/>
            <w:tcBorders>
              <w:right w:val="single" w:sz="8" w:space="0" w:color="auto"/>
            </w:tcBorders>
          </w:tcPr>
          <w:p w14:paraId="06EE5D82" w14:textId="0AD8A125" w:rsidR="0050294C" w:rsidRPr="00EE7F36" w:rsidRDefault="0050294C" w:rsidP="003B0B56">
            <w:pPr>
              <w:rPr>
                <w:i/>
                <w:iCs/>
                <w:color w:val="C00000"/>
                <w:sz w:val="22"/>
                <w:lang w:eastAsia="en-NZ"/>
              </w:rPr>
            </w:pPr>
            <w:r w:rsidRPr="00EE7F36">
              <w:rPr>
                <w:i/>
                <w:iCs/>
                <w:color w:val="C00000"/>
                <w:sz w:val="22"/>
                <w:lang w:eastAsia="en-NZ"/>
              </w:rPr>
              <w:t>-$182</w:t>
            </w:r>
          </w:p>
        </w:tc>
        <w:tc>
          <w:tcPr>
            <w:tcW w:w="1135" w:type="dxa"/>
            <w:tcBorders>
              <w:left w:val="single" w:sz="8" w:space="0" w:color="auto"/>
            </w:tcBorders>
          </w:tcPr>
          <w:p w14:paraId="76D73282" w14:textId="39F4FF2E" w:rsidR="0050294C" w:rsidRPr="00EE7F36" w:rsidRDefault="0050294C" w:rsidP="003B0B56">
            <w:pPr>
              <w:rPr>
                <w:i/>
                <w:iCs/>
                <w:sz w:val="22"/>
                <w:lang w:eastAsia="en-NZ"/>
              </w:rPr>
            </w:pPr>
            <w:r w:rsidRPr="00EE7F36">
              <w:rPr>
                <w:sz w:val="22"/>
                <w:lang w:eastAsia="en-NZ"/>
              </w:rPr>
              <w:t>$3,124</w:t>
            </w:r>
          </w:p>
        </w:tc>
        <w:tc>
          <w:tcPr>
            <w:tcW w:w="1036" w:type="dxa"/>
          </w:tcPr>
          <w:p w14:paraId="38B9A042" w14:textId="7486FD50" w:rsidR="0050294C" w:rsidRPr="00EE7F36" w:rsidRDefault="0050294C" w:rsidP="003B0B56">
            <w:pPr>
              <w:rPr>
                <w:b/>
                <w:bCs/>
                <w:sz w:val="22"/>
                <w:lang w:eastAsia="en-NZ"/>
              </w:rPr>
            </w:pPr>
            <w:r w:rsidRPr="00EE7F36">
              <w:rPr>
                <w:sz w:val="22"/>
                <w:lang w:eastAsia="en-NZ"/>
              </w:rPr>
              <w:t xml:space="preserve">$336 </w:t>
            </w:r>
          </w:p>
        </w:tc>
        <w:tc>
          <w:tcPr>
            <w:tcW w:w="1196" w:type="dxa"/>
            <w:noWrap/>
            <w:hideMark/>
          </w:tcPr>
          <w:p w14:paraId="78F8880E" w14:textId="79F881F7" w:rsidR="0050294C" w:rsidRPr="00EE7F36" w:rsidRDefault="0050294C" w:rsidP="003B0B56">
            <w:pPr>
              <w:rPr>
                <w:sz w:val="22"/>
                <w:lang w:eastAsia="en-NZ"/>
              </w:rPr>
            </w:pPr>
            <w:r w:rsidRPr="00EE7F36">
              <w:rPr>
                <w:sz w:val="22"/>
                <w:lang w:eastAsia="en-NZ"/>
              </w:rPr>
              <w:t xml:space="preserve">$2,788 </w:t>
            </w:r>
          </w:p>
        </w:tc>
      </w:tr>
    </w:tbl>
    <w:p w14:paraId="7CB9635B" w14:textId="0BA02A7E" w:rsidR="00254C50" w:rsidRPr="00254C50" w:rsidRDefault="00254C50" w:rsidP="00BB598D">
      <w:pPr>
        <w:pStyle w:val="Heading2"/>
      </w:pPr>
      <w:r w:rsidRPr="00254C50">
        <w:lastRenderedPageBreak/>
        <w:t>Recipients and average entitlement claims</w:t>
      </w:r>
    </w:p>
    <w:p w14:paraId="10E0AEEE" w14:textId="16F0772E" w:rsidR="00054983" w:rsidRDefault="00F10D5C" w:rsidP="00D623EC">
      <w:r w:rsidRPr="00C739A6">
        <w:t>The</w:t>
      </w:r>
      <w:r w:rsidR="00D7649A" w:rsidRPr="00C739A6">
        <w:t xml:space="preserve"> macro spending figures </w:t>
      </w:r>
      <w:r w:rsidR="00254C50">
        <w:t xml:space="preserve">above </w:t>
      </w:r>
      <w:r w:rsidR="00D7649A" w:rsidRPr="00C739A6">
        <w:t xml:space="preserve">reflect not only deliberate changes to WFF </w:t>
      </w:r>
      <w:r w:rsidR="0042701A">
        <w:t>policy</w:t>
      </w:r>
      <w:r w:rsidR="00D7649A" w:rsidRPr="00C739A6">
        <w:t xml:space="preserve">, but also the wider state of the economy. </w:t>
      </w:r>
      <w:r w:rsidR="00CB1B5E" w:rsidRPr="00C739A6">
        <w:t>As WFF is ta</w:t>
      </w:r>
      <w:r w:rsidR="00470C6B" w:rsidRPr="00C739A6">
        <w:t>rg</w:t>
      </w:r>
      <w:r w:rsidR="00AE1866" w:rsidRPr="00C739A6">
        <w:t>eted to those on low incomes</w:t>
      </w:r>
      <w:r w:rsidR="00CB1B5E" w:rsidRPr="00C739A6">
        <w:t>,</w:t>
      </w:r>
      <w:r w:rsidR="00AE1866" w:rsidRPr="00C739A6">
        <w:t xml:space="preserve"> </w:t>
      </w:r>
      <w:r w:rsidR="00CB1B5E" w:rsidRPr="00C739A6">
        <w:t>the number of families eligible for WFF payments</w:t>
      </w:r>
      <w:r w:rsidR="00F96CE7">
        <w:t xml:space="preserve"> varies </w:t>
      </w:r>
      <w:r w:rsidR="00CB1B5E" w:rsidRPr="00C739A6">
        <w:t xml:space="preserve">depending on wider economic and labour market conditions. </w:t>
      </w:r>
      <w:r w:rsidR="00D9119D" w:rsidRPr="00C739A6">
        <w:t>The increased</w:t>
      </w:r>
      <w:r w:rsidR="00410C1C" w:rsidRPr="00C739A6">
        <w:t xml:space="preserve"> rate of abatement</w:t>
      </w:r>
      <w:r w:rsidR="00D9119D" w:rsidRPr="00C739A6">
        <w:t xml:space="preserve"> (set at 20% in 2008, an</w:t>
      </w:r>
      <w:r w:rsidR="00F5186E" w:rsidRPr="00C739A6">
        <w:t>d</w:t>
      </w:r>
      <w:r w:rsidR="00B839D8" w:rsidRPr="00C739A6">
        <w:t xml:space="preserve"> now at 25% </w:t>
      </w:r>
      <w:r w:rsidR="003169F9" w:rsidRPr="00C739A6">
        <w:t>since July 2018</w:t>
      </w:r>
      <w:r w:rsidR="00822640">
        <w:t>; see Table 5</w:t>
      </w:r>
      <w:r w:rsidR="007562CB" w:rsidRPr="00C739A6">
        <w:t xml:space="preserve"> in Appendix A</w:t>
      </w:r>
      <w:r w:rsidR="00D9119D" w:rsidRPr="00C739A6">
        <w:t>)</w:t>
      </w:r>
      <w:r w:rsidR="00410C1C" w:rsidRPr="00C739A6">
        <w:t xml:space="preserve"> also acts to reduce </w:t>
      </w:r>
      <w:r w:rsidR="0042701A">
        <w:t xml:space="preserve">overall government </w:t>
      </w:r>
      <w:r w:rsidR="00410C1C" w:rsidRPr="00C739A6">
        <w:t xml:space="preserve">spending as </w:t>
      </w:r>
      <w:r w:rsidR="0042701A">
        <w:t xml:space="preserve">average </w:t>
      </w:r>
      <w:r w:rsidR="00410C1C" w:rsidRPr="00C739A6">
        <w:t xml:space="preserve">incomes </w:t>
      </w:r>
      <w:proofErr w:type="gramStart"/>
      <w:r w:rsidR="00410C1C" w:rsidRPr="00C739A6">
        <w:t>rise</w:t>
      </w:r>
      <w:r w:rsidR="0042701A">
        <w:t>,</w:t>
      </w:r>
      <w:r w:rsidR="00410C1C" w:rsidRPr="00C739A6">
        <w:t xml:space="preserve"> and</w:t>
      </w:r>
      <w:proofErr w:type="gramEnd"/>
      <w:r w:rsidR="00410C1C" w:rsidRPr="00C739A6">
        <w:t xml:space="preserve"> incr</w:t>
      </w:r>
      <w:r w:rsidR="005150D2" w:rsidRPr="00C739A6">
        <w:t xml:space="preserve">ease spending as </w:t>
      </w:r>
      <w:r w:rsidR="0042701A">
        <w:t xml:space="preserve">average </w:t>
      </w:r>
      <w:r w:rsidR="005150D2" w:rsidRPr="00C739A6">
        <w:t xml:space="preserve">incomes fall. </w:t>
      </w:r>
    </w:p>
    <w:p w14:paraId="5A700519" w14:textId="506BE560" w:rsidR="00054983" w:rsidRDefault="00054983" w:rsidP="00D623EC">
      <w:r>
        <w:t xml:space="preserve">As Figures 3 and 4 below </w:t>
      </w:r>
      <w:r w:rsidRPr="00C739A6">
        <w:t>demonstrate,</w:t>
      </w:r>
      <w:r w:rsidR="00296546">
        <w:t xml:space="preserve"> there was an increase in both the average amount p</w:t>
      </w:r>
      <w:r w:rsidR="00BF4AD7">
        <w:t>aid</w:t>
      </w:r>
      <w:r w:rsidR="00296546">
        <w:t xml:space="preserve"> </w:t>
      </w:r>
      <w:r w:rsidR="00BB598D">
        <w:t xml:space="preserve">(in nominal terms) </w:t>
      </w:r>
      <w:r w:rsidR="00296546">
        <w:t>and the number of eligible households around the period 2006 to 2008. These increases likely reflect increases to abatement thresholds and the lowering of abatement rates</w:t>
      </w:r>
      <w:r w:rsidR="00411A20">
        <w:t xml:space="preserve"> of the then-Labour government (Welfare Expert Advisory Group, 2018). Further, they may </w:t>
      </w:r>
      <w:r w:rsidR="001B0669">
        <w:t xml:space="preserve">partially </w:t>
      </w:r>
      <w:r w:rsidR="00411A20">
        <w:t xml:space="preserve">reflect the loss of income experienced by many households </w:t>
      </w:r>
      <w:proofErr w:type="gramStart"/>
      <w:r w:rsidR="00411A20">
        <w:t>as a result of</w:t>
      </w:r>
      <w:proofErr w:type="gramEnd"/>
      <w:r w:rsidR="00411A20">
        <w:t xml:space="preserve"> the Global Financial Crisis. </w:t>
      </w:r>
    </w:p>
    <w:p w14:paraId="3D2E402F" w14:textId="77777777" w:rsidR="00EE7F36" w:rsidRDefault="00CB1B5E" w:rsidP="00EE7F36">
      <w:r w:rsidRPr="00C739A6">
        <w:t xml:space="preserve">Figure </w:t>
      </w:r>
      <w:r w:rsidR="00F10D5C" w:rsidRPr="00C739A6">
        <w:t>3</w:t>
      </w:r>
      <w:r w:rsidRPr="00C739A6">
        <w:t xml:space="preserve"> present</w:t>
      </w:r>
      <w:r w:rsidR="00BA5FB0">
        <w:t>s</w:t>
      </w:r>
      <w:r w:rsidR="00713257" w:rsidRPr="00C739A6">
        <w:t xml:space="preserve"> </w:t>
      </w:r>
      <w:r w:rsidRPr="00C739A6">
        <w:t>average entitlement</w:t>
      </w:r>
      <w:r w:rsidR="00822F5E">
        <w:t xml:space="preserve"> to 2019 (the latest data available)</w:t>
      </w:r>
      <w:r w:rsidR="00054983">
        <w:t xml:space="preserve">. </w:t>
      </w:r>
      <w:r w:rsidR="00254C50">
        <w:t>In nominal terms, t</w:t>
      </w:r>
      <w:r w:rsidR="00054983" w:rsidRPr="00C739A6">
        <w:t xml:space="preserve">he average rate paid </w:t>
      </w:r>
      <w:r w:rsidR="00F21B7E">
        <w:t xml:space="preserve">per recipient family </w:t>
      </w:r>
      <w:r w:rsidR="00054983" w:rsidRPr="00C739A6">
        <w:t xml:space="preserve">remained relatively constant </w:t>
      </w:r>
      <w:r w:rsidR="00254C50">
        <w:t xml:space="preserve">between 2008 and </w:t>
      </w:r>
      <w:r w:rsidR="00054983" w:rsidRPr="00C739A6">
        <w:t>2018</w:t>
      </w:r>
      <w:r w:rsidR="00254C50">
        <w:t xml:space="preserve"> (slowly increasing 6</w:t>
      </w:r>
      <w:r w:rsidR="003125C0">
        <w:t xml:space="preserve"> percent</w:t>
      </w:r>
      <w:r w:rsidR="00254C50">
        <w:t xml:space="preserve"> across the 11 years)</w:t>
      </w:r>
      <w:r w:rsidR="00F21B7E">
        <w:t>.</w:t>
      </w:r>
      <w:r w:rsidR="00054983" w:rsidRPr="00C739A6">
        <w:t xml:space="preserve"> </w:t>
      </w:r>
      <w:r w:rsidR="00F21B7E">
        <w:t xml:space="preserve">However, </w:t>
      </w:r>
      <w:r w:rsidR="00254C50">
        <w:t xml:space="preserve">in wage-indexed terms, the average rate </w:t>
      </w:r>
      <w:r w:rsidR="0057443F">
        <w:t>decreases</w:t>
      </w:r>
      <w:r w:rsidR="00F21B7E">
        <w:t xml:space="preserve"> by 1</w:t>
      </w:r>
      <w:r w:rsidR="00AE729C">
        <w:t>9</w:t>
      </w:r>
      <w:r w:rsidR="003125C0">
        <w:t xml:space="preserve"> percent</w:t>
      </w:r>
      <w:r w:rsidR="00F21B7E">
        <w:t xml:space="preserve">. The average entitlement </w:t>
      </w:r>
      <w:r w:rsidR="005220F2">
        <w:t>increased</w:t>
      </w:r>
      <w:r w:rsidR="00F21B7E">
        <w:t xml:space="preserve"> </w:t>
      </w:r>
      <w:r w:rsidR="00054983" w:rsidRPr="00C739A6">
        <w:t>in 2019 when the Families Package was introduced</w:t>
      </w:r>
      <w:r w:rsidR="001A4422">
        <w:t>, in both wage-indexed and nominal terms</w:t>
      </w:r>
      <w:r w:rsidR="00054983" w:rsidRPr="00C739A6">
        <w:t>.</w:t>
      </w:r>
      <w:r w:rsidR="001A4422">
        <w:t xml:space="preserve"> However, when wage-indexed, the average entitlement in 2019 was a little less than the average entitlement in 2013. </w:t>
      </w:r>
      <w:bookmarkStart w:id="16" w:name="_Toc69738144"/>
    </w:p>
    <w:p w14:paraId="457458A4" w14:textId="3CDFD8F0" w:rsidR="005D7200" w:rsidRDefault="00D623EC" w:rsidP="00EE7F36">
      <w:r w:rsidRPr="00822F5E">
        <w:rPr>
          <w:sz w:val="22"/>
          <w:szCs w:val="16"/>
        </w:rPr>
        <w:t xml:space="preserve">Figure </w:t>
      </w:r>
      <w:r w:rsidR="00772ABD" w:rsidRPr="00822F5E">
        <w:rPr>
          <w:sz w:val="22"/>
          <w:szCs w:val="16"/>
        </w:rPr>
        <w:fldChar w:fldCharType="begin"/>
      </w:r>
      <w:r w:rsidR="00772ABD" w:rsidRPr="00822F5E">
        <w:rPr>
          <w:sz w:val="22"/>
          <w:szCs w:val="16"/>
        </w:rPr>
        <w:instrText xml:space="preserve"> SEQ Figure \* ARABIC </w:instrText>
      </w:r>
      <w:r w:rsidR="00772ABD" w:rsidRPr="00822F5E">
        <w:rPr>
          <w:sz w:val="22"/>
          <w:szCs w:val="16"/>
        </w:rPr>
        <w:fldChar w:fldCharType="separate"/>
      </w:r>
      <w:r w:rsidR="00D47803">
        <w:rPr>
          <w:noProof/>
          <w:sz w:val="22"/>
          <w:szCs w:val="16"/>
        </w:rPr>
        <w:t>3</w:t>
      </w:r>
      <w:r w:rsidR="00772ABD" w:rsidRPr="00822F5E">
        <w:rPr>
          <w:sz w:val="22"/>
          <w:szCs w:val="16"/>
        </w:rPr>
        <w:fldChar w:fldCharType="end"/>
      </w:r>
      <w:r w:rsidRPr="00822F5E">
        <w:rPr>
          <w:sz w:val="22"/>
          <w:szCs w:val="16"/>
        </w:rPr>
        <w:t xml:space="preserve">: </w:t>
      </w:r>
      <w:r w:rsidR="00AE729C">
        <w:rPr>
          <w:sz w:val="22"/>
          <w:szCs w:val="16"/>
        </w:rPr>
        <w:t>A</w:t>
      </w:r>
      <w:r w:rsidRPr="00822F5E">
        <w:rPr>
          <w:sz w:val="22"/>
          <w:szCs w:val="16"/>
        </w:rPr>
        <w:t xml:space="preserve">verage WFF </w:t>
      </w:r>
      <w:r w:rsidR="00250E0E">
        <w:rPr>
          <w:sz w:val="22"/>
          <w:szCs w:val="16"/>
        </w:rPr>
        <w:t xml:space="preserve">$ per annum </w:t>
      </w:r>
      <w:r w:rsidRPr="00822F5E">
        <w:rPr>
          <w:sz w:val="22"/>
          <w:szCs w:val="16"/>
        </w:rPr>
        <w:t xml:space="preserve">entitlement per </w:t>
      </w:r>
      <w:r w:rsidR="00F21B7E" w:rsidRPr="00822F5E">
        <w:rPr>
          <w:sz w:val="22"/>
          <w:szCs w:val="16"/>
        </w:rPr>
        <w:t xml:space="preserve">recipient </w:t>
      </w:r>
      <w:r w:rsidRPr="00822F5E">
        <w:rPr>
          <w:sz w:val="22"/>
          <w:szCs w:val="16"/>
        </w:rPr>
        <w:t>family, years ending March 200</w:t>
      </w:r>
      <w:r w:rsidR="002A6880">
        <w:rPr>
          <w:sz w:val="22"/>
          <w:szCs w:val="16"/>
        </w:rPr>
        <w:t>1</w:t>
      </w:r>
      <w:r w:rsidRPr="00822F5E">
        <w:rPr>
          <w:sz w:val="22"/>
          <w:szCs w:val="16"/>
        </w:rPr>
        <w:t xml:space="preserve"> to 2019.</w:t>
      </w:r>
      <w:r w:rsidRPr="00C739A6">
        <w:t xml:space="preserve"> </w:t>
      </w:r>
      <w:r w:rsidRPr="00C739A6">
        <w:rPr>
          <w:sz w:val="20"/>
        </w:rPr>
        <w:t xml:space="preserve">Source: </w:t>
      </w:r>
      <w:r w:rsidR="0091114B" w:rsidRPr="00C739A6">
        <w:rPr>
          <w:sz w:val="20"/>
        </w:rPr>
        <w:t>Inland Revenue Department (2021d)</w:t>
      </w:r>
      <w:r w:rsidR="00AE729C" w:rsidRPr="00AE729C">
        <w:rPr>
          <w:noProof/>
        </w:rPr>
        <w:t xml:space="preserve"> </w:t>
      </w:r>
      <w:r w:rsidR="00AE729C">
        <w:rPr>
          <w:noProof/>
          <w:lang w:eastAsia="en-NZ"/>
        </w:rPr>
        <w:drawing>
          <wp:inline distT="0" distB="0" distL="0" distR="0" wp14:anchorId="1144A78A" wp14:editId="0E802651">
            <wp:extent cx="4068305" cy="2564970"/>
            <wp:effectExtent l="0" t="0" r="8890" b="6985"/>
            <wp:docPr id="1" name="Chart 1">
              <a:extLst xmlns:a="http://schemas.openxmlformats.org/drawingml/2006/main">
                <a:ext uri="{FF2B5EF4-FFF2-40B4-BE49-F238E27FC236}">
                  <a16:creationId xmlns:a16="http://schemas.microsoft.com/office/drawing/2014/main" id="{682C5617-1CF4-4865-B533-4DF90F131F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16"/>
      <w:r w:rsidR="00AE729C">
        <w:t xml:space="preserve"> </w:t>
      </w:r>
    </w:p>
    <w:p w14:paraId="1453368A" w14:textId="6672486D" w:rsidR="00D623EC" w:rsidRPr="00C739A6" w:rsidRDefault="00D623EC" w:rsidP="00EE7F36">
      <w:pPr>
        <w:pStyle w:val="Caption"/>
        <w:keepNext/>
        <w:spacing w:after="0"/>
        <w:rPr>
          <w:sz w:val="24"/>
          <w:szCs w:val="24"/>
        </w:rPr>
      </w:pPr>
      <w:bookmarkStart w:id="17" w:name="_Toc69738145"/>
      <w:r w:rsidRPr="00822F5E">
        <w:rPr>
          <w:sz w:val="22"/>
          <w:szCs w:val="22"/>
        </w:rPr>
        <w:lastRenderedPageBreak/>
        <w:t xml:space="preserve">Figure </w:t>
      </w:r>
      <w:r w:rsidR="00772ABD" w:rsidRPr="00822F5E">
        <w:rPr>
          <w:sz w:val="22"/>
          <w:szCs w:val="22"/>
        </w:rPr>
        <w:fldChar w:fldCharType="begin"/>
      </w:r>
      <w:r w:rsidR="00772ABD" w:rsidRPr="00822F5E">
        <w:rPr>
          <w:sz w:val="22"/>
          <w:szCs w:val="22"/>
        </w:rPr>
        <w:instrText xml:space="preserve"> SEQ Figure \* ARABIC </w:instrText>
      </w:r>
      <w:r w:rsidR="00772ABD" w:rsidRPr="00822F5E">
        <w:rPr>
          <w:sz w:val="22"/>
          <w:szCs w:val="22"/>
        </w:rPr>
        <w:fldChar w:fldCharType="separate"/>
      </w:r>
      <w:r w:rsidR="00D47803">
        <w:rPr>
          <w:noProof/>
          <w:sz w:val="22"/>
          <w:szCs w:val="22"/>
        </w:rPr>
        <w:t>4</w:t>
      </w:r>
      <w:r w:rsidR="00772ABD" w:rsidRPr="00822F5E">
        <w:rPr>
          <w:sz w:val="22"/>
          <w:szCs w:val="22"/>
        </w:rPr>
        <w:fldChar w:fldCharType="end"/>
      </w:r>
      <w:r w:rsidRPr="00822F5E">
        <w:rPr>
          <w:sz w:val="22"/>
          <w:szCs w:val="22"/>
        </w:rPr>
        <w:t xml:space="preserve">: Number of families claiming WFF payments with non-zero entitlements for years ending March 2003 to 2019. </w:t>
      </w:r>
      <w:r w:rsidRPr="00C739A6">
        <w:rPr>
          <w:sz w:val="20"/>
          <w:szCs w:val="24"/>
        </w:rPr>
        <w:t xml:space="preserve">Source: </w:t>
      </w:r>
      <w:r w:rsidR="0091114B" w:rsidRPr="00C739A6">
        <w:rPr>
          <w:sz w:val="20"/>
          <w:szCs w:val="24"/>
        </w:rPr>
        <w:t>Inland Revenue Department (2021d)</w:t>
      </w:r>
      <w:bookmarkEnd w:id="17"/>
    </w:p>
    <w:p w14:paraId="0894241F" w14:textId="72D4402F" w:rsidR="00BA06AB" w:rsidRDefault="00D623EC" w:rsidP="007050B3">
      <w:pPr>
        <w:keepNext/>
      </w:pPr>
      <w:r w:rsidRPr="00C739A6">
        <w:rPr>
          <w:noProof/>
          <w:lang w:eastAsia="en-NZ"/>
        </w:rPr>
        <w:drawing>
          <wp:inline distT="0" distB="0" distL="0" distR="0" wp14:anchorId="76DEDF65" wp14:editId="6B39F504">
            <wp:extent cx="3959817" cy="2456815"/>
            <wp:effectExtent l="0" t="0" r="3175"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17EC6F" w14:textId="79D33721" w:rsidR="00E3268E" w:rsidRDefault="007050B3" w:rsidP="00E3268E">
      <w:r>
        <w:t xml:space="preserve">Figure 4 shows </w:t>
      </w:r>
      <w:r w:rsidRPr="00C739A6">
        <w:t xml:space="preserve">the number of families </w:t>
      </w:r>
      <w:r>
        <w:t xml:space="preserve">claiming at least some WFF assistance </w:t>
      </w:r>
      <w:r w:rsidRPr="00C739A6">
        <w:t>between 2003 and 2019</w:t>
      </w:r>
      <w:r>
        <w:t xml:space="preserve"> (the latest data available). </w:t>
      </w:r>
      <w:r w:rsidR="00343A3C" w:rsidRPr="00C739A6">
        <w:t xml:space="preserve">The number of families claiming WFF </w:t>
      </w:r>
      <w:r w:rsidR="00822F5E">
        <w:t xml:space="preserve">peaked </w:t>
      </w:r>
      <w:r w:rsidR="00343A3C" w:rsidRPr="00C739A6">
        <w:t>in 2011</w:t>
      </w:r>
      <w:r w:rsidR="00822F5E">
        <w:t xml:space="preserve"> after the </w:t>
      </w:r>
      <w:r w:rsidR="00EE7F36">
        <w:t>GFC</w:t>
      </w:r>
      <w:r w:rsidR="00343A3C" w:rsidRPr="00C739A6">
        <w:t xml:space="preserve">, before </w:t>
      </w:r>
      <w:r w:rsidR="00822F5E">
        <w:t xml:space="preserve">declining to </w:t>
      </w:r>
      <w:r w:rsidR="00343A3C" w:rsidRPr="00C739A6">
        <w:t>2017</w:t>
      </w:r>
      <w:r w:rsidR="00822F5E">
        <w:t xml:space="preserve"> as employment opportunities ameliorated</w:t>
      </w:r>
      <w:r w:rsidR="00C11C37">
        <w:t xml:space="preserve"> and the abatement threshold eroded relative to wages (see threshold section below)</w:t>
      </w:r>
      <w:r w:rsidR="00822F5E">
        <w:t xml:space="preserve">. The number then increased </w:t>
      </w:r>
      <w:r w:rsidR="00054983">
        <w:t xml:space="preserve">slightly </w:t>
      </w:r>
      <w:r w:rsidR="00822F5E">
        <w:t xml:space="preserve">in </w:t>
      </w:r>
      <w:r w:rsidR="00054983">
        <w:t>2019</w:t>
      </w:r>
      <w:r w:rsidR="00B73B34">
        <w:t xml:space="preserve">, </w:t>
      </w:r>
      <w:r w:rsidR="00A143E7">
        <w:t>likely</w:t>
      </w:r>
      <w:r w:rsidR="00B73B34">
        <w:t xml:space="preserve"> </w:t>
      </w:r>
      <w:r w:rsidR="00A143E7">
        <w:t xml:space="preserve">in part </w:t>
      </w:r>
      <w:r w:rsidR="00B73B34">
        <w:t>due to the higher abatement threshold introduced by the Families Package, which would have meant more families were eligible for payment</w:t>
      </w:r>
      <w:r w:rsidR="00EF46EA">
        <w:t xml:space="preserve">, </w:t>
      </w:r>
      <w:proofErr w:type="gramStart"/>
      <w:r w:rsidR="00EF46EA">
        <w:t>and also</w:t>
      </w:r>
      <w:proofErr w:type="gramEnd"/>
      <w:r>
        <w:t xml:space="preserve"> </w:t>
      </w:r>
      <w:r w:rsidR="00A0744E">
        <w:t xml:space="preserve">due to </w:t>
      </w:r>
      <w:r w:rsidR="00EF46EA">
        <w:t>the introduction of the universal Best Start</w:t>
      </w:r>
      <w:r w:rsidR="00343A3C" w:rsidRPr="00C739A6">
        <w:t>.</w:t>
      </w:r>
      <w:r w:rsidR="00054983">
        <w:t xml:space="preserve"> </w:t>
      </w:r>
      <w:r w:rsidR="00822F5E" w:rsidRPr="00C739A6">
        <w:t xml:space="preserve">As the Covid-19 recession bites, we expect to see a further increase in </w:t>
      </w:r>
      <w:r w:rsidR="00822F5E">
        <w:t xml:space="preserve">families claiming </w:t>
      </w:r>
      <w:r w:rsidR="00822F5E" w:rsidRPr="00C739A6">
        <w:t>WFF entitlements.</w:t>
      </w:r>
      <w:r w:rsidR="00176B20">
        <w:t xml:space="preserve"> </w:t>
      </w:r>
    </w:p>
    <w:p w14:paraId="07ECAF62" w14:textId="688CAA0B" w:rsidR="00C11C37" w:rsidRPr="00EB3731" w:rsidRDefault="00C11C37" w:rsidP="006B599E">
      <w:pPr>
        <w:pStyle w:val="Heading2"/>
      </w:pPr>
      <w:r w:rsidRPr="00EB3731">
        <w:t>WFF thresholds</w:t>
      </w:r>
    </w:p>
    <w:p w14:paraId="36B65384" w14:textId="1A3C67C7" w:rsidR="005C7E6D" w:rsidRDefault="005C7E6D" w:rsidP="00001E89">
      <w:r w:rsidRPr="00C739A6">
        <w:t xml:space="preserve">The declining number of families receiving WFF payments </w:t>
      </w:r>
      <w:r w:rsidR="00EF46EA">
        <w:t>from 2011-2018</w:t>
      </w:r>
      <w:r w:rsidRPr="00C739A6">
        <w:t xml:space="preserve"> likely reflects </w:t>
      </w:r>
      <w:r w:rsidR="00CD14F1">
        <w:t xml:space="preserve">both </w:t>
      </w:r>
      <w:r w:rsidRPr="00C739A6">
        <w:t xml:space="preserve">improving labour market conditions post-Global Financial Crisis, </w:t>
      </w:r>
      <w:proofErr w:type="gramStart"/>
      <w:r w:rsidR="00CD14F1">
        <w:t xml:space="preserve">and </w:t>
      </w:r>
      <w:r w:rsidRPr="00C739A6">
        <w:t>also</w:t>
      </w:r>
      <w:proofErr w:type="gramEnd"/>
      <w:r w:rsidRPr="00C739A6">
        <w:t xml:space="preserve"> </w:t>
      </w:r>
      <w:r w:rsidR="00ED1874" w:rsidRPr="00C739A6">
        <w:t>the eroding value of the abatement t</w:t>
      </w:r>
      <w:r w:rsidR="001E354D" w:rsidRPr="00C739A6">
        <w:t xml:space="preserve">hreshold, which </w:t>
      </w:r>
      <w:r w:rsidR="00B73B34">
        <w:t xml:space="preserve">had </w:t>
      </w:r>
      <w:r w:rsidR="001E354D" w:rsidRPr="00C739A6">
        <w:t xml:space="preserve">not been </w:t>
      </w:r>
      <w:r w:rsidR="00047E9A" w:rsidRPr="00C739A6">
        <w:t>in</w:t>
      </w:r>
      <w:r w:rsidR="00793FE0" w:rsidRPr="00C739A6">
        <w:t>c</w:t>
      </w:r>
      <w:r w:rsidR="00047E9A" w:rsidRPr="00C739A6">
        <w:t xml:space="preserve">reased </w:t>
      </w:r>
      <w:r w:rsidR="001E354D" w:rsidRPr="00C739A6">
        <w:t>since 2010</w:t>
      </w:r>
      <w:r w:rsidR="00692C77" w:rsidRPr="00C739A6">
        <w:t xml:space="preserve"> </w:t>
      </w:r>
      <w:r w:rsidR="00475E0B">
        <w:t>but instead deliberately decreased in 2013</w:t>
      </w:r>
      <w:r w:rsidR="00CD14F1">
        <w:t xml:space="preserve"> </w:t>
      </w:r>
      <w:r w:rsidR="00692C77" w:rsidRPr="00C739A6">
        <w:t xml:space="preserve">(Figure </w:t>
      </w:r>
      <w:r w:rsidR="007957F5">
        <w:t>5</w:t>
      </w:r>
      <w:r w:rsidR="00692C77" w:rsidRPr="00C739A6">
        <w:t>)</w:t>
      </w:r>
      <w:r w:rsidR="001E354D" w:rsidRPr="00C739A6">
        <w:t xml:space="preserve">. </w:t>
      </w:r>
    </w:p>
    <w:p w14:paraId="34D0ABEA" w14:textId="10AE35E6" w:rsidR="000D1E10" w:rsidRDefault="000D1E10" w:rsidP="00EE7F36">
      <w:pPr>
        <w:pStyle w:val="Caption"/>
        <w:spacing w:after="0"/>
      </w:pPr>
      <w:bookmarkStart w:id="18" w:name="_Toc69738146"/>
      <w:r w:rsidRPr="000D1E10">
        <w:rPr>
          <w:sz w:val="22"/>
        </w:rPr>
        <w:t xml:space="preserve">Figure </w:t>
      </w:r>
      <w:r w:rsidRPr="000D1E10">
        <w:rPr>
          <w:sz w:val="22"/>
        </w:rPr>
        <w:fldChar w:fldCharType="begin"/>
      </w:r>
      <w:r w:rsidRPr="000D1E10">
        <w:rPr>
          <w:sz w:val="22"/>
        </w:rPr>
        <w:instrText xml:space="preserve"> SEQ Figure \* ARABIC </w:instrText>
      </w:r>
      <w:r w:rsidRPr="000D1E10">
        <w:rPr>
          <w:sz w:val="22"/>
        </w:rPr>
        <w:fldChar w:fldCharType="separate"/>
      </w:r>
      <w:r w:rsidR="00D47803">
        <w:rPr>
          <w:noProof/>
          <w:sz w:val="22"/>
        </w:rPr>
        <w:t>5</w:t>
      </w:r>
      <w:r w:rsidRPr="000D1E10">
        <w:rPr>
          <w:sz w:val="22"/>
        </w:rPr>
        <w:fldChar w:fldCharType="end"/>
      </w:r>
      <w:r w:rsidRPr="000D1E10">
        <w:rPr>
          <w:sz w:val="22"/>
        </w:rPr>
        <w:t>: WFF abatement threshold 2008-2021 (Y axis starts at $20k; wage &amp; CPI index Q3, 2020)</w:t>
      </w:r>
      <w:bookmarkEnd w:id="18"/>
      <w:r w:rsidR="00EB3731">
        <w:rPr>
          <w:noProof/>
          <w:lang w:eastAsia="en-NZ"/>
        </w:rPr>
        <w:drawing>
          <wp:inline distT="0" distB="0" distL="0" distR="0" wp14:anchorId="4E49085F" wp14:editId="4E54CF9F">
            <wp:extent cx="4905955" cy="2774950"/>
            <wp:effectExtent l="0" t="0" r="9525" b="6350"/>
            <wp:docPr id="24" name="Chart 2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2F0AF0" w14:textId="56002E26" w:rsidR="00001E89" w:rsidRPr="00C739A6" w:rsidRDefault="00C4488D" w:rsidP="00001E89">
      <w:r>
        <w:lastRenderedPageBreak/>
        <w:t xml:space="preserve">Figure </w:t>
      </w:r>
      <w:r w:rsidR="007957F5">
        <w:t>5</w:t>
      </w:r>
      <w:r>
        <w:t xml:space="preserve"> refl</w:t>
      </w:r>
      <w:r w:rsidR="00BA46D5">
        <w:t>e</w:t>
      </w:r>
      <w:r>
        <w:t xml:space="preserve">cts that, </w:t>
      </w:r>
      <w:r w:rsidRPr="00C739A6">
        <w:t>while increases were made automatically to the abatement threshold between 2008 and 2010</w:t>
      </w:r>
      <w:r w:rsidR="00475E0B">
        <w:t xml:space="preserve"> based on the </w:t>
      </w:r>
      <w:r w:rsidR="005420AD">
        <w:t>CPI</w:t>
      </w:r>
      <w:r>
        <w:t>, i</w:t>
      </w:r>
      <w:r w:rsidR="00001E89" w:rsidRPr="00C739A6">
        <w:t xml:space="preserve">n 2010, the National Government abolished the policy that would have </w:t>
      </w:r>
      <w:r>
        <w:t xml:space="preserve">further </w:t>
      </w:r>
      <w:r w:rsidR="00001E89" w:rsidRPr="00C739A6">
        <w:t>raised the threshold in a series of increments (English, 2010)</w:t>
      </w:r>
      <w:r>
        <w:t xml:space="preserve"> and then reduced it in nominal terms in </w:t>
      </w:r>
      <w:r w:rsidR="00001E89" w:rsidRPr="00C739A6">
        <w:t>2013</w:t>
      </w:r>
      <w:r>
        <w:t xml:space="preserve">. </w:t>
      </w:r>
      <w:r w:rsidR="00001E89" w:rsidRPr="00C739A6">
        <w:t xml:space="preserve"> </w:t>
      </w:r>
      <w:r w:rsidR="00475E0B">
        <w:t xml:space="preserve">The threshold </w:t>
      </w:r>
      <w:r w:rsidR="00001E89" w:rsidRPr="00C739A6">
        <w:t xml:space="preserve">remained at its 2013 level </w:t>
      </w:r>
      <w:r>
        <w:t xml:space="preserve">in nominal terms </w:t>
      </w:r>
      <w:r w:rsidR="00822640">
        <w:t>until 2018 (see Table 5,</w:t>
      </w:r>
      <w:r w:rsidR="00001E89" w:rsidRPr="00C739A6">
        <w:t xml:space="preserve"> Appendix A). </w:t>
      </w:r>
    </w:p>
    <w:p w14:paraId="7D6EB372" w14:textId="2C789EC9" w:rsidR="00CC0A98" w:rsidRDefault="00001E89" w:rsidP="00001E89">
      <w:r w:rsidRPr="00C739A6">
        <w:t xml:space="preserve">As Figure </w:t>
      </w:r>
      <w:r w:rsidR="007957F5">
        <w:t>5</w:t>
      </w:r>
      <w:r w:rsidRPr="00C739A6">
        <w:t xml:space="preserve"> illustrates, when indexed to movements in average wages, the abatement threshold erodes between </w:t>
      </w:r>
      <w:r w:rsidR="00475E0B">
        <w:t>2009</w:t>
      </w:r>
      <w:r w:rsidR="00475E0B" w:rsidRPr="00C739A6">
        <w:t xml:space="preserve"> </w:t>
      </w:r>
      <w:r w:rsidRPr="00C739A6">
        <w:t xml:space="preserve">and 2018, reducing the number and proportion of families with incomes low enough to be eligible for the full WFF. </w:t>
      </w:r>
      <w:r w:rsidR="00C4488D">
        <w:t>T</w:t>
      </w:r>
      <w:r w:rsidRPr="00C739A6">
        <w:t xml:space="preserve">he Families Package </w:t>
      </w:r>
      <w:r w:rsidR="00C4488D">
        <w:t xml:space="preserve">increase was not enough to restore </w:t>
      </w:r>
      <w:r w:rsidRPr="00C739A6">
        <w:t>the threshold to 2008 levels</w:t>
      </w:r>
      <w:r w:rsidR="00C4488D">
        <w:t xml:space="preserve"> when wage movements are </w:t>
      </w:r>
      <w:proofErr w:type="gramStart"/>
      <w:r w:rsidR="00C4488D">
        <w:t>taken into account</w:t>
      </w:r>
      <w:proofErr w:type="gramEnd"/>
      <w:r w:rsidR="00CD14F1">
        <w:t xml:space="preserve"> </w:t>
      </w:r>
      <w:r w:rsidR="00CD14F1" w:rsidRPr="00474F6A">
        <w:t>and not quite enough to restore it when CPI inflation is taken into account</w:t>
      </w:r>
      <w:r w:rsidR="00C4488D">
        <w:t xml:space="preserve">. </w:t>
      </w:r>
      <w:r w:rsidR="005A017D">
        <w:t>I</w:t>
      </w:r>
      <w:r w:rsidRPr="00C739A6">
        <w:t xml:space="preserve">t is crucial that the abatement </w:t>
      </w:r>
      <w:r w:rsidR="00DF32CF">
        <w:t>threshold</w:t>
      </w:r>
      <w:r w:rsidR="00DF32CF" w:rsidRPr="00C739A6">
        <w:t xml:space="preserve"> </w:t>
      </w:r>
      <w:r w:rsidR="00CD14F1">
        <w:t xml:space="preserve">is </w:t>
      </w:r>
      <w:r w:rsidR="005A017D">
        <w:t xml:space="preserve">not neglected </w:t>
      </w:r>
      <w:r w:rsidR="007512E9">
        <w:t xml:space="preserve">and left </w:t>
      </w:r>
      <w:r w:rsidR="005A017D">
        <w:t xml:space="preserve">to erode in the same way again. However, </w:t>
      </w:r>
      <w:proofErr w:type="gramStart"/>
      <w:r w:rsidR="005A017D">
        <w:t>in order to</w:t>
      </w:r>
      <w:proofErr w:type="gramEnd"/>
      <w:r w:rsidR="005A017D">
        <w:t xml:space="preserve"> </w:t>
      </w:r>
      <w:r w:rsidR="00474F6A">
        <w:t xml:space="preserve">mitigate </w:t>
      </w:r>
      <w:r w:rsidR="005A017D">
        <w:t xml:space="preserve">“double indexing” </w:t>
      </w:r>
      <w:r w:rsidR="00984A2A">
        <w:t>(</w:t>
      </w:r>
      <w:r w:rsidR="005A017D">
        <w:t xml:space="preserve">which </w:t>
      </w:r>
      <w:r w:rsidR="00474F6A">
        <w:t>blunts targeting over</w:t>
      </w:r>
      <w:r w:rsidR="00CC0A98">
        <w:t xml:space="preserve"> </w:t>
      </w:r>
      <w:r w:rsidR="00474F6A">
        <w:t>time</w:t>
      </w:r>
      <w:r w:rsidR="00CC0A98">
        <w:t>,</w:t>
      </w:r>
      <w:r w:rsidR="00474F6A">
        <w:t xml:space="preserve"> by offering </w:t>
      </w:r>
      <w:r w:rsidR="00CC0A98">
        <w:t xml:space="preserve">families well </w:t>
      </w:r>
      <w:r w:rsidR="005A017D">
        <w:t>over the abatement threshold both a wage-indexed base amount and a wage-indexed abatement threshold</w:t>
      </w:r>
      <w:r w:rsidR="00CC0A98">
        <w:t>)</w:t>
      </w:r>
      <w:r w:rsidR="005A017D">
        <w:t>, we recommend indexing the threshold to CPI instead of wages, as was done pre-2010</w:t>
      </w:r>
      <w:r w:rsidR="007512E9">
        <w:t xml:space="preserve">. </w:t>
      </w:r>
      <w:r w:rsidR="005A017D">
        <w:t>This would mean an initial lift from $42,700 to $</w:t>
      </w:r>
      <w:r w:rsidR="007512E9">
        <w:t>43,800 if begun this year.</w:t>
      </w:r>
      <w:r w:rsidR="003063AF">
        <w:rPr>
          <w:rStyle w:val="FootnoteReference"/>
        </w:rPr>
        <w:footnoteReference w:id="4"/>
      </w:r>
      <w:r w:rsidR="00E3268E" w:rsidRPr="00C739A6" w:rsidDel="00E3268E">
        <w:t xml:space="preserve"> </w:t>
      </w:r>
      <w:r w:rsidR="00B25C8E" w:rsidRPr="00474F6A">
        <w:t xml:space="preserve">This would be a very modest indexation policy and therefore would need to be reviewed every few years. </w:t>
      </w:r>
    </w:p>
    <w:p w14:paraId="5EC3531B" w14:textId="156D69BF" w:rsidR="00001E89" w:rsidRDefault="00CD14F1" w:rsidP="00001E89">
      <w:r w:rsidRPr="00474F6A">
        <w:t xml:space="preserve">Alternatively, </w:t>
      </w:r>
      <w:r w:rsidR="00B25C8E" w:rsidRPr="00474F6A">
        <w:t xml:space="preserve">a more generous </w:t>
      </w:r>
      <w:r w:rsidR="00CC0A98">
        <w:t>(</w:t>
      </w:r>
      <w:r w:rsidR="00B25C8E" w:rsidRPr="00474F6A">
        <w:t>but still justifiable</w:t>
      </w:r>
      <w:r w:rsidR="00CC0A98">
        <w:t>)</w:t>
      </w:r>
      <w:r w:rsidR="00B25C8E" w:rsidRPr="00474F6A">
        <w:t xml:space="preserve"> policy would be to link </w:t>
      </w:r>
      <w:r w:rsidRPr="00474F6A">
        <w:t>the threshold to movements in minimum wage</w:t>
      </w:r>
      <w:r w:rsidR="00555574" w:rsidRPr="00474F6A">
        <w:t>, so that increases in minimum wage are</w:t>
      </w:r>
      <w:r w:rsidR="00CC0A98">
        <w:t xml:space="preserve"> not</w:t>
      </w:r>
      <w:r w:rsidR="00555574" w:rsidRPr="00474F6A">
        <w:t xml:space="preserve"> immediately clawed back at the WFF abatement rate (currently 25%). The 2009 threshold of $35,913 represented 57 hours of minimum wage work; 57 minimum wage hours in 2021 would result in a threshold of $59,855. The current threshold of $42,700 is only 41 </w:t>
      </w:r>
      <w:r w:rsidR="00B25C8E" w:rsidRPr="00474F6A">
        <w:t xml:space="preserve">($20) </w:t>
      </w:r>
      <w:r w:rsidR="00555574" w:rsidRPr="00474F6A">
        <w:t xml:space="preserve">minimum wage hours – down from 46 </w:t>
      </w:r>
      <w:r w:rsidR="00B25C8E" w:rsidRPr="00474F6A">
        <w:t xml:space="preserve">($17.70) </w:t>
      </w:r>
      <w:r w:rsidR="00555574" w:rsidRPr="00474F6A">
        <w:t>minimum wage hours (same threshold) in 2019/20.</w:t>
      </w:r>
      <w:r w:rsidR="00B25C8E" w:rsidRPr="00474F6A">
        <w:t xml:space="preserve"> </w:t>
      </w:r>
    </w:p>
    <w:p w14:paraId="6B5A71EA" w14:textId="0A7DB873" w:rsidR="007512E9" w:rsidRDefault="00474F6A" w:rsidP="00001E89">
      <w:r>
        <w:t xml:space="preserve">Hence our </w:t>
      </w:r>
      <w:r w:rsidR="007512E9">
        <w:t>recommendation:</w:t>
      </w:r>
    </w:p>
    <w:p w14:paraId="45F4E059" w14:textId="77777777" w:rsidR="00B25C8E" w:rsidRPr="00B25C8E" w:rsidRDefault="00B25C8E" w:rsidP="00474F6A">
      <w:pPr>
        <w:pStyle w:val="ListParagraph"/>
      </w:pPr>
      <w:r w:rsidRPr="00B25C8E">
        <w:t xml:space="preserve">Reinstate indexing of the Working for Families abatement </w:t>
      </w:r>
      <w:proofErr w:type="gramStart"/>
      <w:r w:rsidRPr="00B25C8E">
        <w:t>threshold, and</w:t>
      </w:r>
      <w:proofErr w:type="gramEnd"/>
      <w:r w:rsidRPr="00B25C8E">
        <w:t xml:space="preserve"> link it either to CPI on an annual basis, or to movements in the minimum wage, in order to slow further erosion of income support for children while avoiding “double indexing”.</w:t>
      </w:r>
    </w:p>
    <w:p w14:paraId="707EBAC9" w14:textId="3A36089A" w:rsidR="00B26986" w:rsidRPr="00C739A6" w:rsidRDefault="00B26986" w:rsidP="00B25C8E">
      <w:pPr>
        <w:pStyle w:val="ListParagraph"/>
      </w:pPr>
    </w:p>
    <w:p w14:paraId="70276E39" w14:textId="49B9B50C" w:rsidR="00950DFC" w:rsidRPr="00C739A6" w:rsidRDefault="008632DF" w:rsidP="00950DFC">
      <w:pPr>
        <w:pStyle w:val="Heading1"/>
      </w:pPr>
      <w:bookmarkStart w:id="19" w:name="_Toc66785666"/>
      <w:r w:rsidRPr="00C739A6">
        <w:t>Working for Families</w:t>
      </w:r>
      <w:r w:rsidR="00950DFC" w:rsidRPr="00C739A6">
        <w:t xml:space="preserve"> rates over time</w:t>
      </w:r>
      <w:bookmarkEnd w:id="19"/>
    </w:p>
    <w:p w14:paraId="335C7A20" w14:textId="4CF65C8D" w:rsidR="00A96A60" w:rsidRPr="00C739A6" w:rsidRDefault="00A96A60" w:rsidP="00A96A60">
      <w:pPr>
        <w:pStyle w:val="Heading2"/>
      </w:pPr>
      <w:bookmarkStart w:id="20" w:name="_Toc66785667"/>
      <w:r w:rsidRPr="00C739A6">
        <w:t>Family Tax Credit</w:t>
      </w:r>
      <w:bookmarkEnd w:id="20"/>
    </w:p>
    <w:p w14:paraId="3163D999" w14:textId="2A01C6C6" w:rsidR="00585839" w:rsidRPr="00C739A6" w:rsidRDefault="00585839" w:rsidP="00585839">
      <w:pPr>
        <w:pStyle w:val="Heading3"/>
      </w:pPr>
      <w:bookmarkStart w:id="21" w:name="_Toc66785668"/>
      <w:r w:rsidRPr="00C739A6">
        <w:t>Nominal values</w:t>
      </w:r>
      <w:bookmarkEnd w:id="21"/>
    </w:p>
    <w:p w14:paraId="074EF3B5" w14:textId="3DFBA366" w:rsidR="004D1DB8" w:rsidRPr="00C739A6" w:rsidRDefault="00150E40" w:rsidP="00946A51">
      <w:r w:rsidRPr="00C739A6">
        <w:t>FTC</w:t>
      </w:r>
      <w:r w:rsidR="000A21EC" w:rsidRPr="00C739A6">
        <w:t xml:space="preserve"> </w:t>
      </w:r>
      <w:r w:rsidR="00D1608C" w:rsidRPr="00C739A6">
        <w:t>rates have increased</w:t>
      </w:r>
      <w:r w:rsidR="00682EA4" w:rsidRPr="00C739A6">
        <w:t xml:space="preserve"> in nominal value</w:t>
      </w:r>
      <w:r w:rsidR="00D1608C" w:rsidRPr="00C739A6">
        <w:t xml:space="preserve"> </w:t>
      </w:r>
      <w:r w:rsidR="00CA1A5E" w:rsidRPr="00C739A6">
        <w:t xml:space="preserve">several </w:t>
      </w:r>
      <w:r w:rsidR="00D1608C" w:rsidRPr="00C739A6">
        <w:t xml:space="preserve">times in </w:t>
      </w:r>
      <w:r w:rsidR="009D012D" w:rsidRPr="00C739A6">
        <w:t xml:space="preserve">the period March 2008 to 2021, both </w:t>
      </w:r>
      <w:proofErr w:type="gramStart"/>
      <w:r w:rsidR="009D012D" w:rsidRPr="00C739A6">
        <w:t>as a result of</w:t>
      </w:r>
      <w:proofErr w:type="gramEnd"/>
      <w:r w:rsidR="009D012D" w:rsidRPr="00C739A6">
        <w:t xml:space="preserve"> the CPI threshold exceeding 5%, and </w:t>
      </w:r>
      <w:r w:rsidR="00B95E23" w:rsidRPr="00C739A6">
        <w:t xml:space="preserve">also resulting from other </w:t>
      </w:r>
      <w:r w:rsidR="009D012D" w:rsidRPr="00C739A6">
        <w:t>gove</w:t>
      </w:r>
      <w:r w:rsidR="00946A51" w:rsidRPr="00C739A6">
        <w:t>rnment decisions (see Appendix B</w:t>
      </w:r>
      <w:r w:rsidR="00D623EC" w:rsidRPr="00C739A6">
        <w:t xml:space="preserve"> for</w:t>
      </w:r>
      <w:r w:rsidR="00682EA4" w:rsidRPr="00C739A6">
        <w:t xml:space="preserve"> a</w:t>
      </w:r>
      <w:r w:rsidR="00D623EC" w:rsidRPr="00C739A6">
        <w:t xml:space="preserve"> timeline of changes</w:t>
      </w:r>
      <w:r w:rsidR="009D012D" w:rsidRPr="00C739A6">
        <w:t>)</w:t>
      </w:r>
      <w:r w:rsidR="00D1608C" w:rsidRPr="00C739A6">
        <w:t xml:space="preserve">. </w:t>
      </w:r>
      <w:r w:rsidR="00822640">
        <w:t>Table 6</w:t>
      </w:r>
      <w:r w:rsidR="00682EA4" w:rsidRPr="00C739A6">
        <w:t xml:space="preserve"> (Appendix A) provides a schedule of nominal </w:t>
      </w:r>
      <w:r w:rsidRPr="00C739A6">
        <w:t>FTC</w:t>
      </w:r>
      <w:r w:rsidR="00682EA4" w:rsidRPr="00C739A6">
        <w:t xml:space="preserve"> rates between 2008 and 2021. During this period, t</w:t>
      </w:r>
      <w:r w:rsidR="00D1608C" w:rsidRPr="00C739A6">
        <w:t xml:space="preserve">here have also been changes over this period to the structure of the </w:t>
      </w:r>
      <w:r w:rsidRPr="00C739A6">
        <w:t>FTC</w:t>
      </w:r>
      <w:r w:rsidR="00D1608C" w:rsidRPr="00C739A6">
        <w:t xml:space="preserve">, with a shift away from </w:t>
      </w:r>
      <w:r w:rsidR="00D1608C" w:rsidRPr="00C739A6">
        <w:lastRenderedPageBreak/>
        <w:t>having different rates according to ag</w:t>
      </w:r>
      <w:r w:rsidR="005C442E" w:rsidRPr="00C739A6">
        <w:t xml:space="preserve">e, towards single first child and </w:t>
      </w:r>
      <w:r w:rsidR="009D012D" w:rsidRPr="00C739A6">
        <w:t>subsequent child rate</w:t>
      </w:r>
      <w:r w:rsidR="005C442E" w:rsidRPr="00C739A6">
        <w:t>s</w:t>
      </w:r>
      <w:r w:rsidR="007512E9">
        <w:t xml:space="preserve">, based on the then-highest </w:t>
      </w:r>
      <w:r w:rsidR="005C442E" w:rsidRPr="00C739A6">
        <w:t>pay rates</w:t>
      </w:r>
      <w:r w:rsidR="007512E9">
        <w:t xml:space="preserve">, which were those </w:t>
      </w:r>
      <w:r w:rsidR="005C442E" w:rsidRPr="00C739A6">
        <w:t>for older children</w:t>
      </w:r>
      <w:r w:rsidR="00AD2311" w:rsidRPr="00C739A6">
        <w:t xml:space="preserve"> (aged 16-18)</w:t>
      </w:r>
      <w:r w:rsidR="007512E9">
        <w:t xml:space="preserve">. Because of </w:t>
      </w:r>
      <w:r w:rsidR="005C442E" w:rsidRPr="00C739A6">
        <w:t>t</w:t>
      </w:r>
      <w:r w:rsidR="0004324E" w:rsidRPr="00C739A6">
        <w:t>his</w:t>
      </w:r>
      <w:r w:rsidR="00682EA4" w:rsidRPr="00C739A6">
        <w:t xml:space="preserve"> shift towards single payment rates across age brackets</w:t>
      </w:r>
      <w:r w:rsidR="007512E9">
        <w:t xml:space="preserve">, young people aged 16-18 have received none of the </w:t>
      </w:r>
      <w:r w:rsidR="0004324E" w:rsidRPr="00C739A6">
        <w:t>significant increases</w:t>
      </w:r>
      <w:r w:rsidR="00AD2311" w:rsidRPr="00C739A6">
        <w:t xml:space="preserve"> between 2008 and 2021 </w:t>
      </w:r>
      <w:r w:rsidR="007512E9">
        <w:t xml:space="preserve">received by </w:t>
      </w:r>
      <w:r w:rsidR="00AD2311" w:rsidRPr="00C739A6">
        <w:t>children 0-16</w:t>
      </w:r>
      <w:r w:rsidR="00EF21FC">
        <w:t>.</w:t>
      </w:r>
    </w:p>
    <w:p w14:paraId="7FC2F3E1" w14:textId="4CEBA613" w:rsidR="006A7D72" w:rsidRPr="00C739A6" w:rsidRDefault="004D1DB8" w:rsidP="004D1DB8">
      <w:pPr>
        <w:pStyle w:val="Heading3"/>
      </w:pPr>
      <w:bookmarkStart w:id="22" w:name="_Toc66785669"/>
      <w:r w:rsidRPr="00C739A6">
        <w:t>Wage-adjusted values</w:t>
      </w:r>
      <w:bookmarkEnd w:id="22"/>
    </w:p>
    <w:p w14:paraId="482CD14D" w14:textId="69AEC060" w:rsidR="00B3157E" w:rsidRPr="00C739A6" w:rsidRDefault="00DC082D" w:rsidP="00950DFC">
      <w:r w:rsidRPr="00C739A6">
        <w:t xml:space="preserve">Figure 6 shows that the Families Package roughly recovered </w:t>
      </w:r>
      <w:r w:rsidR="002C0FEB">
        <w:t xml:space="preserve">FTC </w:t>
      </w:r>
      <w:r w:rsidRPr="00C739A6">
        <w:t xml:space="preserve">payment rates for first children 0-12 to their 2008 levels, while it increased rates for subsequent children 0-12 </w:t>
      </w:r>
      <w:r w:rsidR="00B3157E" w:rsidRPr="00C739A6">
        <w:t>by 1</w:t>
      </w:r>
      <w:r w:rsidR="00CE0B16">
        <w:t>3</w:t>
      </w:r>
      <w:r w:rsidR="00B3157E" w:rsidRPr="00C739A6">
        <w:t xml:space="preserve"> percent </w:t>
      </w:r>
      <w:r w:rsidRPr="00C739A6">
        <w:t>beyond 2008 levels</w:t>
      </w:r>
      <w:r w:rsidR="00CE0B16">
        <w:t xml:space="preserve"> (as at year ending March 2020)</w:t>
      </w:r>
      <w:r w:rsidRPr="00C739A6">
        <w:t xml:space="preserve">. However, relative to wages, these payment rates </w:t>
      </w:r>
      <w:r w:rsidR="00B3157E" w:rsidRPr="00C739A6">
        <w:t xml:space="preserve">erode </w:t>
      </w:r>
      <w:r w:rsidR="00850EC0">
        <w:t>from 2019/20 to 2020/21</w:t>
      </w:r>
      <w:r w:rsidR="00B3157E" w:rsidRPr="00C739A6">
        <w:t xml:space="preserve">, demonstrating how without proper indexation, gains made through the Families Package are lost. </w:t>
      </w:r>
    </w:p>
    <w:p w14:paraId="7EA93BBF" w14:textId="1FA58ACD" w:rsidR="00D54576" w:rsidRPr="000C4466" w:rsidRDefault="00D54576" w:rsidP="2310FC1E">
      <w:pPr>
        <w:pStyle w:val="Caption"/>
        <w:keepNext/>
        <w:rPr>
          <w:sz w:val="22"/>
          <w:szCs w:val="22"/>
        </w:rPr>
      </w:pPr>
      <w:bookmarkStart w:id="23" w:name="_Toc69738147"/>
      <w:bookmarkStart w:id="24" w:name="_Hlk70005164"/>
      <w:r w:rsidRPr="2310FC1E">
        <w:rPr>
          <w:sz w:val="22"/>
          <w:szCs w:val="22"/>
        </w:rPr>
        <w:t xml:space="preserve">Figure </w:t>
      </w:r>
      <w:r w:rsidRPr="2310FC1E">
        <w:rPr>
          <w:sz w:val="22"/>
          <w:szCs w:val="22"/>
        </w:rPr>
        <w:fldChar w:fldCharType="begin"/>
      </w:r>
      <w:r w:rsidRPr="2310FC1E">
        <w:rPr>
          <w:sz w:val="22"/>
          <w:szCs w:val="22"/>
        </w:rPr>
        <w:instrText xml:space="preserve"> SEQ Figure \* ARABIC </w:instrText>
      </w:r>
      <w:r w:rsidRPr="2310FC1E">
        <w:rPr>
          <w:sz w:val="22"/>
          <w:szCs w:val="22"/>
        </w:rPr>
        <w:fldChar w:fldCharType="separate"/>
      </w:r>
      <w:r w:rsidR="00D47803">
        <w:rPr>
          <w:noProof/>
          <w:sz w:val="22"/>
          <w:szCs w:val="22"/>
        </w:rPr>
        <w:t>6</w:t>
      </w:r>
      <w:r w:rsidRPr="2310FC1E">
        <w:rPr>
          <w:sz w:val="22"/>
          <w:szCs w:val="22"/>
        </w:rPr>
        <w:fldChar w:fldCharType="end"/>
      </w:r>
      <w:r w:rsidRPr="2310FC1E">
        <w:rPr>
          <w:sz w:val="22"/>
          <w:szCs w:val="22"/>
        </w:rPr>
        <w:t xml:space="preserve">: </w:t>
      </w:r>
      <w:r w:rsidR="31ED584F" w:rsidRPr="2310FC1E">
        <w:rPr>
          <w:sz w:val="22"/>
          <w:szCs w:val="22"/>
        </w:rPr>
        <w:t>Maximum</w:t>
      </w:r>
      <w:r w:rsidR="004D57AC" w:rsidRPr="2310FC1E">
        <w:rPr>
          <w:sz w:val="22"/>
          <w:szCs w:val="22"/>
        </w:rPr>
        <w:t xml:space="preserve"> weekly </w:t>
      </w:r>
      <w:r w:rsidR="00150E40" w:rsidRPr="2310FC1E">
        <w:rPr>
          <w:sz w:val="22"/>
          <w:szCs w:val="22"/>
        </w:rPr>
        <w:t>FTC</w:t>
      </w:r>
      <w:r w:rsidRPr="2310FC1E">
        <w:rPr>
          <w:sz w:val="22"/>
          <w:szCs w:val="22"/>
        </w:rPr>
        <w:t xml:space="preserve"> rates for children aged 0-12</w:t>
      </w:r>
      <w:r w:rsidR="544D73CD" w:rsidRPr="2310FC1E">
        <w:rPr>
          <w:sz w:val="22"/>
          <w:szCs w:val="22"/>
        </w:rPr>
        <w:t xml:space="preserve"> (annual average)</w:t>
      </w:r>
      <w:r w:rsidRPr="2310FC1E">
        <w:rPr>
          <w:sz w:val="22"/>
          <w:szCs w:val="22"/>
        </w:rPr>
        <w:t xml:space="preserve">, </w:t>
      </w:r>
      <w:r w:rsidR="000C7019" w:rsidRPr="2310FC1E">
        <w:rPr>
          <w:sz w:val="22"/>
          <w:szCs w:val="22"/>
        </w:rPr>
        <w:t>i</w:t>
      </w:r>
      <w:r w:rsidRPr="2310FC1E">
        <w:rPr>
          <w:sz w:val="22"/>
          <w:szCs w:val="22"/>
        </w:rPr>
        <w:t>ndexed to wages 2008-2021 (Q3 2020 dollars)</w:t>
      </w:r>
      <w:bookmarkEnd w:id="23"/>
    </w:p>
    <w:p w14:paraId="12967A0C" w14:textId="425382E1" w:rsidR="000C4466" w:rsidRPr="00CE0B16" w:rsidRDefault="00CE0B16" w:rsidP="00D51D34">
      <w:pPr>
        <w:rPr>
          <w:highlight w:val="yellow"/>
        </w:rPr>
      </w:pPr>
      <w:r>
        <w:rPr>
          <w:noProof/>
          <w:lang w:eastAsia="en-NZ"/>
        </w:rPr>
        <w:drawing>
          <wp:inline distT="0" distB="0" distL="0" distR="0" wp14:anchorId="033FDA26" wp14:editId="53A66769">
            <wp:extent cx="6210300" cy="33623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bookmarkEnd w:id="24"/>
    <w:p w14:paraId="5CE683F2" w14:textId="1A226A0B" w:rsidR="00696AC8" w:rsidRDefault="007A441D" w:rsidP="00696AC8">
      <w:r w:rsidRPr="00C739A6">
        <w:t>Erosion in value has been more</w:t>
      </w:r>
      <w:r w:rsidR="00D51D34" w:rsidRPr="00C739A6">
        <w:t xml:space="preserve"> significant for </w:t>
      </w:r>
      <w:proofErr w:type="spellStart"/>
      <w:r w:rsidR="00B52DF0">
        <w:t>rangatahi</w:t>
      </w:r>
      <w:proofErr w:type="spellEnd"/>
      <w:r w:rsidR="00B52DF0">
        <w:t xml:space="preserve"> </w:t>
      </w:r>
      <w:r w:rsidR="000D1DD5">
        <w:t>(</w:t>
      </w:r>
      <w:r w:rsidR="00B52DF0">
        <w:t>young people</w:t>
      </w:r>
      <w:r w:rsidR="00B9592B">
        <w:t>)</w:t>
      </w:r>
      <w:r w:rsidR="00B52DF0">
        <w:t>, albeit starting from a higher point</w:t>
      </w:r>
      <w:r w:rsidR="00D51D34" w:rsidRPr="00C739A6">
        <w:t>. Figure 7 illustrates a 19 percent decrease in</w:t>
      </w:r>
      <w:r w:rsidR="004B107F" w:rsidRPr="00C739A6">
        <w:t xml:space="preserve"> the</w:t>
      </w:r>
      <w:r w:rsidR="00D51D34" w:rsidRPr="00C739A6">
        <w:t xml:space="preserve"> value of rates for first children </w:t>
      </w:r>
      <w:r w:rsidR="004B7197" w:rsidRPr="00C739A6">
        <w:t xml:space="preserve">aged </w:t>
      </w:r>
      <w:r w:rsidR="00D51D34" w:rsidRPr="00C739A6">
        <w:t>16-18 between 2008 and 2021, and a 27 percent decrease for subsequent children</w:t>
      </w:r>
      <w:r w:rsidR="004B7197" w:rsidRPr="00C739A6">
        <w:t xml:space="preserve"> aged</w:t>
      </w:r>
      <w:r w:rsidR="00D51D34" w:rsidRPr="00C739A6">
        <w:t xml:space="preserve"> 16-18.</w:t>
      </w:r>
      <w:r w:rsidR="002713AA">
        <w:rPr>
          <w:rStyle w:val="FootnoteReference"/>
        </w:rPr>
        <w:footnoteReference w:id="5"/>
      </w:r>
      <w:r w:rsidR="00696AC8">
        <w:t xml:space="preserve"> The</w:t>
      </w:r>
      <w:r w:rsidR="00696AC8" w:rsidRPr="00C739A6">
        <w:t xml:space="preserve"> Families Package </w:t>
      </w:r>
      <w:r w:rsidR="00696AC8">
        <w:t xml:space="preserve">had almost </w:t>
      </w:r>
      <w:r w:rsidR="003227BA">
        <w:t>no</w:t>
      </w:r>
      <w:r w:rsidR="00696AC8">
        <w:t xml:space="preserve"> </w:t>
      </w:r>
      <w:r w:rsidR="00696AC8" w:rsidRPr="00C739A6">
        <w:t xml:space="preserve">impact for </w:t>
      </w:r>
      <w:r w:rsidR="00696AC8">
        <w:t>young people</w:t>
      </w:r>
      <w:r w:rsidR="00696AC8" w:rsidRPr="00C739A6">
        <w:t>, with a 4 percent increase for first children aged 16-18</w:t>
      </w:r>
      <w:r w:rsidR="00696AC8">
        <w:t xml:space="preserve"> </w:t>
      </w:r>
      <w:r w:rsidR="00732C84">
        <w:t xml:space="preserve">in the year ending March 2019 </w:t>
      </w:r>
      <w:r w:rsidR="00696AC8">
        <w:t>that entirely eroded within two years</w:t>
      </w:r>
      <w:r w:rsidR="00696AC8" w:rsidRPr="00C739A6">
        <w:t xml:space="preserve">, and no increase </w:t>
      </w:r>
      <w:r w:rsidR="00696AC8">
        <w:t xml:space="preserve">at all </w:t>
      </w:r>
      <w:r w:rsidR="00696AC8" w:rsidRPr="00C739A6">
        <w:t>for subsequent children aged 16-18</w:t>
      </w:r>
      <w:r w:rsidR="00696AC8">
        <w:t xml:space="preserve">. </w:t>
      </w:r>
    </w:p>
    <w:p w14:paraId="22A0413C" w14:textId="0AA4C797" w:rsidR="00696AC8" w:rsidRDefault="00696AC8" w:rsidP="00696AC8">
      <w:r>
        <w:t xml:space="preserve">These substantial and ongoing erosions over many years without relief will have increased the already acute </w:t>
      </w:r>
      <w:r w:rsidRPr="000C4466">
        <w:t xml:space="preserve">financial stress for families with </w:t>
      </w:r>
      <w:r>
        <w:t>young people</w:t>
      </w:r>
      <w:r w:rsidR="00D153E9">
        <w:t>. For instance, young people</w:t>
      </w:r>
      <w:r>
        <w:t xml:space="preserve"> do not benefit from </w:t>
      </w:r>
      <w:r w:rsidRPr="000C4466">
        <w:t>free doctors’ visits</w:t>
      </w:r>
      <w:r w:rsidR="00DD6E27">
        <w:t xml:space="preserve"> like </w:t>
      </w:r>
      <w:r>
        <w:t>those aged 13 and under</w:t>
      </w:r>
      <w:r w:rsidR="00D153E9">
        <w:t xml:space="preserve">, and in </w:t>
      </w:r>
      <w:r>
        <w:t>T</w:t>
      </w:r>
      <w:proofErr w:type="spellStart"/>
      <w:r>
        <w:rPr>
          <w:lang w:val="en-US"/>
        </w:rPr>
        <w:t>āmaki</w:t>
      </w:r>
      <w:proofErr w:type="spellEnd"/>
      <w:r>
        <w:rPr>
          <w:lang w:val="en-US"/>
        </w:rPr>
        <w:t xml:space="preserve"> </w:t>
      </w:r>
      <w:r>
        <w:rPr>
          <w:lang w:val="en-US"/>
        </w:rPr>
        <w:lastRenderedPageBreak/>
        <w:t>Makaurau,</w:t>
      </w:r>
      <w:r>
        <w:t xml:space="preserve"> </w:t>
      </w:r>
      <w:r w:rsidR="00D153E9">
        <w:t>they</w:t>
      </w:r>
      <w:r>
        <w:t xml:space="preserve"> do not benefit from </w:t>
      </w:r>
      <w:r w:rsidRPr="000C4466">
        <w:t xml:space="preserve">free </w:t>
      </w:r>
      <w:r>
        <w:t xml:space="preserve">weekend </w:t>
      </w:r>
      <w:r w:rsidRPr="000C4466">
        <w:t xml:space="preserve">public transport and swimming pool visits </w:t>
      </w:r>
      <w:r>
        <w:t>like their younger peers</w:t>
      </w:r>
      <w:r w:rsidR="00D153E9">
        <w:t>. Further, older children</w:t>
      </w:r>
      <w:r>
        <w:t xml:space="preserve"> often require higher food and clothing budgets than younger children</w:t>
      </w:r>
      <w:r w:rsidRPr="000C4466">
        <w:t xml:space="preserve">. The assumption seems to be that </w:t>
      </w:r>
      <w:r>
        <w:t xml:space="preserve">young people in low-income families – who are still at school in their NCEA qualification years – </w:t>
      </w:r>
      <w:r w:rsidRPr="000C4466">
        <w:t xml:space="preserve">will start </w:t>
      </w:r>
      <w:r>
        <w:t xml:space="preserve">paid employment </w:t>
      </w:r>
      <w:proofErr w:type="gramStart"/>
      <w:r>
        <w:t>in order to</w:t>
      </w:r>
      <w:proofErr w:type="gramEnd"/>
      <w:r>
        <w:t xml:space="preserve"> make up for these likely shortfalls. But while government policy </w:t>
      </w:r>
      <w:r w:rsidR="00DD6E27">
        <w:t xml:space="preserve">neglects to address their needs, it also treats them </w:t>
      </w:r>
      <w:r>
        <w:t xml:space="preserve">as second-class employees who have a lower “starting out” minimum wage for at least 6 months. </w:t>
      </w:r>
    </w:p>
    <w:p w14:paraId="69896AF2" w14:textId="47940A6D" w:rsidR="00DC082D" w:rsidRPr="00B52DF0" w:rsidRDefault="00DC082D" w:rsidP="2310FC1E">
      <w:pPr>
        <w:pStyle w:val="Caption"/>
        <w:keepNext/>
        <w:rPr>
          <w:sz w:val="22"/>
          <w:szCs w:val="22"/>
        </w:rPr>
      </w:pPr>
      <w:bookmarkStart w:id="25" w:name="_Toc69738148"/>
      <w:bookmarkStart w:id="26" w:name="_Hlk70005198"/>
      <w:r w:rsidRPr="2310FC1E">
        <w:rPr>
          <w:sz w:val="22"/>
          <w:szCs w:val="22"/>
        </w:rPr>
        <w:t xml:space="preserve">Figure </w:t>
      </w:r>
      <w:r w:rsidRPr="2310FC1E">
        <w:rPr>
          <w:sz w:val="22"/>
          <w:szCs w:val="22"/>
        </w:rPr>
        <w:fldChar w:fldCharType="begin"/>
      </w:r>
      <w:r w:rsidRPr="2310FC1E">
        <w:rPr>
          <w:sz w:val="22"/>
          <w:szCs w:val="22"/>
        </w:rPr>
        <w:instrText xml:space="preserve"> SEQ Figure \* ARABIC </w:instrText>
      </w:r>
      <w:r w:rsidRPr="2310FC1E">
        <w:rPr>
          <w:sz w:val="22"/>
          <w:szCs w:val="22"/>
        </w:rPr>
        <w:fldChar w:fldCharType="separate"/>
      </w:r>
      <w:r w:rsidR="00D47803">
        <w:rPr>
          <w:noProof/>
          <w:sz w:val="22"/>
          <w:szCs w:val="22"/>
        </w:rPr>
        <w:t>7</w:t>
      </w:r>
      <w:r w:rsidRPr="2310FC1E">
        <w:rPr>
          <w:sz w:val="22"/>
          <w:szCs w:val="22"/>
        </w:rPr>
        <w:fldChar w:fldCharType="end"/>
      </w:r>
      <w:r w:rsidRPr="2310FC1E">
        <w:rPr>
          <w:sz w:val="22"/>
          <w:szCs w:val="22"/>
        </w:rPr>
        <w:t xml:space="preserve">: </w:t>
      </w:r>
      <w:r w:rsidR="512690F8" w:rsidRPr="2310FC1E">
        <w:rPr>
          <w:sz w:val="22"/>
          <w:szCs w:val="22"/>
        </w:rPr>
        <w:t>W</w:t>
      </w:r>
      <w:r w:rsidR="004D57AC" w:rsidRPr="2310FC1E">
        <w:rPr>
          <w:sz w:val="22"/>
          <w:szCs w:val="22"/>
        </w:rPr>
        <w:t xml:space="preserve">eekly </w:t>
      </w:r>
      <w:r w:rsidR="0897832F" w:rsidRPr="2310FC1E">
        <w:rPr>
          <w:sz w:val="22"/>
          <w:szCs w:val="22"/>
        </w:rPr>
        <w:t xml:space="preserve">maximum </w:t>
      </w:r>
      <w:r w:rsidR="00150E40" w:rsidRPr="2310FC1E">
        <w:rPr>
          <w:sz w:val="22"/>
          <w:szCs w:val="22"/>
        </w:rPr>
        <w:t>FTC</w:t>
      </w:r>
      <w:r w:rsidRPr="2310FC1E">
        <w:rPr>
          <w:sz w:val="22"/>
          <w:szCs w:val="22"/>
        </w:rPr>
        <w:t xml:space="preserve"> rates for </w:t>
      </w:r>
      <w:r w:rsidR="00B52DF0" w:rsidRPr="2310FC1E">
        <w:rPr>
          <w:sz w:val="22"/>
          <w:szCs w:val="22"/>
        </w:rPr>
        <w:t>young peo</w:t>
      </w:r>
      <w:r w:rsidR="00AE53A3" w:rsidRPr="2310FC1E">
        <w:rPr>
          <w:sz w:val="22"/>
          <w:szCs w:val="22"/>
        </w:rPr>
        <w:t>p</w:t>
      </w:r>
      <w:r w:rsidR="00B52DF0" w:rsidRPr="2310FC1E">
        <w:rPr>
          <w:sz w:val="22"/>
          <w:szCs w:val="22"/>
        </w:rPr>
        <w:t xml:space="preserve">le </w:t>
      </w:r>
      <w:r w:rsidRPr="2310FC1E">
        <w:rPr>
          <w:sz w:val="22"/>
          <w:szCs w:val="22"/>
        </w:rPr>
        <w:t>16-18</w:t>
      </w:r>
      <w:r w:rsidR="785C6FB8" w:rsidRPr="2310FC1E">
        <w:rPr>
          <w:sz w:val="22"/>
          <w:szCs w:val="22"/>
        </w:rPr>
        <w:t xml:space="preserve"> (annual average)</w:t>
      </w:r>
      <w:r w:rsidRPr="2310FC1E">
        <w:rPr>
          <w:sz w:val="22"/>
          <w:szCs w:val="22"/>
        </w:rPr>
        <w:t>, indexed to wages 2008-2021 (Q3 2020 dollars)</w:t>
      </w:r>
      <w:bookmarkEnd w:id="25"/>
    </w:p>
    <w:p w14:paraId="0C53A2A0" w14:textId="0699DAB5" w:rsidR="005E70F2" w:rsidRPr="00C739A6" w:rsidRDefault="007077F9" w:rsidP="00950DFC">
      <w:pPr>
        <w:rPr>
          <w:highlight w:val="yellow"/>
        </w:rPr>
      </w:pPr>
      <w:r>
        <w:rPr>
          <w:noProof/>
          <w:lang w:eastAsia="en-NZ"/>
        </w:rPr>
        <w:drawing>
          <wp:inline distT="0" distB="0" distL="0" distR="0" wp14:anchorId="07C2FEEA" wp14:editId="7C3F613E">
            <wp:extent cx="6057900" cy="34004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8A78963" w14:textId="77777777" w:rsidR="00A96A60" w:rsidRPr="00C739A6" w:rsidRDefault="00A96A60" w:rsidP="00A96A60">
      <w:pPr>
        <w:pStyle w:val="Heading2"/>
      </w:pPr>
      <w:bookmarkStart w:id="27" w:name="_Toc66785670"/>
      <w:bookmarkEnd w:id="26"/>
      <w:r w:rsidRPr="00C739A6">
        <w:t>In-Work Tax Credit</w:t>
      </w:r>
      <w:bookmarkEnd w:id="27"/>
    </w:p>
    <w:p w14:paraId="7AE82132" w14:textId="608E2F13" w:rsidR="004D1DB8" w:rsidRPr="00C739A6" w:rsidRDefault="004D1DB8" w:rsidP="004D1DB8">
      <w:pPr>
        <w:pStyle w:val="Heading3"/>
      </w:pPr>
      <w:bookmarkStart w:id="28" w:name="_Toc66785671"/>
      <w:r w:rsidRPr="00C739A6">
        <w:t>Nominal value</w:t>
      </w:r>
      <w:r w:rsidR="007F16EB" w:rsidRPr="00C739A6">
        <w:t>s</w:t>
      </w:r>
      <w:bookmarkEnd w:id="28"/>
    </w:p>
    <w:p w14:paraId="02FA2A1E" w14:textId="5AAEC1DA" w:rsidR="00254AB7" w:rsidRPr="00C739A6" w:rsidRDefault="00864520" w:rsidP="00073A62">
      <w:r w:rsidRPr="00C739A6">
        <w:t xml:space="preserve">The </w:t>
      </w:r>
      <w:r w:rsidR="00FA19EE" w:rsidRPr="00C739A6">
        <w:t>IWTC</w:t>
      </w:r>
      <w:r w:rsidRPr="00C739A6">
        <w:t xml:space="preserve"> was </w:t>
      </w:r>
      <w:r w:rsidR="00E40D00" w:rsidRPr="00C739A6">
        <w:t xml:space="preserve">first introduced in 2006 (initially named the ‘in work payment’), at $60 </w:t>
      </w:r>
      <w:r w:rsidR="001C266F" w:rsidRPr="00C739A6">
        <w:t>for a family’s</w:t>
      </w:r>
      <w:r w:rsidR="00E40D00" w:rsidRPr="00C739A6">
        <w:t xml:space="preserve"> first three children, and $15 for </w:t>
      </w:r>
      <w:r w:rsidR="00CC6E4C" w:rsidRPr="00C739A6">
        <w:t xml:space="preserve">any </w:t>
      </w:r>
      <w:r w:rsidR="00E40D00" w:rsidRPr="00C739A6">
        <w:t xml:space="preserve">subsequent children. </w:t>
      </w:r>
      <w:r w:rsidR="00CC6E4C" w:rsidRPr="00C739A6">
        <w:t xml:space="preserve">This rate remained stagnant until 2017, when the </w:t>
      </w:r>
      <w:r w:rsidR="00173817" w:rsidRPr="00C739A6">
        <w:t xml:space="preserve">base </w:t>
      </w:r>
      <w:r w:rsidR="00CC6E4C" w:rsidRPr="00C739A6">
        <w:t xml:space="preserve">rate (1-3 children) was increased by $12.50 per week (see Table </w:t>
      </w:r>
      <w:r w:rsidR="007D4320">
        <w:t>8</w:t>
      </w:r>
      <w:r w:rsidR="00AE53A3">
        <w:t>, Appendix A</w:t>
      </w:r>
      <w:r w:rsidR="00CC6E4C" w:rsidRPr="00C739A6">
        <w:t xml:space="preserve">). The rate </w:t>
      </w:r>
      <w:r w:rsidR="00173817" w:rsidRPr="00C739A6">
        <w:t xml:space="preserve">for subsequent children </w:t>
      </w:r>
      <w:r w:rsidR="00CC6E4C" w:rsidRPr="00C739A6">
        <w:t>was not increased. These</w:t>
      </w:r>
      <w:r w:rsidR="00B9185F" w:rsidRPr="00C739A6">
        <w:t xml:space="preserve"> respective</w:t>
      </w:r>
      <w:r w:rsidR="00CC6E4C" w:rsidRPr="00C739A6">
        <w:t xml:space="preserve"> rates </w:t>
      </w:r>
      <w:r w:rsidR="00DC4A52" w:rsidRPr="00C739A6">
        <w:t xml:space="preserve">of $72.50 and $15 </w:t>
      </w:r>
      <w:r w:rsidR="00CC6E4C" w:rsidRPr="00C739A6">
        <w:t>have remained in place until present.</w:t>
      </w:r>
    </w:p>
    <w:p w14:paraId="72C916A7" w14:textId="1F0ECB25" w:rsidR="004D1DB8" w:rsidRPr="00C739A6" w:rsidRDefault="004D1DB8" w:rsidP="004D1DB8">
      <w:pPr>
        <w:pStyle w:val="Heading3"/>
      </w:pPr>
      <w:bookmarkStart w:id="29" w:name="_Toc66785672"/>
      <w:r w:rsidRPr="00C739A6">
        <w:t>Wage-adjusted value</w:t>
      </w:r>
      <w:r w:rsidR="007F16EB" w:rsidRPr="00C739A6">
        <w:t>s</w:t>
      </w:r>
      <w:bookmarkEnd w:id="29"/>
    </w:p>
    <w:p w14:paraId="59A6075B" w14:textId="70585AA8" w:rsidR="002248F3" w:rsidRPr="00C739A6" w:rsidRDefault="00585839" w:rsidP="00073A62">
      <w:r w:rsidRPr="00C739A6">
        <w:t>W</w:t>
      </w:r>
      <w:r w:rsidR="00073A62" w:rsidRPr="00C739A6">
        <w:t xml:space="preserve">hen wage-adjusted, the </w:t>
      </w:r>
      <w:r w:rsidR="00FA19EE" w:rsidRPr="00C739A6">
        <w:t>IWTC</w:t>
      </w:r>
      <w:r w:rsidR="002248F3" w:rsidRPr="00C739A6">
        <w:t xml:space="preserve"> </w:t>
      </w:r>
      <w:r w:rsidR="00A63B24" w:rsidRPr="00C739A6">
        <w:t>declines in</w:t>
      </w:r>
      <w:r w:rsidR="002248F3" w:rsidRPr="00C739A6">
        <w:t xml:space="preserve"> value over time</w:t>
      </w:r>
      <w:r w:rsidR="00531443" w:rsidRPr="00C739A6">
        <w:t xml:space="preserve">. </w:t>
      </w:r>
      <w:r w:rsidR="00254AB7" w:rsidRPr="00C739A6">
        <w:t xml:space="preserve">The </w:t>
      </w:r>
      <w:r w:rsidR="00173817" w:rsidRPr="00C739A6">
        <w:t xml:space="preserve">base </w:t>
      </w:r>
      <w:r w:rsidR="00254AB7" w:rsidRPr="00C739A6">
        <w:t>rate decline</w:t>
      </w:r>
      <w:r w:rsidR="001013AD" w:rsidRPr="00C739A6">
        <w:t>s</w:t>
      </w:r>
      <w:r w:rsidR="00254AB7" w:rsidRPr="00C739A6">
        <w:t xml:space="preserve"> by 17 percent between 2008 and 2021, while the </w:t>
      </w:r>
      <w:r w:rsidR="00B44BE9" w:rsidRPr="00C739A6">
        <w:t>rate for subsequent children</w:t>
      </w:r>
      <w:r w:rsidR="00254AB7" w:rsidRPr="00C739A6">
        <w:t xml:space="preserve"> </w:t>
      </w:r>
      <w:r w:rsidR="001013AD" w:rsidRPr="00C739A6">
        <w:t xml:space="preserve">declines </w:t>
      </w:r>
      <w:r w:rsidR="00B839D8" w:rsidRPr="00C739A6">
        <w:t xml:space="preserve">by 32 percent (see </w:t>
      </w:r>
      <w:r w:rsidR="001013AD" w:rsidRPr="00C739A6">
        <w:t>Figure 8</w:t>
      </w:r>
      <w:r w:rsidR="00531443" w:rsidRPr="00C739A6">
        <w:t xml:space="preserve">; Table </w:t>
      </w:r>
      <w:r w:rsidR="007D4320">
        <w:t>9</w:t>
      </w:r>
      <w:r w:rsidR="00254AB7" w:rsidRPr="00C739A6">
        <w:t xml:space="preserve">). </w:t>
      </w:r>
      <w:r w:rsidR="002248F3" w:rsidRPr="00C739A6">
        <w:t xml:space="preserve">While the April 2016 increase to the </w:t>
      </w:r>
      <w:r w:rsidR="00173817" w:rsidRPr="00C739A6">
        <w:t xml:space="preserve">base </w:t>
      </w:r>
      <w:r w:rsidR="002248F3" w:rsidRPr="00C739A6">
        <w:t xml:space="preserve">rate </w:t>
      </w:r>
      <w:r w:rsidR="001013AD" w:rsidRPr="00C739A6">
        <w:t xml:space="preserve">recovers </w:t>
      </w:r>
      <w:r w:rsidR="002248F3" w:rsidRPr="00C739A6">
        <w:t>some of the erosion, without indexation</w:t>
      </w:r>
      <w:r w:rsidR="000E320C" w:rsidRPr="00C739A6">
        <w:t>,</w:t>
      </w:r>
      <w:r w:rsidR="002248F3" w:rsidRPr="00C739A6">
        <w:t xml:space="preserve"> its value </w:t>
      </w:r>
      <w:r w:rsidR="000E320C" w:rsidRPr="00C739A6">
        <w:t>again decline</w:t>
      </w:r>
      <w:r w:rsidR="001013AD" w:rsidRPr="00C739A6">
        <w:t>s following this 2016 increase.</w:t>
      </w:r>
      <w:r w:rsidR="000E320C" w:rsidRPr="00C739A6">
        <w:t xml:space="preserve"> </w:t>
      </w:r>
    </w:p>
    <w:p w14:paraId="5CD1BAEF" w14:textId="20A79AF3" w:rsidR="00C312CE" w:rsidRPr="00AE53A3" w:rsidRDefault="00C312CE" w:rsidP="2310FC1E">
      <w:pPr>
        <w:pStyle w:val="Caption"/>
        <w:keepNext/>
        <w:rPr>
          <w:sz w:val="22"/>
          <w:szCs w:val="22"/>
        </w:rPr>
      </w:pPr>
      <w:bookmarkStart w:id="30" w:name="_Toc69738149"/>
      <w:r w:rsidRPr="2310FC1E">
        <w:rPr>
          <w:sz w:val="22"/>
          <w:szCs w:val="22"/>
        </w:rPr>
        <w:lastRenderedPageBreak/>
        <w:t xml:space="preserve">Figure </w:t>
      </w:r>
      <w:r w:rsidRPr="2310FC1E">
        <w:rPr>
          <w:sz w:val="22"/>
          <w:szCs w:val="22"/>
        </w:rPr>
        <w:fldChar w:fldCharType="begin"/>
      </w:r>
      <w:r w:rsidRPr="2310FC1E">
        <w:rPr>
          <w:sz w:val="22"/>
          <w:szCs w:val="22"/>
        </w:rPr>
        <w:instrText xml:space="preserve"> SEQ Figure \* ARABIC </w:instrText>
      </w:r>
      <w:r w:rsidRPr="2310FC1E">
        <w:rPr>
          <w:sz w:val="22"/>
          <w:szCs w:val="22"/>
        </w:rPr>
        <w:fldChar w:fldCharType="separate"/>
      </w:r>
      <w:r w:rsidR="00D47803">
        <w:rPr>
          <w:noProof/>
          <w:sz w:val="22"/>
          <w:szCs w:val="22"/>
        </w:rPr>
        <w:t>8</w:t>
      </w:r>
      <w:r w:rsidRPr="2310FC1E">
        <w:rPr>
          <w:sz w:val="22"/>
          <w:szCs w:val="22"/>
        </w:rPr>
        <w:fldChar w:fldCharType="end"/>
      </w:r>
      <w:r w:rsidRPr="2310FC1E">
        <w:rPr>
          <w:sz w:val="22"/>
          <w:szCs w:val="22"/>
        </w:rPr>
        <w:t xml:space="preserve">: </w:t>
      </w:r>
      <w:r w:rsidR="64F79A72" w:rsidRPr="2310FC1E">
        <w:rPr>
          <w:sz w:val="22"/>
          <w:szCs w:val="22"/>
        </w:rPr>
        <w:t>W</w:t>
      </w:r>
      <w:r w:rsidR="004D57AC" w:rsidRPr="2310FC1E">
        <w:rPr>
          <w:sz w:val="22"/>
          <w:szCs w:val="22"/>
        </w:rPr>
        <w:t xml:space="preserve">eekly </w:t>
      </w:r>
      <w:r w:rsidR="00FA19EE" w:rsidRPr="2310FC1E">
        <w:rPr>
          <w:sz w:val="22"/>
          <w:szCs w:val="22"/>
        </w:rPr>
        <w:t>IWTC</w:t>
      </w:r>
      <w:r w:rsidRPr="2310FC1E">
        <w:rPr>
          <w:sz w:val="22"/>
          <w:szCs w:val="22"/>
        </w:rPr>
        <w:t xml:space="preserve"> maximum rates </w:t>
      </w:r>
      <w:r w:rsidR="5DCF325C" w:rsidRPr="2310FC1E">
        <w:rPr>
          <w:sz w:val="22"/>
          <w:szCs w:val="22"/>
        </w:rPr>
        <w:t xml:space="preserve">(annual average) </w:t>
      </w:r>
      <w:r w:rsidRPr="2310FC1E">
        <w:rPr>
          <w:sz w:val="22"/>
          <w:szCs w:val="22"/>
        </w:rPr>
        <w:t>indexed to wages 2008-2021 (in Q3 2020 dollars)</w:t>
      </w:r>
      <w:bookmarkEnd w:id="30"/>
    </w:p>
    <w:p w14:paraId="49EE7812" w14:textId="4560B371" w:rsidR="005E70F2" w:rsidRPr="00C739A6" w:rsidRDefault="00450A4D" w:rsidP="00073A62">
      <w:r w:rsidRPr="00C739A6">
        <w:rPr>
          <w:noProof/>
          <w:lang w:eastAsia="en-NZ"/>
        </w:rPr>
        <w:drawing>
          <wp:inline distT="0" distB="0" distL="0" distR="0" wp14:anchorId="6CE0D2A0" wp14:editId="7DA89F6D">
            <wp:extent cx="5731510" cy="3068955"/>
            <wp:effectExtent l="0" t="0" r="2540" b="1714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242709E" w14:textId="6D274B14" w:rsidR="00150AED" w:rsidRPr="00C739A6" w:rsidRDefault="00333AD3" w:rsidP="00333AD3">
      <w:pPr>
        <w:pStyle w:val="Heading1"/>
      </w:pPr>
      <w:bookmarkStart w:id="31" w:name="_Toc66785673"/>
      <w:r w:rsidRPr="00C739A6">
        <w:t>Modelling</w:t>
      </w:r>
      <w:bookmarkEnd w:id="31"/>
    </w:p>
    <w:p w14:paraId="35FEB33B" w14:textId="6323A508" w:rsidR="002E2221" w:rsidRPr="00C739A6" w:rsidRDefault="007C01FE" w:rsidP="00013207">
      <w:r w:rsidRPr="00C739A6">
        <w:t>In this section, we model</w:t>
      </w:r>
      <w:r w:rsidR="00A07508" w:rsidRPr="00C739A6">
        <w:t xml:space="preserve"> changes in </w:t>
      </w:r>
      <w:r w:rsidR="009B2A5E" w:rsidRPr="00C739A6">
        <w:t xml:space="preserve">WFF </w:t>
      </w:r>
      <w:r w:rsidR="00A07508" w:rsidRPr="00C739A6">
        <w:t>rate</w:t>
      </w:r>
      <w:r w:rsidRPr="00C739A6">
        <w:t>s as they affect six representative</w:t>
      </w:r>
      <w:r w:rsidR="009B2A5E" w:rsidRPr="00C739A6">
        <w:t xml:space="preserve"> families.</w:t>
      </w:r>
      <w:r w:rsidR="002E2221" w:rsidRPr="00C739A6">
        <w:rPr>
          <w:rStyle w:val="FootnoteReference"/>
        </w:rPr>
        <w:footnoteReference w:id="6"/>
      </w:r>
      <w:r w:rsidR="009B2A5E" w:rsidRPr="00C739A6">
        <w:t xml:space="preserve"> </w:t>
      </w:r>
      <w:r w:rsidR="006125C9" w:rsidRPr="00C739A6">
        <w:t xml:space="preserve">We index rates over time to movement in wages, highlighting how without proper indexation, the value of payments </w:t>
      </w:r>
      <w:proofErr w:type="gramStart"/>
      <w:r w:rsidR="006125C9" w:rsidRPr="00C739A6">
        <w:t>erode</w:t>
      </w:r>
      <w:proofErr w:type="gramEnd"/>
      <w:r w:rsidR="006125C9" w:rsidRPr="00C739A6">
        <w:t xml:space="preserve"> over time. </w:t>
      </w:r>
      <w:r w:rsidR="00E1416C" w:rsidRPr="00C739A6">
        <w:t>Our representative</w:t>
      </w:r>
      <w:r w:rsidR="009B2A5E" w:rsidRPr="00C739A6">
        <w:t xml:space="preserve"> families vary in number of children, and whether they are on- or off-benefit</w:t>
      </w:r>
      <w:r w:rsidR="00B839D8" w:rsidRPr="00C739A6">
        <w:t xml:space="preserve"> (see Table </w:t>
      </w:r>
      <w:r w:rsidR="005C56DF">
        <w:t>2</w:t>
      </w:r>
      <w:r w:rsidR="00664EC0" w:rsidRPr="00C739A6">
        <w:t xml:space="preserve"> for details). </w:t>
      </w:r>
      <w:r w:rsidR="00E1416C" w:rsidRPr="00C739A6">
        <w:t xml:space="preserve"> </w:t>
      </w:r>
    </w:p>
    <w:p w14:paraId="22BCE241" w14:textId="0A00BC56" w:rsidR="00E143F9" w:rsidRPr="00C739A6" w:rsidRDefault="00E143F9" w:rsidP="00E143F9">
      <w:pPr>
        <w:pStyle w:val="Caption"/>
        <w:keepNext/>
        <w:rPr>
          <w:sz w:val="22"/>
        </w:rPr>
      </w:pPr>
      <w:bookmarkStart w:id="32" w:name="_Toc70079149"/>
      <w:r w:rsidRPr="00C739A6">
        <w:rPr>
          <w:sz w:val="22"/>
        </w:rPr>
        <w:t xml:space="preserve">Table </w:t>
      </w:r>
      <w:r w:rsidRPr="00C739A6">
        <w:rPr>
          <w:sz w:val="22"/>
        </w:rPr>
        <w:fldChar w:fldCharType="begin"/>
      </w:r>
      <w:r w:rsidRPr="00C739A6">
        <w:rPr>
          <w:sz w:val="22"/>
        </w:rPr>
        <w:instrText xml:space="preserve"> SEQ Table \* ARABIC </w:instrText>
      </w:r>
      <w:r w:rsidRPr="00C739A6">
        <w:rPr>
          <w:sz w:val="22"/>
        </w:rPr>
        <w:fldChar w:fldCharType="separate"/>
      </w:r>
      <w:r w:rsidR="00D47803">
        <w:rPr>
          <w:noProof/>
          <w:sz w:val="22"/>
        </w:rPr>
        <w:t>2</w:t>
      </w:r>
      <w:r w:rsidRPr="00C739A6">
        <w:rPr>
          <w:sz w:val="22"/>
        </w:rPr>
        <w:fldChar w:fldCharType="end"/>
      </w:r>
      <w:r w:rsidRPr="00C739A6">
        <w:rPr>
          <w:sz w:val="22"/>
        </w:rPr>
        <w:t xml:space="preserve">: Details of </w:t>
      </w:r>
      <w:r w:rsidR="00664EC0" w:rsidRPr="00C739A6">
        <w:rPr>
          <w:sz w:val="22"/>
        </w:rPr>
        <w:t xml:space="preserve">representative </w:t>
      </w:r>
      <w:r w:rsidRPr="00C739A6">
        <w:rPr>
          <w:sz w:val="22"/>
        </w:rPr>
        <w:t>families</w:t>
      </w:r>
      <w:r w:rsidR="008556B0" w:rsidRPr="00C739A6">
        <w:rPr>
          <w:sz w:val="22"/>
        </w:rPr>
        <w:t xml:space="preserve"> used for modelling purposes</w:t>
      </w:r>
      <w:bookmarkEnd w:id="32"/>
    </w:p>
    <w:tbl>
      <w:tblPr>
        <w:tblStyle w:val="TableGrid"/>
        <w:tblW w:w="0" w:type="auto"/>
        <w:tblLook w:val="04A0" w:firstRow="1" w:lastRow="0" w:firstColumn="1" w:lastColumn="0" w:noHBand="0" w:noVBand="1"/>
      </w:tblPr>
      <w:tblGrid>
        <w:gridCol w:w="3007"/>
        <w:gridCol w:w="3018"/>
        <w:gridCol w:w="2991"/>
      </w:tblGrid>
      <w:tr w:rsidR="00013207" w:rsidRPr="00C739A6" w14:paraId="5D803E80" w14:textId="77777777" w:rsidTr="00AA5F5A">
        <w:tc>
          <w:tcPr>
            <w:tcW w:w="3007" w:type="dxa"/>
          </w:tcPr>
          <w:p w14:paraId="2C3F86E1" w14:textId="0FDF373B" w:rsidR="00013207" w:rsidRPr="00C739A6" w:rsidRDefault="00013207" w:rsidP="00013207">
            <w:pPr>
              <w:rPr>
                <w:b/>
              </w:rPr>
            </w:pPr>
            <w:r w:rsidRPr="00C739A6">
              <w:rPr>
                <w:b/>
              </w:rPr>
              <w:t>Family number</w:t>
            </w:r>
          </w:p>
        </w:tc>
        <w:tc>
          <w:tcPr>
            <w:tcW w:w="3018" w:type="dxa"/>
          </w:tcPr>
          <w:p w14:paraId="1C262282" w14:textId="6EF491F8" w:rsidR="00013207" w:rsidRPr="00C739A6" w:rsidRDefault="00013207" w:rsidP="00D31E4C">
            <w:pPr>
              <w:rPr>
                <w:b/>
              </w:rPr>
            </w:pPr>
            <w:r w:rsidRPr="00C739A6">
              <w:rPr>
                <w:b/>
              </w:rPr>
              <w:t>Number of children</w:t>
            </w:r>
          </w:p>
        </w:tc>
        <w:tc>
          <w:tcPr>
            <w:tcW w:w="2991" w:type="dxa"/>
          </w:tcPr>
          <w:p w14:paraId="7E06949D" w14:textId="49CBA577" w:rsidR="00013207" w:rsidRPr="00C739A6" w:rsidRDefault="00013207" w:rsidP="00D31E4C">
            <w:pPr>
              <w:rPr>
                <w:b/>
              </w:rPr>
            </w:pPr>
            <w:r w:rsidRPr="00C739A6">
              <w:rPr>
                <w:b/>
              </w:rPr>
              <w:t>On/off-benefit</w:t>
            </w:r>
          </w:p>
        </w:tc>
      </w:tr>
      <w:tr w:rsidR="00AA5F5A" w:rsidRPr="00C739A6" w14:paraId="72F0EC7B" w14:textId="77777777" w:rsidTr="00AA5F5A">
        <w:tc>
          <w:tcPr>
            <w:tcW w:w="3007" w:type="dxa"/>
            <w:shd w:val="clear" w:color="auto" w:fill="DEEAF6" w:themeFill="accent1" w:themeFillTint="33"/>
          </w:tcPr>
          <w:p w14:paraId="6D00741D" w14:textId="235DEFE9" w:rsidR="00AA5F5A" w:rsidRPr="00C739A6" w:rsidRDefault="00AA5F5A" w:rsidP="00013207">
            <w:r w:rsidRPr="00C739A6">
              <w:t>Family One</w:t>
            </w:r>
          </w:p>
        </w:tc>
        <w:tc>
          <w:tcPr>
            <w:tcW w:w="3018" w:type="dxa"/>
            <w:vMerge w:val="restart"/>
            <w:vAlign w:val="center"/>
          </w:tcPr>
          <w:p w14:paraId="4573667C" w14:textId="0B4CC399" w:rsidR="00AA5F5A" w:rsidRPr="00C739A6" w:rsidRDefault="00AA5F5A" w:rsidP="00AA5F5A">
            <w:pPr>
              <w:jc w:val="center"/>
            </w:pPr>
            <w:r w:rsidRPr="00C739A6">
              <w:t>One child between 3 and 12 years old</w:t>
            </w:r>
          </w:p>
        </w:tc>
        <w:tc>
          <w:tcPr>
            <w:tcW w:w="2991" w:type="dxa"/>
            <w:shd w:val="clear" w:color="auto" w:fill="DEEAF6" w:themeFill="accent1" w:themeFillTint="33"/>
          </w:tcPr>
          <w:p w14:paraId="772F76E3" w14:textId="640A257B" w:rsidR="00AA5F5A" w:rsidRPr="00C739A6" w:rsidRDefault="00AA5F5A" w:rsidP="00013207">
            <w:r w:rsidRPr="00C739A6">
              <w:t>Off-benefit</w:t>
            </w:r>
          </w:p>
        </w:tc>
      </w:tr>
      <w:tr w:rsidR="00AA5F5A" w:rsidRPr="00C739A6" w14:paraId="6E3D68EF" w14:textId="77777777" w:rsidTr="00AA5F5A">
        <w:tc>
          <w:tcPr>
            <w:tcW w:w="3007" w:type="dxa"/>
          </w:tcPr>
          <w:p w14:paraId="1FAD1B01" w14:textId="70544B63" w:rsidR="00AA5F5A" w:rsidRPr="00C739A6" w:rsidRDefault="00AA5F5A" w:rsidP="00D31E4C">
            <w:r w:rsidRPr="00C739A6">
              <w:t>Family Two</w:t>
            </w:r>
          </w:p>
        </w:tc>
        <w:tc>
          <w:tcPr>
            <w:tcW w:w="3018" w:type="dxa"/>
            <w:vMerge/>
          </w:tcPr>
          <w:p w14:paraId="4EF1B3A1" w14:textId="15B06FC5" w:rsidR="00AA5F5A" w:rsidRPr="00C739A6" w:rsidRDefault="00AA5F5A" w:rsidP="00D31E4C"/>
        </w:tc>
        <w:tc>
          <w:tcPr>
            <w:tcW w:w="2991" w:type="dxa"/>
          </w:tcPr>
          <w:p w14:paraId="2984FF28" w14:textId="0153E8AF" w:rsidR="00AA5F5A" w:rsidRPr="00C739A6" w:rsidRDefault="00AA5F5A" w:rsidP="00013207">
            <w:r w:rsidRPr="00C739A6">
              <w:t>On-benefit</w:t>
            </w:r>
          </w:p>
        </w:tc>
      </w:tr>
      <w:tr w:rsidR="00AA5F5A" w:rsidRPr="00C739A6" w14:paraId="01FA4B7D" w14:textId="77777777" w:rsidTr="00AA5F5A">
        <w:tc>
          <w:tcPr>
            <w:tcW w:w="3007" w:type="dxa"/>
            <w:shd w:val="clear" w:color="auto" w:fill="DEEAF6" w:themeFill="accent1" w:themeFillTint="33"/>
          </w:tcPr>
          <w:p w14:paraId="44EF9CFF" w14:textId="6C139FCC" w:rsidR="00AA5F5A" w:rsidRPr="00C739A6" w:rsidRDefault="00AA5F5A" w:rsidP="00D31E4C">
            <w:r w:rsidRPr="00C739A6">
              <w:t>Family Three</w:t>
            </w:r>
          </w:p>
        </w:tc>
        <w:tc>
          <w:tcPr>
            <w:tcW w:w="3018" w:type="dxa"/>
            <w:vMerge w:val="restart"/>
            <w:vAlign w:val="center"/>
          </w:tcPr>
          <w:p w14:paraId="3766CC5D" w14:textId="1AF8804D" w:rsidR="00AA5F5A" w:rsidRPr="00C739A6" w:rsidRDefault="00AA5F5A" w:rsidP="00AA5F5A">
            <w:pPr>
              <w:jc w:val="center"/>
            </w:pPr>
            <w:r w:rsidRPr="00C739A6">
              <w:t>Three children between 3 and 12 years old</w:t>
            </w:r>
          </w:p>
        </w:tc>
        <w:tc>
          <w:tcPr>
            <w:tcW w:w="2991" w:type="dxa"/>
            <w:shd w:val="clear" w:color="auto" w:fill="DEEAF6" w:themeFill="accent1" w:themeFillTint="33"/>
          </w:tcPr>
          <w:p w14:paraId="7DBACA92" w14:textId="57A97C23" w:rsidR="00AA5F5A" w:rsidRPr="00C739A6" w:rsidRDefault="00AA5F5A" w:rsidP="00D31E4C">
            <w:r w:rsidRPr="00C739A6">
              <w:t>Off-benefit</w:t>
            </w:r>
          </w:p>
        </w:tc>
      </w:tr>
      <w:tr w:rsidR="00AA5F5A" w:rsidRPr="00C739A6" w14:paraId="25515947" w14:textId="77777777" w:rsidTr="00AA5F5A">
        <w:tc>
          <w:tcPr>
            <w:tcW w:w="3007" w:type="dxa"/>
          </w:tcPr>
          <w:p w14:paraId="7A2EA50B" w14:textId="17648EAE" w:rsidR="00AA5F5A" w:rsidRPr="00C739A6" w:rsidRDefault="00AA5F5A" w:rsidP="00D31E4C">
            <w:r w:rsidRPr="00C739A6">
              <w:t>Family Four</w:t>
            </w:r>
          </w:p>
        </w:tc>
        <w:tc>
          <w:tcPr>
            <w:tcW w:w="3018" w:type="dxa"/>
            <w:vMerge/>
          </w:tcPr>
          <w:p w14:paraId="6A7E7E66" w14:textId="74C7D6C6" w:rsidR="00AA5F5A" w:rsidRPr="00C739A6" w:rsidRDefault="00AA5F5A" w:rsidP="00D31E4C"/>
        </w:tc>
        <w:tc>
          <w:tcPr>
            <w:tcW w:w="2991" w:type="dxa"/>
          </w:tcPr>
          <w:p w14:paraId="11C3F316" w14:textId="55DA5643" w:rsidR="00AA5F5A" w:rsidRPr="00C739A6" w:rsidRDefault="00AA5F5A" w:rsidP="00D31E4C">
            <w:r w:rsidRPr="00C739A6">
              <w:t>On-benefit</w:t>
            </w:r>
          </w:p>
        </w:tc>
      </w:tr>
      <w:tr w:rsidR="00AA5F5A" w:rsidRPr="00C739A6" w14:paraId="15BC484A" w14:textId="77777777" w:rsidTr="00AA5F5A">
        <w:tc>
          <w:tcPr>
            <w:tcW w:w="3007" w:type="dxa"/>
            <w:shd w:val="clear" w:color="auto" w:fill="DEEAF6" w:themeFill="accent1" w:themeFillTint="33"/>
          </w:tcPr>
          <w:p w14:paraId="3CDABACE" w14:textId="40386563" w:rsidR="00AA5F5A" w:rsidRPr="00C739A6" w:rsidRDefault="00AA5F5A" w:rsidP="00D31E4C">
            <w:r w:rsidRPr="00C739A6">
              <w:t>Family Five</w:t>
            </w:r>
          </w:p>
        </w:tc>
        <w:tc>
          <w:tcPr>
            <w:tcW w:w="3018" w:type="dxa"/>
            <w:vMerge w:val="restart"/>
            <w:vAlign w:val="center"/>
          </w:tcPr>
          <w:p w14:paraId="2E3D4BA7" w14:textId="339344DF" w:rsidR="00AA5F5A" w:rsidRPr="00C739A6" w:rsidRDefault="00463D96" w:rsidP="00463D96">
            <w:pPr>
              <w:jc w:val="center"/>
            </w:pPr>
            <w:r>
              <w:t>Six children (four children 3-12</w:t>
            </w:r>
            <w:r w:rsidR="00AA5F5A" w:rsidRPr="00C739A6">
              <w:t>, two children 16-18</w:t>
            </w:r>
            <w:r>
              <w:t>)</w:t>
            </w:r>
          </w:p>
        </w:tc>
        <w:tc>
          <w:tcPr>
            <w:tcW w:w="2991" w:type="dxa"/>
            <w:shd w:val="clear" w:color="auto" w:fill="DEEAF6" w:themeFill="accent1" w:themeFillTint="33"/>
          </w:tcPr>
          <w:p w14:paraId="008BFED8" w14:textId="1C1F0804" w:rsidR="00AA5F5A" w:rsidRPr="00C739A6" w:rsidRDefault="00AA5F5A" w:rsidP="00D31E4C">
            <w:r w:rsidRPr="00C739A6">
              <w:t>Off-benefit</w:t>
            </w:r>
          </w:p>
        </w:tc>
      </w:tr>
      <w:tr w:rsidR="00AA5F5A" w:rsidRPr="00C739A6" w14:paraId="03A4934E" w14:textId="77777777" w:rsidTr="00AA5F5A">
        <w:tc>
          <w:tcPr>
            <w:tcW w:w="3007" w:type="dxa"/>
          </w:tcPr>
          <w:p w14:paraId="732DEB9D" w14:textId="217CDA21" w:rsidR="00AA5F5A" w:rsidRPr="00C739A6" w:rsidRDefault="00AA5F5A" w:rsidP="00D31E4C">
            <w:r w:rsidRPr="00C739A6">
              <w:t>Family Six</w:t>
            </w:r>
          </w:p>
        </w:tc>
        <w:tc>
          <w:tcPr>
            <w:tcW w:w="3018" w:type="dxa"/>
            <w:vMerge/>
          </w:tcPr>
          <w:p w14:paraId="43B4DC3C" w14:textId="37929002" w:rsidR="00AA5F5A" w:rsidRPr="00C739A6" w:rsidRDefault="00AA5F5A" w:rsidP="00D31E4C"/>
        </w:tc>
        <w:tc>
          <w:tcPr>
            <w:tcW w:w="2991" w:type="dxa"/>
          </w:tcPr>
          <w:p w14:paraId="0C71C523" w14:textId="204B50B1" w:rsidR="00AA5F5A" w:rsidRPr="00C739A6" w:rsidRDefault="00AA5F5A" w:rsidP="00D31E4C">
            <w:r w:rsidRPr="00C739A6">
              <w:t>On-benefit</w:t>
            </w:r>
          </w:p>
        </w:tc>
      </w:tr>
    </w:tbl>
    <w:p w14:paraId="4B03FFB9" w14:textId="10F5766F" w:rsidR="00971F84" w:rsidRPr="00C739A6" w:rsidRDefault="00971F84" w:rsidP="00971F84">
      <w:pPr>
        <w:rPr>
          <w:b/>
        </w:rPr>
      </w:pPr>
    </w:p>
    <w:p w14:paraId="4ADFF1BC" w14:textId="2D2C0524" w:rsidR="0017766B" w:rsidRPr="00C739A6" w:rsidRDefault="00870598" w:rsidP="000A753A">
      <w:pPr>
        <w:pStyle w:val="Heading2"/>
      </w:pPr>
      <w:bookmarkStart w:id="33" w:name="_Toc66785674"/>
      <w:r w:rsidRPr="00C739A6">
        <w:t>Overall t</w:t>
      </w:r>
      <w:r w:rsidR="007C01FE" w:rsidRPr="00C739A6">
        <w:t>rends</w:t>
      </w:r>
      <w:bookmarkEnd w:id="33"/>
    </w:p>
    <w:p w14:paraId="48BBB4C8" w14:textId="47E40C28" w:rsidR="0070164A" w:rsidRPr="00C739A6" w:rsidRDefault="00902AA5" w:rsidP="00971F84">
      <w:pPr>
        <w:rPr>
          <w:b/>
        </w:rPr>
      </w:pPr>
      <w:r w:rsidRPr="00C739A6">
        <w:rPr>
          <w:b/>
        </w:rPr>
        <w:t>W</w:t>
      </w:r>
      <w:r w:rsidR="00582961" w:rsidRPr="00C739A6">
        <w:rPr>
          <w:b/>
        </w:rPr>
        <w:t xml:space="preserve">hile the Families Package </w:t>
      </w:r>
      <w:r w:rsidR="00D309D5" w:rsidRPr="00C739A6">
        <w:rPr>
          <w:b/>
        </w:rPr>
        <w:t xml:space="preserve">increased </w:t>
      </w:r>
      <w:r w:rsidR="00582961" w:rsidRPr="00C739A6">
        <w:rPr>
          <w:b/>
        </w:rPr>
        <w:t xml:space="preserve">WFF payments, much of </w:t>
      </w:r>
      <w:r w:rsidR="008D0706" w:rsidRPr="00C739A6">
        <w:rPr>
          <w:b/>
        </w:rPr>
        <w:t xml:space="preserve">this </w:t>
      </w:r>
      <w:r w:rsidR="00EE2FF1" w:rsidRPr="00C739A6">
        <w:rPr>
          <w:b/>
        </w:rPr>
        <w:t xml:space="preserve">increase </w:t>
      </w:r>
      <w:r w:rsidR="00F166A8" w:rsidRPr="00C739A6">
        <w:rPr>
          <w:b/>
        </w:rPr>
        <w:t>was ‘catch-</w:t>
      </w:r>
      <w:r w:rsidR="00582961" w:rsidRPr="00C739A6">
        <w:rPr>
          <w:b/>
        </w:rPr>
        <w:t>up</w:t>
      </w:r>
      <w:r w:rsidR="00F166A8" w:rsidRPr="00C739A6">
        <w:rPr>
          <w:b/>
        </w:rPr>
        <w:t>’</w:t>
      </w:r>
      <w:r w:rsidR="00582961" w:rsidRPr="00C739A6">
        <w:rPr>
          <w:b/>
        </w:rPr>
        <w:t xml:space="preserve"> for erosion in value over the previous 10 years. </w:t>
      </w:r>
    </w:p>
    <w:p w14:paraId="444C7202" w14:textId="01496ED4" w:rsidR="0064676D" w:rsidRDefault="008D0706" w:rsidP="00971F84">
      <w:r w:rsidRPr="00C739A6">
        <w:lastRenderedPageBreak/>
        <w:t>As a point-in-time increase, the Families Package appeared to boost WFF payments significantly</w:t>
      </w:r>
      <w:r w:rsidR="008A3CCA" w:rsidRPr="00C739A6">
        <w:t>; h</w:t>
      </w:r>
      <w:r w:rsidRPr="00C739A6">
        <w:t>owever, against a backdrop of erosion in value over the last 10 years, the Families Packa</w:t>
      </w:r>
      <w:r w:rsidR="00F166A8" w:rsidRPr="00C739A6">
        <w:t>g</w:t>
      </w:r>
      <w:r w:rsidR="002F7031" w:rsidRPr="00C739A6">
        <w:t>e largely reflects a restora</w:t>
      </w:r>
      <w:r w:rsidR="007618E5" w:rsidRPr="00C739A6">
        <w:t>tion</w:t>
      </w:r>
      <w:r w:rsidRPr="00C739A6">
        <w:t xml:space="preserve"> of incomes to where they were at 2008 levels. </w:t>
      </w:r>
      <w:r w:rsidR="00A665A1" w:rsidRPr="00C739A6">
        <w:t xml:space="preserve">This is visible in Figures </w:t>
      </w:r>
      <w:r w:rsidR="007957F5">
        <w:t>9</w:t>
      </w:r>
      <w:r w:rsidR="00A665A1" w:rsidRPr="00C739A6">
        <w:t xml:space="preserve">, </w:t>
      </w:r>
      <w:r w:rsidR="007957F5">
        <w:t>10</w:t>
      </w:r>
      <w:r w:rsidR="00A665A1" w:rsidRPr="00C739A6">
        <w:t xml:space="preserve"> and </w:t>
      </w:r>
      <w:r w:rsidR="007957F5">
        <w:t>11</w:t>
      </w:r>
      <w:r w:rsidR="00A665A1" w:rsidRPr="00C739A6">
        <w:t xml:space="preserve"> which graph WFF rates for our six model families </w:t>
      </w:r>
      <w:r w:rsidR="0064676D">
        <w:t>over time, as indexed to wages. By the year ended March 2020, when families had received a full</w:t>
      </w:r>
      <w:r w:rsidR="002B2E4D">
        <w:t xml:space="preserve"> April-March</w:t>
      </w:r>
      <w:r w:rsidR="0064676D">
        <w:t xml:space="preserve"> year o</w:t>
      </w:r>
      <w:r w:rsidR="0014791A">
        <w:t xml:space="preserve">f the new rate of </w:t>
      </w:r>
      <w:r w:rsidR="00BD4CE6">
        <w:t xml:space="preserve">FTC </w:t>
      </w:r>
      <w:r w:rsidR="0014791A">
        <w:t>payment</w:t>
      </w:r>
      <w:r w:rsidR="00BD4CE6">
        <w:t xml:space="preserve"> from the Families Package</w:t>
      </w:r>
      <w:r w:rsidR="0014791A">
        <w:t>, only two of our six model</w:t>
      </w:r>
      <w:r w:rsidR="0064676D">
        <w:t xml:space="preserve"> families were better off than they would have been in</w:t>
      </w:r>
      <w:r w:rsidR="0014791A">
        <w:t xml:space="preserve"> the year ending March</w:t>
      </w:r>
      <w:r w:rsidR="0064676D">
        <w:t xml:space="preserve"> 2008 (see Table 3).</w:t>
      </w:r>
      <w:r w:rsidR="0014791A">
        <w:t xml:space="preserve"> Our model families ranged from 7 percent worse off to 7 percent better off, reflecting the fact that the Families Package was largely a catch-up in wage movements since 2008. </w:t>
      </w:r>
    </w:p>
    <w:p w14:paraId="46EA912A" w14:textId="34A96696" w:rsidR="00A665A1" w:rsidRPr="00C739A6" w:rsidRDefault="00A665A1" w:rsidP="00A665A1">
      <w:pPr>
        <w:pStyle w:val="Caption"/>
        <w:keepNext/>
        <w:rPr>
          <w:sz w:val="22"/>
        </w:rPr>
      </w:pPr>
      <w:bookmarkStart w:id="34" w:name="_Toc70079150"/>
      <w:r w:rsidRPr="00C739A6">
        <w:rPr>
          <w:sz w:val="22"/>
        </w:rPr>
        <w:t xml:space="preserve">Table </w:t>
      </w:r>
      <w:r w:rsidRPr="00C739A6">
        <w:rPr>
          <w:sz w:val="22"/>
        </w:rPr>
        <w:fldChar w:fldCharType="begin"/>
      </w:r>
      <w:r w:rsidRPr="00C739A6">
        <w:rPr>
          <w:sz w:val="22"/>
        </w:rPr>
        <w:instrText xml:space="preserve"> SEQ Table \* ARABIC </w:instrText>
      </w:r>
      <w:r w:rsidRPr="00C739A6">
        <w:rPr>
          <w:sz w:val="22"/>
        </w:rPr>
        <w:fldChar w:fldCharType="separate"/>
      </w:r>
      <w:r w:rsidR="00D47803">
        <w:rPr>
          <w:noProof/>
          <w:sz w:val="22"/>
        </w:rPr>
        <w:t>3</w:t>
      </w:r>
      <w:r w:rsidRPr="00C739A6">
        <w:rPr>
          <w:sz w:val="22"/>
        </w:rPr>
        <w:fldChar w:fldCharType="end"/>
      </w:r>
      <w:r w:rsidRPr="00C739A6">
        <w:rPr>
          <w:sz w:val="22"/>
        </w:rPr>
        <w:t xml:space="preserve">: Difference in value of </w:t>
      </w:r>
      <w:r w:rsidR="004D57AC">
        <w:rPr>
          <w:sz w:val="22"/>
        </w:rPr>
        <w:t xml:space="preserve">average weekly </w:t>
      </w:r>
      <w:r w:rsidRPr="00C739A6">
        <w:rPr>
          <w:sz w:val="22"/>
        </w:rPr>
        <w:t xml:space="preserve">WFF payments </w:t>
      </w:r>
      <w:r w:rsidR="007957F5">
        <w:rPr>
          <w:sz w:val="22"/>
        </w:rPr>
        <w:t>(</w:t>
      </w:r>
      <w:proofErr w:type="gramStart"/>
      <w:r w:rsidRPr="00C739A6">
        <w:rPr>
          <w:sz w:val="22"/>
        </w:rPr>
        <w:t>as a resul</w:t>
      </w:r>
      <w:r w:rsidR="00EB297F">
        <w:rPr>
          <w:sz w:val="22"/>
        </w:rPr>
        <w:t>t of</w:t>
      </w:r>
      <w:proofErr w:type="gramEnd"/>
      <w:r w:rsidR="00EB297F">
        <w:rPr>
          <w:sz w:val="22"/>
        </w:rPr>
        <w:t xml:space="preserve"> the Families Package</w:t>
      </w:r>
      <w:r w:rsidR="004D57AC">
        <w:rPr>
          <w:sz w:val="22"/>
        </w:rPr>
        <w:t xml:space="preserve"> introduced July 2018</w:t>
      </w:r>
      <w:r w:rsidR="00EB297F">
        <w:rPr>
          <w:sz w:val="22"/>
        </w:rPr>
        <w:t xml:space="preserve"> (wage-</w:t>
      </w:r>
      <w:r w:rsidRPr="00C739A6">
        <w:rPr>
          <w:sz w:val="22"/>
        </w:rPr>
        <w:t>indexed, in Q3 2020 dollars)</w:t>
      </w:r>
      <w:r w:rsidR="007957F5">
        <w:rPr>
          <w:sz w:val="22"/>
        </w:rPr>
        <w:t xml:space="preserve">) </w:t>
      </w:r>
      <w:r w:rsidR="004D57AC">
        <w:rPr>
          <w:sz w:val="22"/>
        </w:rPr>
        <w:t>March year 20</w:t>
      </w:r>
      <w:r w:rsidR="0064676D">
        <w:rPr>
          <w:sz w:val="22"/>
        </w:rPr>
        <w:t>19</w:t>
      </w:r>
      <w:r w:rsidR="004D57AC">
        <w:rPr>
          <w:sz w:val="22"/>
        </w:rPr>
        <w:t>/</w:t>
      </w:r>
      <w:r w:rsidR="0064676D">
        <w:rPr>
          <w:sz w:val="22"/>
        </w:rPr>
        <w:t>20</w:t>
      </w:r>
      <w:r w:rsidR="007957F5">
        <w:rPr>
          <w:sz w:val="22"/>
        </w:rPr>
        <w:t xml:space="preserve"> vs 200</w:t>
      </w:r>
      <w:r w:rsidR="004D57AC">
        <w:rPr>
          <w:sz w:val="22"/>
        </w:rPr>
        <w:t>7/0</w:t>
      </w:r>
      <w:r w:rsidR="007957F5">
        <w:rPr>
          <w:sz w:val="22"/>
        </w:rPr>
        <w:t>8</w:t>
      </w:r>
      <w:bookmarkEnd w:id="34"/>
    </w:p>
    <w:tbl>
      <w:tblPr>
        <w:tblStyle w:val="TableGrid"/>
        <w:tblW w:w="8663" w:type="dxa"/>
        <w:tblLook w:val="04A0" w:firstRow="1" w:lastRow="0" w:firstColumn="1" w:lastColumn="0" w:noHBand="0" w:noVBand="1"/>
      </w:tblPr>
      <w:tblGrid>
        <w:gridCol w:w="3964"/>
        <w:gridCol w:w="4699"/>
      </w:tblGrid>
      <w:tr w:rsidR="003B342F" w:rsidRPr="00C739A6" w14:paraId="003B8204" w14:textId="34ED953B" w:rsidTr="002C2328">
        <w:trPr>
          <w:trHeight w:val="656"/>
        </w:trPr>
        <w:tc>
          <w:tcPr>
            <w:tcW w:w="3964" w:type="dxa"/>
          </w:tcPr>
          <w:p w14:paraId="2FCFC6C9" w14:textId="4061D426" w:rsidR="003B342F" w:rsidRPr="00C739A6" w:rsidRDefault="00EF1034" w:rsidP="00CE5A50">
            <w:pPr>
              <w:rPr>
                <w:b/>
              </w:rPr>
            </w:pPr>
            <w:r>
              <w:rPr>
                <w:b/>
              </w:rPr>
              <w:t>Example</w:t>
            </w:r>
            <w:r w:rsidR="003B342F" w:rsidRPr="00C739A6">
              <w:rPr>
                <w:b/>
              </w:rPr>
              <w:t xml:space="preserve"> family</w:t>
            </w:r>
          </w:p>
        </w:tc>
        <w:tc>
          <w:tcPr>
            <w:tcW w:w="4699" w:type="dxa"/>
          </w:tcPr>
          <w:p w14:paraId="5109CE48" w14:textId="6C909DD8" w:rsidR="003B342F" w:rsidRPr="00C739A6" w:rsidRDefault="003B342F" w:rsidP="0064676D">
            <w:pPr>
              <w:rPr>
                <w:b/>
              </w:rPr>
            </w:pPr>
            <w:r w:rsidRPr="00C739A6">
              <w:rPr>
                <w:b/>
              </w:rPr>
              <w:t xml:space="preserve">Difference in value of </w:t>
            </w:r>
            <w:r w:rsidR="004D57AC">
              <w:rPr>
                <w:b/>
              </w:rPr>
              <w:t xml:space="preserve">average </w:t>
            </w:r>
            <w:r w:rsidR="0064676D">
              <w:rPr>
                <w:b/>
              </w:rPr>
              <w:t>WFF payments in</w:t>
            </w:r>
            <w:r w:rsidR="00B84BD1">
              <w:rPr>
                <w:b/>
              </w:rPr>
              <w:t xml:space="preserve"> year ended</w:t>
            </w:r>
            <w:r w:rsidR="0064676D">
              <w:rPr>
                <w:b/>
              </w:rPr>
              <w:t xml:space="preserve"> March 2020</w:t>
            </w:r>
            <w:r w:rsidR="00B47B7B">
              <w:rPr>
                <w:b/>
              </w:rPr>
              <w:t xml:space="preserve"> vs 2008 (wage-</w:t>
            </w:r>
            <w:r w:rsidRPr="00C739A6">
              <w:rPr>
                <w:b/>
              </w:rPr>
              <w:t>indexed, in Q3 2020 dollars)</w:t>
            </w:r>
          </w:p>
        </w:tc>
      </w:tr>
      <w:tr w:rsidR="003B342F" w:rsidRPr="00C739A6" w14:paraId="30B869A6" w14:textId="4845B612" w:rsidTr="002C2328">
        <w:trPr>
          <w:trHeight w:val="213"/>
        </w:trPr>
        <w:tc>
          <w:tcPr>
            <w:tcW w:w="3964" w:type="dxa"/>
          </w:tcPr>
          <w:p w14:paraId="05F78F79" w14:textId="50CC2CAD" w:rsidR="003B342F" w:rsidRPr="00C739A6" w:rsidRDefault="003535EB" w:rsidP="00CE5A50">
            <w:r>
              <w:t xml:space="preserve">Family One (1 </w:t>
            </w:r>
            <w:proofErr w:type="spellStart"/>
            <w:r>
              <w:t>ch</w:t>
            </w:r>
            <w:proofErr w:type="spellEnd"/>
            <w:r>
              <w:t>, off</w:t>
            </w:r>
            <w:r w:rsidR="003B342F" w:rsidRPr="00C739A6">
              <w:t xml:space="preserve"> benefit)</w:t>
            </w:r>
          </w:p>
        </w:tc>
        <w:tc>
          <w:tcPr>
            <w:tcW w:w="4699" w:type="dxa"/>
          </w:tcPr>
          <w:p w14:paraId="0547DB65" w14:textId="1ED14029" w:rsidR="003B342F" w:rsidRPr="00C739A6" w:rsidRDefault="003B342F" w:rsidP="0064676D">
            <w:r w:rsidRPr="00C739A6">
              <w:t>-</w:t>
            </w:r>
            <w:r w:rsidR="0064676D">
              <w:t>7</w:t>
            </w:r>
            <w:r w:rsidRPr="00C739A6">
              <w:t xml:space="preserve"> percent</w:t>
            </w:r>
            <w:r w:rsidR="0064676D">
              <w:t xml:space="preserve"> less in year ended March 2020</w:t>
            </w:r>
            <w:r w:rsidRPr="00C739A6">
              <w:t xml:space="preserve"> ($1</w:t>
            </w:r>
            <w:r w:rsidR="0064676D">
              <w:t xml:space="preserve">5.51 </w:t>
            </w:r>
            <w:r w:rsidRPr="00C739A6">
              <w:t>p/w)</w:t>
            </w:r>
          </w:p>
        </w:tc>
      </w:tr>
      <w:tr w:rsidR="003B342F" w:rsidRPr="00C739A6" w14:paraId="4C86D48B" w14:textId="3EEDD98C" w:rsidTr="002C2328">
        <w:trPr>
          <w:trHeight w:val="201"/>
        </w:trPr>
        <w:tc>
          <w:tcPr>
            <w:tcW w:w="3964" w:type="dxa"/>
          </w:tcPr>
          <w:p w14:paraId="2DB9E28F" w14:textId="43DABBDE" w:rsidR="003B342F" w:rsidRPr="00C739A6" w:rsidRDefault="003B342F" w:rsidP="00CE5A50">
            <w:r w:rsidRPr="00C739A6">
              <w:t xml:space="preserve">Family Two (1 </w:t>
            </w:r>
            <w:proofErr w:type="spellStart"/>
            <w:r w:rsidRPr="00C739A6">
              <w:t>ch</w:t>
            </w:r>
            <w:proofErr w:type="spellEnd"/>
            <w:r w:rsidRPr="00C739A6">
              <w:t xml:space="preserve">, </w:t>
            </w:r>
            <w:r w:rsidR="003535EB">
              <w:t xml:space="preserve">on </w:t>
            </w:r>
            <w:r w:rsidRPr="00C739A6">
              <w:t>benefit)</w:t>
            </w:r>
          </w:p>
        </w:tc>
        <w:tc>
          <w:tcPr>
            <w:tcW w:w="4699" w:type="dxa"/>
          </w:tcPr>
          <w:p w14:paraId="4F35583C" w14:textId="5C971A2B" w:rsidR="003B342F" w:rsidRPr="00C739A6" w:rsidRDefault="003B342F" w:rsidP="00B84BD1">
            <w:r w:rsidRPr="00C739A6">
              <w:t>-</w:t>
            </w:r>
            <w:r w:rsidR="00B84BD1">
              <w:t>2</w:t>
            </w:r>
            <w:r w:rsidRPr="00C739A6">
              <w:t xml:space="preserve"> percent</w:t>
            </w:r>
            <w:r w:rsidR="0064676D">
              <w:t xml:space="preserve"> less in year ended March 2020</w:t>
            </w:r>
            <w:r w:rsidRPr="00C739A6">
              <w:t xml:space="preserve"> ($</w:t>
            </w:r>
            <w:r w:rsidR="0064676D">
              <w:t>2.84</w:t>
            </w:r>
            <w:r w:rsidRPr="00C739A6">
              <w:t xml:space="preserve"> p/w)</w:t>
            </w:r>
          </w:p>
        </w:tc>
      </w:tr>
      <w:tr w:rsidR="003B342F" w:rsidRPr="00C739A6" w14:paraId="3D895C16" w14:textId="65FD7CC4" w:rsidTr="002C2328">
        <w:trPr>
          <w:trHeight w:val="213"/>
        </w:trPr>
        <w:tc>
          <w:tcPr>
            <w:tcW w:w="3964" w:type="dxa"/>
          </w:tcPr>
          <w:p w14:paraId="6B94B973" w14:textId="1C9BB503" w:rsidR="003B342F" w:rsidRPr="00C739A6" w:rsidRDefault="003535EB" w:rsidP="00CE5A50">
            <w:r>
              <w:t xml:space="preserve">Family Three (3 </w:t>
            </w:r>
            <w:proofErr w:type="spellStart"/>
            <w:r>
              <w:t>ch</w:t>
            </w:r>
            <w:proofErr w:type="spellEnd"/>
            <w:r>
              <w:t>, off</w:t>
            </w:r>
            <w:r w:rsidR="003B342F" w:rsidRPr="00C739A6">
              <w:t xml:space="preserve"> benefit)</w:t>
            </w:r>
          </w:p>
        </w:tc>
        <w:tc>
          <w:tcPr>
            <w:tcW w:w="4699" w:type="dxa"/>
          </w:tcPr>
          <w:p w14:paraId="439B72A1" w14:textId="75EFBFD6" w:rsidR="003B342F" w:rsidRPr="00C739A6" w:rsidRDefault="00B84BD1" w:rsidP="00B84BD1">
            <w:r>
              <w:t xml:space="preserve">+2 </w:t>
            </w:r>
            <w:r w:rsidR="003B342F" w:rsidRPr="00C739A6">
              <w:t>percent</w:t>
            </w:r>
            <w:r>
              <w:t xml:space="preserve"> more in year ended March 2020</w:t>
            </w:r>
            <w:r w:rsidR="003B342F" w:rsidRPr="00C739A6">
              <w:t xml:space="preserve"> </w:t>
            </w:r>
            <w:r w:rsidR="0014791A">
              <w:t>(</w:t>
            </w:r>
            <w:r>
              <w:t xml:space="preserve">$6.79 </w:t>
            </w:r>
            <w:r w:rsidR="003B342F" w:rsidRPr="00C739A6">
              <w:t>p/w)</w:t>
            </w:r>
          </w:p>
        </w:tc>
      </w:tr>
      <w:tr w:rsidR="003B342F" w:rsidRPr="00C739A6" w14:paraId="16AF5AF0" w14:textId="7BD7B85F" w:rsidTr="002C2328">
        <w:trPr>
          <w:trHeight w:val="213"/>
        </w:trPr>
        <w:tc>
          <w:tcPr>
            <w:tcW w:w="3964" w:type="dxa"/>
          </w:tcPr>
          <w:p w14:paraId="599E8A69" w14:textId="1C7C0697" w:rsidR="003B342F" w:rsidRPr="00C739A6" w:rsidRDefault="003B342F" w:rsidP="00CE5A50">
            <w:r w:rsidRPr="00C739A6">
              <w:t xml:space="preserve">Family Four (3 </w:t>
            </w:r>
            <w:proofErr w:type="spellStart"/>
            <w:r w:rsidRPr="00C739A6">
              <w:t>ch</w:t>
            </w:r>
            <w:proofErr w:type="spellEnd"/>
            <w:r w:rsidRPr="00C739A6">
              <w:t xml:space="preserve">, </w:t>
            </w:r>
            <w:r w:rsidR="003535EB">
              <w:t xml:space="preserve">on </w:t>
            </w:r>
            <w:r w:rsidRPr="00C739A6">
              <w:t>benefit)</w:t>
            </w:r>
          </w:p>
        </w:tc>
        <w:tc>
          <w:tcPr>
            <w:tcW w:w="4699" w:type="dxa"/>
          </w:tcPr>
          <w:p w14:paraId="3230D6DB" w14:textId="2AE08DFF" w:rsidR="003B342F" w:rsidRPr="00C739A6" w:rsidRDefault="003B342F" w:rsidP="0014791A">
            <w:r w:rsidRPr="00C739A6">
              <w:t>+</w:t>
            </w:r>
            <w:r w:rsidR="00B84BD1">
              <w:t>7</w:t>
            </w:r>
            <w:r w:rsidRPr="00C739A6">
              <w:t xml:space="preserve"> percent</w:t>
            </w:r>
            <w:r w:rsidR="00004182">
              <w:t xml:space="preserve"> more in year ended March 2020</w:t>
            </w:r>
            <w:r w:rsidRPr="00C739A6">
              <w:t xml:space="preserve"> ($</w:t>
            </w:r>
            <w:r w:rsidR="00B84BD1">
              <w:t>19.46</w:t>
            </w:r>
            <w:r w:rsidRPr="00C739A6">
              <w:t xml:space="preserve"> p/w)</w:t>
            </w:r>
          </w:p>
        </w:tc>
      </w:tr>
      <w:tr w:rsidR="003B342F" w:rsidRPr="00C739A6" w14:paraId="7C7B8374" w14:textId="4307A670" w:rsidTr="002C2328">
        <w:trPr>
          <w:trHeight w:val="201"/>
        </w:trPr>
        <w:tc>
          <w:tcPr>
            <w:tcW w:w="3964" w:type="dxa"/>
          </w:tcPr>
          <w:p w14:paraId="604078AF" w14:textId="1D21A975" w:rsidR="003B342F" w:rsidRPr="00C739A6" w:rsidRDefault="003535EB" w:rsidP="00CE5A50">
            <w:r>
              <w:t xml:space="preserve">Family Five (6 </w:t>
            </w:r>
            <w:proofErr w:type="spellStart"/>
            <w:r>
              <w:t>ch</w:t>
            </w:r>
            <w:proofErr w:type="spellEnd"/>
            <w:r>
              <w:t>, off</w:t>
            </w:r>
            <w:r w:rsidR="003B342F" w:rsidRPr="00C739A6">
              <w:t xml:space="preserve"> benefit)</w:t>
            </w:r>
          </w:p>
        </w:tc>
        <w:tc>
          <w:tcPr>
            <w:tcW w:w="4699" w:type="dxa"/>
          </w:tcPr>
          <w:p w14:paraId="2462C710" w14:textId="313AFB21" w:rsidR="003B342F" w:rsidRPr="00C739A6" w:rsidRDefault="0014791A" w:rsidP="0014791A">
            <w:r>
              <w:t>-7</w:t>
            </w:r>
            <w:r w:rsidR="003B342F" w:rsidRPr="00C739A6">
              <w:t xml:space="preserve"> percent</w:t>
            </w:r>
            <w:r>
              <w:t xml:space="preserve"> less in year ended March 2020</w:t>
            </w:r>
            <w:r w:rsidR="003B342F" w:rsidRPr="00C739A6">
              <w:t xml:space="preserve"> ($</w:t>
            </w:r>
            <w:r>
              <w:t>52.93</w:t>
            </w:r>
            <w:r w:rsidR="003B342F" w:rsidRPr="00C739A6">
              <w:t xml:space="preserve"> p/w)</w:t>
            </w:r>
          </w:p>
        </w:tc>
      </w:tr>
      <w:tr w:rsidR="003B342F" w:rsidRPr="00C739A6" w14:paraId="27F61524" w14:textId="7CED4C49" w:rsidTr="002C2328">
        <w:trPr>
          <w:trHeight w:val="201"/>
        </w:trPr>
        <w:tc>
          <w:tcPr>
            <w:tcW w:w="3964" w:type="dxa"/>
          </w:tcPr>
          <w:p w14:paraId="296F06C2" w14:textId="2F6EBD61" w:rsidR="003B342F" w:rsidRPr="00C739A6" w:rsidRDefault="003B342F" w:rsidP="00CE5A50">
            <w:r w:rsidRPr="00C739A6">
              <w:t xml:space="preserve">Family Six (6 </w:t>
            </w:r>
            <w:proofErr w:type="spellStart"/>
            <w:r w:rsidRPr="00C739A6">
              <w:t>ch</w:t>
            </w:r>
            <w:proofErr w:type="spellEnd"/>
            <w:r w:rsidRPr="00C739A6">
              <w:t xml:space="preserve">, </w:t>
            </w:r>
            <w:r w:rsidR="003535EB">
              <w:t xml:space="preserve">on </w:t>
            </w:r>
            <w:r w:rsidRPr="00C739A6">
              <w:t>benefit)</w:t>
            </w:r>
          </w:p>
        </w:tc>
        <w:tc>
          <w:tcPr>
            <w:tcW w:w="4699" w:type="dxa"/>
          </w:tcPr>
          <w:p w14:paraId="2362FFA5" w14:textId="1A03BE46" w:rsidR="003B342F" w:rsidRPr="00C739A6" w:rsidRDefault="003B342F" w:rsidP="0014791A">
            <w:r w:rsidRPr="00C739A6">
              <w:t>-</w:t>
            </w:r>
            <w:r w:rsidR="0014791A">
              <w:t>3</w:t>
            </w:r>
            <w:r w:rsidRPr="00C739A6">
              <w:t xml:space="preserve"> percent</w:t>
            </w:r>
            <w:r w:rsidR="0014791A">
              <w:t xml:space="preserve"> less in year ended March 2020 </w:t>
            </w:r>
            <w:r w:rsidRPr="00C739A6">
              <w:t>($</w:t>
            </w:r>
            <w:r w:rsidR="0014791A">
              <w:t>21.06</w:t>
            </w:r>
            <w:r w:rsidRPr="00C739A6">
              <w:t xml:space="preserve"> p/w)</w:t>
            </w:r>
          </w:p>
        </w:tc>
      </w:tr>
    </w:tbl>
    <w:p w14:paraId="42493745" w14:textId="44E498CE" w:rsidR="00D3732F" w:rsidRPr="00C739A6" w:rsidRDefault="00D3732F" w:rsidP="00D3732F">
      <w:pPr>
        <w:tabs>
          <w:tab w:val="left" w:pos="3210"/>
        </w:tabs>
      </w:pPr>
    </w:p>
    <w:p w14:paraId="0DDA3BB8" w14:textId="3E33586E" w:rsidR="00D3732F" w:rsidRPr="00C739A6" w:rsidRDefault="00D3732F" w:rsidP="00D3732F">
      <w:pPr>
        <w:pStyle w:val="Caption"/>
        <w:keepNext/>
        <w:rPr>
          <w:sz w:val="22"/>
        </w:rPr>
      </w:pPr>
      <w:bookmarkStart w:id="35" w:name="_Toc69738150"/>
      <w:r w:rsidRPr="00314148">
        <w:rPr>
          <w:sz w:val="22"/>
        </w:rPr>
        <w:t xml:space="preserve">Figure </w:t>
      </w:r>
      <w:r w:rsidRPr="00314148">
        <w:rPr>
          <w:sz w:val="22"/>
        </w:rPr>
        <w:fldChar w:fldCharType="begin"/>
      </w:r>
      <w:r w:rsidRPr="00314148">
        <w:rPr>
          <w:sz w:val="22"/>
        </w:rPr>
        <w:instrText xml:space="preserve"> SEQ Figure \* ARABIC </w:instrText>
      </w:r>
      <w:r w:rsidRPr="00314148">
        <w:rPr>
          <w:sz w:val="22"/>
        </w:rPr>
        <w:fldChar w:fldCharType="separate"/>
      </w:r>
      <w:r w:rsidR="00D47803">
        <w:rPr>
          <w:noProof/>
          <w:sz w:val="22"/>
        </w:rPr>
        <w:t>9</w:t>
      </w:r>
      <w:r w:rsidRPr="00314148">
        <w:rPr>
          <w:sz w:val="22"/>
        </w:rPr>
        <w:fldChar w:fldCharType="end"/>
      </w:r>
      <w:r w:rsidRPr="00314148">
        <w:rPr>
          <w:sz w:val="22"/>
        </w:rPr>
        <w:t>: Family</w:t>
      </w:r>
      <w:r w:rsidRPr="00C739A6">
        <w:rPr>
          <w:sz w:val="22"/>
        </w:rPr>
        <w:t xml:space="preserve"> One </w:t>
      </w:r>
      <w:r>
        <w:rPr>
          <w:sz w:val="22"/>
        </w:rPr>
        <w:t xml:space="preserve">&amp; </w:t>
      </w:r>
      <w:r w:rsidRPr="00C739A6">
        <w:rPr>
          <w:sz w:val="22"/>
        </w:rPr>
        <w:t xml:space="preserve">Family Two </w:t>
      </w:r>
      <w:r w:rsidR="00CB1D59">
        <w:rPr>
          <w:sz w:val="22"/>
        </w:rPr>
        <w:t>max</w:t>
      </w:r>
      <w:r>
        <w:rPr>
          <w:sz w:val="22"/>
        </w:rPr>
        <w:t xml:space="preserve"> weekly </w:t>
      </w:r>
      <w:r w:rsidRPr="00C739A6">
        <w:rPr>
          <w:sz w:val="22"/>
        </w:rPr>
        <w:t>WFF rates</w:t>
      </w:r>
      <w:r w:rsidR="00CB1D59">
        <w:rPr>
          <w:sz w:val="22"/>
        </w:rPr>
        <w:t xml:space="preserve"> (annual average)</w:t>
      </w:r>
      <w:r w:rsidRPr="00C739A6">
        <w:rPr>
          <w:sz w:val="22"/>
        </w:rPr>
        <w:t>, wage indexed for 2008-2021 (in Q3 2020 dollars)</w:t>
      </w:r>
      <w:bookmarkEnd w:id="35"/>
    </w:p>
    <w:p w14:paraId="0831B9AB" w14:textId="77777777" w:rsidR="00D3732F" w:rsidRPr="00C739A6" w:rsidRDefault="00D3732F" w:rsidP="00D3732F">
      <w:pPr>
        <w:rPr>
          <w:b/>
        </w:rPr>
      </w:pPr>
      <w:r>
        <w:rPr>
          <w:noProof/>
          <w:lang w:eastAsia="en-NZ"/>
        </w:rPr>
        <w:drawing>
          <wp:inline distT="0" distB="0" distL="0" distR="0" wp14:anchorId="59B69C62" wp14:editId="3D76CB92">
            <wp:extent cx="5380653" cy="2457450"/>
            <wp:effectExtent l="0" t="0" r="1079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AC94F5" w14:textId="0041587C" w:rsidR="00D3732F" w:rsidRPr="00C739A6" w:rsidRDefault="00D3732F" w:rsidP="2310FC1E">
      <w:pPr>
        <w:pStyle w:val="Caption"/>
        <w:keepNext/>
        <w:rPr>
          <w:sz w:val="22"/>
          <w:szCs w:val="22"/>
        </w:rPr>
      </w:pPr>
      <w:bookmarkStart w:id="36" w:name="_Toc69738151"/>
      <w:r w:rsidRPr="2310FC1E">
        <w:rPr>
          <w:sz w:val="22"/>
          <w:szCs w:val="22"/>
        </w:rPr>
        <w:lastRenderedPageBreak/>
        <w:t xml:space="preserve">Figure </w:t>
      </w:r>
      <w:r w:rsidRPr="2310FC1E">
        <w:rPr>
          <w:sz w:val="22"/>
          <w:szCs w:val="22"/>
        </w:rPr>
        <w:fldChar w:fldCharType="begin"/>
      </w:r>
      <w:r w:rsidRPr="2310FC1E">
        <w:rPr>
          <w:sz w:val="22"/>
          <w:szCs w:val="22"/>
        </w:rPr>
        <w:instrText xml:space="preserve"> SEQ Figure \* ARABIC </w:instrText>
      </w:r>
      <w:r w:rsidRPr="2310FC1E">
        <w:rPr>
          <w:sz w:val="22"/>
          <w:szCs w:val="22"/>
        </w:rPr>
        <w:fldChar w:fldCharType="separate"/>
      </w:r>
      <w:r w:rsidR="00D47803">
        <w:rPr>
          <w:noProof/>
          <w:sz w:val="22"/>
          <w:szCs w:val="22"/>
        </w:rPr>
        <w:t>10</w:t>
      </w:r>
      <w:r w:rsidRPr="2310FC1E">
        <w:rPr>
          <w:sz w:val="22"/>
          <w:szCs w:val="22"/>
        </w:rPr>
        <w:fldChar w:fldCharType="end"/>
      </w:r>
      <w:r w:rsidRPr="2310FC1E">
        <w:rPr>
          <w:sz w:val="22"/>
          <w:szCs w:val="22"/>
        </w:rPr>
        <w:t xml:space="preserve">: Family Three and Family Four </w:t>
      </w:r>
      <w:r w:rsidR="00CB1D59" w:rsidRPr="2310FC1E">
        <w:rPr>
          <w:sz w:val="22"/>
          <w:szCs w:val="22"/>
        </w:rPr>
        <w:t xml:space="preserve">max </w:t>
      </w:r>
      <w:r w:rsidRPr="2310FC1E">
        <w:rPr>
          <w:sz w:val="22"/>
          <w:szCs w:val="22"/>
        </w:rPr>
        <w:t>weekly WFF rates</w:t>
      </w:r>
      <w:r w:rsidR="00CB1D59" w:rsidRPr="2310FC1E">
        <w:rPr>
          <w:sz w:val="22"/>
          <w:szCs w:val="22"/>
        </w:rPr>
        <w:t xml:space="preserve"> (annual average)</w:t>
      </w:r>
      <w:r w:rsidRPr="2310FC1E">
        <w:rPr>
          <w:sz w:val="22"/>
          <w:szCs w:val="22"/>
        </w:rPr>
        <w:t>, wage indexed for 2008-21 (in Q3 2020 dollars)</w:t>
      </w:r>
      <w:bookmarkEnd w:id="36"/>
    </w:p>
    <w:p w14:paraId="55DB71EA" w14:textId="77777777" w:rsidR="00D3732F" w:rsidRDefault="00D3732F" w:rsidP="00D3732F">
      <w:pPr>
        <w:rPr>
          <w:b/>
        </w:rPr>
      </w:pPr>
      <w:r>
        <w:rPr>
          <w:noProof/>
          <w:lang w:eastAsia="en-NZ"/>
        </w:rPr>
        <w:drawing>
          <wp:inline distT="0" distB="0" distL="0" distR="0" wp14:anchorId="3026600B" wp14:editId="1B10D24B">
            <wp:extent cx="5731510" cy="2814955"/>
            <wp:effectExtent l="0" t="0" r="2540" b="44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C6E79D" w14:textId="77777777" w:rsidR="00D3732F" w:rsidRPr="00C739A6" w:rsidRDefault="00D3732F" w:rsidP="00D3732F">
      <w:pPr>
        <w:rPr>
          <w:b/>
        </w:rPr>
      </w:pPr>
    </w:p>
    <w:p w14:paraId="5EAE0209" w14:textId="1833DD4C" w:rsidR="00D3732F" w:rsidRPr="00C739A6" w:rsidRDefault="00D3732F" w:rsidP="2310FC1E">
      <w:pPr>
        <w:pStyle w:val="Caption"/>
        <w:keepNext/>
        <w:rPr>
          <w:sz w:val="22"/>
          <w:szCs w:val="22"/>
        </w:rPr>
      </w:pPr>
      <w:bookmarkStart w:id="37" w:name="_Toc69738152"/>
      <w:r w:rsidRPr="2310FC1E">
        <w:rPr>
          <w:sz w:val="22"/>
          <w:szCs w:val="22"/>
        </w:rPr>
        <w:t xml:space="preserve">Figure </w:t>
      </w:r>
      <w:r w:rsidRPr="2310FC1E">
        <w:rPr>
          <w:sz w:val="22"/>
          <w:szCs w:val="22"/>
        </w:rPr>
        <w:fldChar w:fldCharType="begin"/>
      </w:r>
      <w:r w:rsidRPr="2310FC1E">
        <w:rPr>
          <w:sz w:val="22"/>
          <w:szCs w:val="22"/>
        </w:rPr>
        <w:instrText xml:space="preserve"> SEQ Figure \* ARABIC </w:instrText>
      </w:r>
      <w:r w:rsidRPr="2310FC1E">
        <w:rPr>
          <w:sz w:val="22"/>
          <w:szCs w:val="22"/>
        </w:rPr>
        <w:fldChar w:fldCharType="separate"/>
      </w:r>
      <w:r w:rsidR="00D47803">
        <w:rPr>
          <w:noProof/>
          <w:sz w:val="22"/>
          <w:szCs w:val="22"/>
        </w:rPr>
        <w:t>11</w:t>
      </w:r>
      <w:r w:rsidRPr="2310FC1E">
        <w:rPr>
          <w:sz w:val="22"/>
          <w:szCs w:val="22"/>
        </w:rPr>
        <w:fldChar w:fldCharType="end"/>
      </w:r>
      <w:r w:rsidRPr="2310FC1E">
        <w:rPr>
          <w:sz w:val="22"/>
          <w:szCs w:val="22"/>
        </w:rPr>
        <w:t xml:space="preserve">: Family Five and Family Six </w:t>
      </w:r>
      <w:r w:rsidR="00CB1D59" w:rsidRPr="2310FC1E">
        <w:rPr>
          <w:sz w:val="22"/>
          <w:szCs w:val="22"/>
        </w:rPr>
        <w:t xml:space="preserve">max </w:t>
      </w:r>
      <w:r w:rsidRPr="2310FC1E">
        <w:rPr>
          <w:sz w:val="22"/>
          <w:szCs w:val="22"/>
        </w:rPr>
        <w:t>weekly WFF rates</w:t>
      </w:r>
      <w:r w:rsidR="00CB1D59" w:rsidRPr="2310FC1E">
        <w:rPr>
          <w:sz w:val="22"/>
          <w:szCs w:val="22"/>
        </w:rPr>
        <w:t xml:space="preserve"> (annual average)</w:t>
      </w:r>
      <w:r w:rsidRPr="2310FC1E">
        <w:rPr>
          <w:sz w:val="22"/>
          <w:szCs w:val="22"/>
        </w:rPr>
        <w:t>, wage indexed for 2008-21 (in Q3 2020 dollars)</w:t>
      </w:r>
      <w:bookmarkEnd w:id="37"/>
    </w:p>
    <w:p w14:paraId="5490FFEA" w14:textId="77777777" w:rsidR="00D3732F" w:rsidRPr="00C739A6" w:rsidRDefault="00D3732F" w:rsidP="00D3732F">
      <w:pPr>
        <w:rPr>
          <w:b/>
        </w:rPr>
      </w:pPr>
      <w:r>
        <w:rPr>
          <w:noProof/>
          <w:lang w:eastAsia="en-NZ"/>
        </w:rPr>
        <w:drawing>
          <wp:inline distT="0" distB="0" distL="0" distR="0" wp14:anchorId="56F3A171" wp14:editId="29AB1F65">
            <wp:extent cx="5724525" cy="27908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0040C4D" w14:textId="77777777" w:rsidR="00D3732F" w:rsidRPr="00C739A6" w:rsidRDefault="00D3732F" w:rsidP="007618E5">
      <w:pPr>
        <w:tabs>
          <w:tab w:val="left" w:pos="3210"/>
        </w:tabs>
      </w:pPr>
    </w:p>
    <w:p w14:paraId="254455E6" w14:textId="77777777" w:rsidR="00B44CEE" w:rsidRPr="00C739A6" w:rsidRDefault="00B44CEE" w:rsidP="00B44CEE">
      <w:pPr>
        <w:rPr>
          <w:b/>
        </w:rPr>
      </w:pPr>
      <w:r w:rsidRPr="00C739A6">
        <w:rPr>
          <w:b/>
        </w:rPr>
        <w:t xml:space="preserve">Without proper indexation, the real value of WFF payments erodes as soon as increases are made. </w:t>
      </w:r>
    </w:p>
    <w:p w14:paraId="792D5E4E" w14:textId="60DA07A6" w:rsidR="002B2E4D" w:rsidRDefault="00B44CEE" w:rsidP="00597354">
      <w:r w:rsidRPr="00C739A6">
        <w:t>T</w:t>
      </w:r>
      <w:r w:rsidR="008D22B6" w:rsidRPr="00C739A6">
        <w:t xml:space="preserve">wo years on from the Families Package, </w:t>
      </w:r>
      <w:r w:rsidR="00403527">
        <w:t xml:space="preserve">its WFF </w:t>
      </w:r>
      <w:r w:rsidRPr="00C739A6">
        <w:t>gains</w:t>
      </w:r>
      <w:r w:rsidR="004552B1" w:rsidRPr="00C739A6">
        <w:t xml:space="preserve"> for family incomes</w:t>
      </w:r>
      <w:r w:rsidRPr="00C739A6">
        <w:t xml:space="preserve"> </w:t>
      </w:r>
      <w:r w:rsidR="008D22B6" w:rsidRPr="00C739A6">
        <w:t>are already losing value</w:t>
      </w:r>
      <w:r w:rsidR="004552B1" w:rsidRPr="00C739A6">
        <w:t>,</w:t>
      </w:r>
      <w:r w:rsidR="008D22B6" w:rsidRPr="00C739A6">
        <w:t xml:space="preserve"> </w:t>
      </w:r>
      <w:r w:rsidRPr="00C739A6">
        <w:t>as WFF is not properly indexed. This erosion</w:t>
      </w:r>
      <w:r w:rsidR="00597354">
        <w:t xml:space="preserve"> between 2020 and 2021</w:t>
      </w:r>
      <w:r w:rsidRPr="00C739A6">
        <w:t xml:space="preserve"> is visible </w:t>
      </w:r>
      <w:r w:rsidR="004552B1" w:rsidRPr="00C739A6">
        <w:t xml:space="preserve">for our model families </w:t>
      </w:r>
      <w:r w:rsidRPr="00C739A6">
        <w:t xml:space="preserve">in Figures </w:t>
      </w:r>
      <w:r w:rsidR="007957F5">
        <w:t>9</w:t>
      </w:r>
      <w:r w:rsidRPr="00C739A6">
        <w:t xml:space="preserve">, </w:t>
      </w:r>
      <w:r w:rsidR="007957F5">
        <w:t>10</w:t>
      </w:r>
      <w:r w:rsidRPr="00C739A6">
        <w:t xml:space="preserve"> and </w:t>
      </w:r>
      <w:r w:rsidR="007957F5">
        <w:t>11</w:t>
      </w:r>
      <w:r w:rsidR="003A1732">
        <w:t>.</w:t>
      </w:r>
      <w:r w:rsidR="00597354">
        <w:t xml:space="preserve"> </w:t>
      </w:r>
    </w:p>
    <w:p w14:paraId="70148EB8" w14:textId="6A0B9CCB" w:rsidR="00597354" w:rsidRDefault="00403527" w:rsidP="00597354">
      <w:r>
        <w:lastRenderedPageBreak/>
        <w:t>T</w:t>
      </w:r>
      <w:r w:rsidR="00597354">
        <w:t xml:space="preserve">his erosion is particularly evident when we model what weekly WFF payments would </w:t>
      </w:r>
      <w:r>
        <w:t xml:space="preserve">be </w:t>
      </w:r>
      <w:r w:rsidR="00597354">
        <w:t>for our families had WFF been indexed to wages at the time of the Families Package. Table 4 presents this modelling, using the increased FTC payment rates</w:t>
      </w:r>
      <w:r w:rsidR="00D916C5">
        <w:t xml:space="preserve"> from the Families Package</w:t>
      </w:r>
      <w:r w:rsidR="00597354">
        <w:t xml:space="preserve"> indexed </w:t>
      </w:r>
      <w:r w:rsidR="00585CE4">
        <w:t>to a</w:t>
      </w:r>
      <w:r w:rsidR="00597354">
        <w:t xml:space="preserve"> Q4 2018 base year (note calculations are for years ending June to accurately capture the introduction of the Families Package on 1 July 2018). </w:t>
      </w:r>
    </w:p>
    <w:p w14:paraId="7904C32D" w14:textId="5EE23648" w:rsidR="003A1732" w:rsidRDefault="00597354" w:rsidP="00971F84">
      <w:r>
        <w:t xml:space="preserve">As our modelling demonstrates, a family of three </w:t>
      </w:r>
      <w:r w:rsidR="00403527">
        <w:t xml:space="preserve">in low paid work </w:t>
      </w:r>
      <w:r>
        <w:t xml:space="preserve">off-benefit </w:t>
      </w:r>
      <w:r w:rsidR="00403527">
        <w:t>w</w:t>
      </w:r>
      <w:r>
        <w:t>ould be receiving roughly $27 more per week</w:t>
      </w:r>
      <w:r w:rsidR="00585CE4">
        <w:t>,</w:t>
      </w:r>
      <w:r>
        <w:t xml:space="preserve"> </w:t>
      </w:r>
      <w:r w:rsidR="00403527">
        <w:t>if</w:t>
      </w:r>
      <w:r>
        <w:t xml:space="preserve"> </w:t>
      </w:r>
      <w:r w:rsidR="00403527">
        <w:t xml:space="preserve">WFF </w:t>
      </w:r>
      <w:r>
        <w:t xml:space="preserve">rates </w:t>
      </w:r>
      <w:r w:rsidR="00403527">
        <w:t xml:space="preserve">had been </w:t>
      </w:r>
      <w:r>
        <w:t xml:space="preserve">indexed to </w:t>
      </w:r>
      <w:r w:rsidR="00403527">
        <w:t xml:space="preserve">increases </w:t>
      </w:r>
      <w:r>
        <w:t xml:space="preserve">in wages, while a family of three on-benefit could be receiving roughly $22 more per week. </w:t>
      </w:r>
      <w:r w:rsidR="00585CE4">
        <w:t>These amounts are significant</w:t>
      </w:r>
      <w:r w:rsidR="00403527">
        <w:t xml:space="preserve"> enough to </w:t>
      </w:r>
      <w:r w:rsidR="00585CE4">
        <w:t>be the difference between sending a</w:t>
      </w:r>
      <w:r w:rsidR="00403527">
        <w:t>n older</w:t>
      </w:r>
      <w:r w:rsidR="00585CE4">
        <w:t xml:space="preserve"> child to the GP and not</w:t>
      </w:r>
      <w:r w:rsidR="00403527">
        <w:t>;</w:t>
      </w:r>
      <w:r w:rsidR="00585CE4">
        <w:t xml:space="preserve"> or </w:t>
      </w:r>
      <w:r w:rsidR="00403527">
        <w:t xml:space="preserve">between </w:t>
      </w:r>
      <w:r w:rsidR="00585CE4">
        <w:t xml:space="preserve">buying </w:t>
      </w:r>
      <w:r w:rsidR="00403527">
        <w:t xml:space="preserve">good protein </w:t>
      </w:r>
      <w:r w:rsidR="00557E84">
        <w:t xml:space="preserve">in the weekly shopping </w:t>
      </w:r>
      <w:r w:rsidR="00152099">
        <w:t xml:space="preserve">for children </w:t>
      </w:r>
      <w:r w:rsidR="00585CE4">
        <w:t xml:space="preserve">and not. The cumulative relative loss due to lack of </w:t>
      </w:r>
      <w:r w:rsidR="00403527">
        <w:t xml:space="preserve">wage </w:t>
      </w:r>
      <w:r w:rsidR="00585CE4">
        <w:t xml:space="preserve">indexation over the two years to June 2021 is </w:t>
      </w:r>
      <w:r w:rsidR="00403527">
        <w:t xml:space="preserve">also </w:t>
      </w:r>
      <w:r w:rsidR="00585CE4">
        <w:t xml:space="preserve">significant; </w:t>
      </w:r>
      <w:r w:rsidR="009B2D39">
        <w:t>our modelling suggests a</w:t>
      </w:r>
      <w:r w:rsidR="00152099">
        <w:t xml:space="preserve"> three-child family </w:t>
      </w:r>
      <w:r w:rsidR="00403527">
        <w:t xml:space="preserve">in low paid work </w:t>
      </w:r>
      <w:r w:rsidR="00152099">
        <w:t>o</w:t>
      </w:r>
      <w:r w:rsidR="009B2D39">
        <w:t>ff-benefit</w:t>
      </w:r>
      <w:r w:rsidR="00152099">
        <w:t xml:space="preserve"> </w:t>
      </w:r>
      <w:r w:rsidR="00403527">
        <w:t xml:space="preserve">missed out on </w:t>
      </w:r>
      <w:r w:rsidR="00152099">
        <w:t xml:space="preserve">roughly $1,900, while a six-child family on-benefit </w:t>
      </w:r>
      <w:r w:rsidR="00403527">
        <w:t xml:space="preserve">missed out on </w:t>
      </w:r>
      <w:r w:rsidR="00152099">
        <w:t xml:space="preserve">over $3,000 in relative value. </w:t>
      </w:r>
    </w:p>
    <w:p w14:paraId="15BD5358" w14:textId="7BA41C98" w:rsidR="00D3732F" w:rsidRPr="00630A4B" w:rsidRDefault="00D3732F" w:rsidP="00D3732F">
      <w:pPr>
        <w:pStyle w:val="Caption"/>
        <w:keepNext/>
        <w:rPr>
          <w:sz w:val="22"/>
        </w:rPr>
      </w:pPr>
      <w:bookmarkStart w:id="38" w:name="_Toc70079151"/>
      <w:r w:rsidRPr="00630A4B">
        <w:rPr>
          <w:sz w:val="22"/>
        </w:rPr>
        <w:t xml:space="preserve">Table </w:t>
      </w:r>
      <w:r w:rsidRPr="00630A4B">
        <w:rPr>
          <w:sz w:val="22"/>
        </w:rPr>
        <w:fldChar w:fldCharType="begin"/>
      </w:r>
      <w:r w:rsidRPr="00630A4B">
        <w:rPr>
          <w:sz w:val="22"/>
        </w:rPr>
        <w:instrText xml:space="preserve"> SEQ Table \* ARABIC </w:instrText>
      </w:r>
      <w:r w:rsidRPr="00630A4B">
        <w:rPr>
          <w:sz w:val="22"/>
        </w:rPr>
        <w:fldChar w:fldCharType="separate"/>
      </w:r>
      <w:r w:rsidR="00D47803">
        <w:rPr>
          <w:noProof/>
          <w:sz w:val="22"/>
        </w:rPr>
        <w:t>4</w:t>
      </w:r>
      <w:r w:rsidRPr="00630A4B">
        <w:rPr>
          <w:sz w:val="22"/>
        </w:rPr>
        <w:fldChar w:fldCharType="end"/>
      </w:r>
      <w:r w:rsidRPr="00630A4B">
        <w:rPr>
          <w:sz w:val="22"/>
        </w:rPr>
        <w:t xml:space="preserve">: </w:t>
      </w:r>
      <w:r w:rsidR="00630A4B" w:rsidRPr="00630A4B">
        <w:rPr>
          <w:sz w:val="22"/>
        </w:rPr>
        <w:t xml:space="preserve">Weekly WFF rates for six model families, indexed to wages </w:t>
      </w:r>
      <w:r w:rsidR="002A58BE">
        <w:rPr>
          <w:sz w:val="22"/>
        </w:rPr>
        <w:t>(</w:t>
      </w:r>
      <w:r w:rsidR="00630A4B" w:rsidRPr="00630A4B">
        <w:rPr>
          <w:sz w:val="22"/>
        </w:rPr>
        <w:t>201</w:t>
      </w:r>
      <w:r w:rsidR="002A58BE">
        <w:rPr>
          <w:sz w:val="22"/>
        </w:rPr>
        <w:t>9</w:t>
      </w:r>
      <w:r w:rsidR="00630A4B" w:rsidRPr="00630A4B">
        <w:rPr>
          <w:sz w:val="22"/>
        </w:rPr>
        <w:t xml:space="preserve"> base year</w:t>
      </w:r>
      <w:r w:rsidR="002A58BE">
        <w:rPr>
          <w:sz w:val="22"/>
        </w:rPr>
        <w:t>)</w:t>
      </w:r>
      <w:r w:rsidR="00630A4B" w:rsidRPr="00630A4B">
        <w:rPr>
          <w:sz w:val="22"/>
        </w:rPr>
        <w:t xml:space="preserve"> for </w:t>
      </w:r>
      <w:r w:rsidRPr="00630A4B">
        <w:rPr>
          <w:sz w:val="22"/>
        </w:rPr>
        <w:t>year</w:t>
      </w:r>
      <w:r w:rsidR="00630A4B" w:rsidRPr="00630A4B">
        <w:rPr>
          <w:sz w:val="22"/>
        </w:rPr>
        <w:t>s</w:t>
      </w:r>
      <w:r w:rsidRPr="00630A4B">
        <w:rPr>
          <w:sz w:val="22"/>
        </w:rPr>
        <w:t xml:space="preserve"> ending June</w:t>
      </w:r>
      <w:r w:rsidR="00630A4B" w:rsidRPr="00630A4B">
        <w:rPr>
          <w:sz w:val="22"/>
        </w:rPr>
        <w:t xml:space="preserve"> 2019-2021</w:t>
      </w:r>
      <w:r w:rsidR="00630A4B">
        <w:rPr>
          <w:sz w:val="22"/>
        </w:rPr>
        <w:t>, calculating cumulative relative loss without this indexation</w:t>
      </w:r>
      <w:bookmarkEnd w:id="38"/>
    </w:p>
    <w:tbl>
      <w:tblPr>
        <w:tblStyle w:val="TableGrid"/>
        <w:tblW w:w="8913" w:type="dxa"/>
        <w:tblInd w:w="-5" w:type="dxa"/>
        <w:tblLook w:val="04A0" w:firstRow="1" w:lastRow="0" w:firstColumn="1" w:lastColumn="0" w:noHBand="0" w:noVBand="1"/>
      </w:tblPr>
      <w:tblGrid>
        <w:gridCol w:w="1350"/>
        <w:gridCol w:w="1530"/>
        <w:gridCol w:w="2160"/>
        <w:gridCol w:w="2070"/>
        <w:gridCol w:w="1803"/>
      </w:tblGrid>
      <w:tr w:rsidR="00D3732F" w14:paraId="3BB9BE86" w14:textId="77777777" w:rsidTr="00403527">
        <w:tc>
          <w:tcPr>
            <w:tcW w:w="1350" w:type="dxa"/>
          </w:tcPr>
          <w:p w14:paraId="36D4044A" w14:textId="2427A291" w:rsidR="00D3732F" w:rsidRDefault="00D3732F" w:rsidP="00D3732F">
            <w:r w:rsidRPr="004D57AC">
              <w:rPr>
                <w:b/>
                <w:sz w:val="22"/>
                <w:szCs w:val="20"/>
              </w:rPr>
              <w:t>Family number</w:t>
            </w:r>
          </w:p>
        </w:tc>
        <w:tc>
          <w:tcPr>
            <w:tcW w:w="1530" w:type="dxa"/>
          </w:tcPr>
          <w:p w14:paraId="5329AB81" w14:textId="6568859B" w:rsidR="00D3732F" w:rsidRPr="00D3732F" w:rsidRDefault="00D3732F" w:rsidP="00D3732F">
            <w:pPr>
              <w:rPr>
                <w:b/>
                <w:sz w:val="22"/>
              </w:rPr>
            </w:pPr>
            <w:r>
              <w:rPr>
                <w:b/>
                <w:sz w:val="22"/>
              </w:rPr>
              <w:t xml:space="preserve">Nominal WFF </w:t>
            </w:r>
            <w:r w:rsidR="002C0FEB">
              <w:rPr>
                <w:b/>
                <w:sz w:val="22"/>
              </w:rPr>
              <w:t xml:space="preserve">weekly </w:t>
            </w:r>
            <w:r>
              <w:rPr>
                <w:b/>
                <w:sz w:val="22"/>
              </w:rPr>
              <w:t>payment y</w:t>
            </w:r>
            <w:r w:rsidRPr="00D3732F">
              <w:rPr>
                <w:b/>
                <w:sz w:val="22"/>
              </w:rPr>
              <w:t>ear</w:t>
            </w:r>
            <w:r w:rsidR="007E19DD">
              <w:rPr>
                <w:b/>
                <w:sz w:val="22"/>
              </w:rPr>
              <w:t>s</w:t>
            </w:r>
            <w:r w:rsidRPr="00D3732F">
              <w:rPr>
                <w:b/>
                <w:sz w:val="22"/>
              </w:rPr>
              <w:t xml:space="preserve"> ending June 2019</w:t>
            </w:r>
            <w:r w:rsidR="007E19DD">
              <w:rPr>
                <w:b/>
                <w:sz w:val="22"/>
              </w:rPr>
              <w:t>, 2020 and 2021</w:t>
            </w:r>
          </w:p>
        </w:tc>
        <w:tc>
          <w:tcPr>
            <w:tcW w:w="2160" w:type="dxa"/>
          </w:tcPr>
          <w:p w14:paraId="6B3A039A" w14:textId="77777777" w:rsidR="00630A4B" w:rsidRDefault="00D3732F" w:rsidP="00630A4B">
            <w:pPr>
              <w:rPr>
                <w:b/>
                <w:sz w:val="22"/>
              </w:rPr>
            </w:pPr>
            <w:r>
              <w:rPr>
                <w:b/>
                <w:sz w:val="22"/>
              </w:rPr>
              <w:t xml:space="preserve">Wage indexed </w:t>
            </w:r>
            <w:r w:rsidR="00630A4B">
              <w:rPr>
                <w:b/>
                <w:sz w:val="22"/>
              </w:rPr>
              <w:t>WFF rate</w:t>
            </w:r>
            <w:r>
              <w:rPr>
                <w:b/>
                <w:sz w:val="22"/>
              </w:rPr>
              <w:t xml:space="preserve"> for y</w:t>
            </w:r>
            <w:r w:rsidRPr="00D3732F">
              <w:rPr>
                <w:b/>
                <w:sz w:val="22"/>
              </w:rPr>
              <w:t>ear ending June 2020</w:t>
            </w:r>
            <w:r w:rsidR="00630A4B">
              <w:rPr>
                <w:b/>
                <w:sz w:val="22"/>
              </w:rPr>
              <w:t xml:space="preserve"> </w:t>
            </w:r>
          </w:p>
          <w:p w14:paraId="00A55832" w14:textId="2440C4F6" w:rsidR="00D3732F" w:rsidRPr="00630A4B" w:rsidRDefault="00630A4B" w:rsidP="00630A4B">
            <w:pPr>
              <w:rPr>
                <w:b/>
                <w:i/>
                <w:sz w:val="22"/>
              </w:rPr>
            </w:pPr>
            <w:r>
              <w:rPr>
                <w:b/>
                <w:i/>
                <w:sz w:val="22"/>
              </w:rPr>
              <w:t>(and difference against nominal rate)</w:t>
            </w:r>
          </w:p>
        </w:tc>
        <w:tc>
          <w:tcPr>
            <w:tcW w:w="2070" w:type="dxa"/>
          </w:tcPr>
          <w:p w14:paraId="136AA83F" w14:textId="77777777" w:rsidR="00630A4B" w:rsidRDefault="00D3732F" w:rsidP="00630A4B">
            <w:pPr>
              <w:rPr>
                <w:b/>
                <w:sz w:val="22"/>
              </w:rPr>
            </w:pPr>
            <w:r>
              <w:rPr>
                <w:b/>
                <w:sz w:val="22"/>
              </w:rPr>
              <w:t>W</w:t>
            </w:r>
            <w:r w:rsidR="00630A4B">
              <w:rPr>
                <w:b/>
                <w:sz w:val="22"/>
              </w:rPr>
              <w:t>age indexed WFF rate</w:t>
            </w:r>
            <w:r>
              <w:rPr>
                <w:b/>
                <w:sz w:val="22"/>
              </w:rPr>
              <w:t xml:space="preserve"> for y</w:t>
            </w:r>
            <w:r w:rsidRPr="00D3732F">
              <w:rPr>
                <w:b/>
                <w:sz w:val="22"/>
              </w:rPr>
              <w:t>ear ending June 2021</w:t>
            </w:r>
            <w:r w:rsidR="00630A4B">
              <w:rPr>
                <w:b/>
                <w:sz w:val="22"/>
              </w:rPr>
              <w:t xml:space="preserve"> </w:t>
            </w:r>
          </w:p>
          <w:p w14:paraId="623531F5" w14:textId="5BC5FC82" w:rsidR="00D3732F" w:rsidRPr="00630A4B" w:rsidRDefault="00630A4B" w:rsidP="00630A4B">
            <w:pPr>
              <w:rPr>
                <w:b/>
                <w:i/>
                <w:sz w:val="22"/>
              </w:rPr>
            </w:pPr>
            <w:r>
              <w:rPr>
                <w:b/>
                <w:i/>
                <w:sz w:val="22"/>
              </w:rPr>
              <w:t>(and difference against nominal rate)</w:t>
            </w:r>
          </w:p>
        </w:tc>
        <w:tc>
          <w:tcPr>
            <w:tcW w:w="1803" w:type="dxa"/>
          </w:tcPr>
          <w:p w14:paraId="2DCA5BE6" w14:textId="1D424173" w:rsidR="00D3732F" w:rsidRPr="00D3732F" w:rsidRDefault="00D3732F" w:rsidP="00630A4B">
            <w:pPr>
              <w:rPr>
                <w:b/>
                <w:sz w:val="22"/>
              </w:rPr>
            </w:pPr>
            <w:r w:rsidRPr="00D3732F">
              <w:rPr>
                <w:b/>
                <w:sz w:val="22"/>
              </w:rPr>
              <w:t xml:space="preserve">Cumulative </w:t>
            </w:r>
            <w:r w:rsidR="002A58BE">
              <w:rPr>
                <w:b/>
                <w:sz w:val="22"/>
              </w:rPr>
              <w:t>total</w:t>
            </w:r>
            <w:r w:rsidR="00630A4B">
              <w:rPr>
                <w:b/>
                <w:sz w:val="22"/>
              </w:rPr>
              <w:t xml:space="preserve"> </w:t>
            </w:r>
            <w:r w:rsidRPr="00D3732F">
              <w:rPr>
                <w:b/>
                <w:sz w:val="22"/>
              </w:rPr>
              <w:t>loss</w:t>
            </w:r>
            <w:r>
              <w:rPr>
                <w:b/>
                <w:sz w:val="22"/>
              </w:rPr>
              <w:t xml:space="preserve"> between Ju</w:t>
            </w:r>
            <w:r w:rsidR="00630A4B">
              <w:rPr>
                <w:b/>
                <w:sz w:val="22"/>
              </w:rPr>
              <w:t>ne 2019</w:t>
            </w:r>
            <w:r>
              <w:rPr>
                <w:b/>
                <w:sz w:val="22"/>
              </w:rPr>
              <w:t xml:space="preserve"> and June 2021 due to lack of wage indexation</w:t>
            </w:r>
          </w:p>
        </w:tc>
      </w:tr>
      <w:tr w:rsidR="00D3732F" w14:paraId="24850BC3" w14:textId="77777777" w:rsidTr="00403527">
        <w:tc>
          <w:tcPr>
            <w:tcW w:w="1350" w:type="dxa"/>
          </w:tcPr>
          <w:p w14:paraId="109DD69B" w14:textId="50702468" w:rsidR="00D3732F" w:rsidRDefault="00D3732F" w:rsidP="00D3732F">
            <w:r w:rsidRPr="004D57AC">
              <w:rPr>
                <w:sz w:val="22"/>
                <w:szCs w:val="20"/>
              </w:rPr>
              <w:t>Family One</w:t>
            </w:r>
            <w:r w:rsidR="00403527">
              <w:rPr>
                <w:sz w:val="22"/>
                <w:szCs w:val="20"/>
              </w:rPr>
              <w:t xml:space="preserve"> (off-b)</w:t>
            </w:r>
          </w:p>
        </w:tc>
        <w:tc>
          <w:tcPr>
            <w:tcW w:w="1530" w:type="dxa"/>
          </w:tcPr>
          <w:p w14:paraId="5FCEF4D1" w14:textId="792CA83E" w:rsidR="00D3732F" w:rsidRDefault="003465CC" w:rsidP="00D3732F">
            <w:r>
              <w:t>$185.54</w:t>
            </w:r>
          </w:p>
        </w:tc>
        <w:tc>
          <w:tcPr>
            <w:tcW w:w="2160" w:type="dxa"/>
          </w:tcPr>
          <w:p w14:paraId="4F0A2E3D" w14:textId="77777777" w:rsidR="00630A4B" w:rsidRDefault="003465CC" w:rsidP="00D3732F">
            <w:r>
              <w:t>$190.54</w:t>
            </w:r>
            <w:r w:rsidR="00630A4B">
              <w:t xml:space="preserve"> </w:t>
            </w:r>
          </w:p>
          <w:p w14:paraId="2192E379" w14:textId="7CA24EEF" w:rsidR="00D3732F" w:rsidRPr="00630A4B" w:rsidRDefault="00630A4B" w:rsidP="00D3732F">
            <w:pPr>
              <w:rPr>
                <w:i/>
              </w:rPr>
            </w:pPr>
            <w:r>
              <w:rPr>
                <w:i/>
              </w:rPr>
              <w:t>($5.00 more p/w)</w:t>
            </w:r>
          </w:p>
        </w:tc>
        <w:tc>
          <w:tcPr>
            <w:tcW w:w="2070" w:type="dxa"/>
          </w:tcPr>
          <w:p w14:paraId="624B219C" w14:textId="77777777" w:rsidR="00630A4B" w:rsidRDefault="003465CC" w:rsidP="00D3732F">
            <w:r>
              <w:t>$199.28</w:t>
            </w:r>
            <w:r w:rsidR="00630A4B">
              <w:t xml:space="preserve"> </w:t>
            </w:r>
          </w:p>
          <w:p w14:paraId="1B2D61DD" w14:textId="7755363C" w:rsidR="00D3732F" w:rsidRPr="00630A4B" w:rsidRDefault="00630A4B" w:rsidP="00D3732F">
            <w:pPr>
              <w:rPr>
                <w:i/>
              </w:rPr>
            </w:pPr>
            <w:r>
              <w:rPr>
                <w:i/>
              </w:rPr>
              <w:t>($13.74 more p/w)</w:t>
            </w:r>
          </w:p>
        </w:tc>
        <w:tc>
          <w:tcPr>
            <w:tcW w:w="1803" w:type="dxa"/>
          </w:tcPr>
          <w:p w14:paraId="37102B02" w14:textId="1B0E9076" w:rsidR="00D3732F" w:rsidRPr="00403527" w:rsidRDefault="003465CC" w:rsidP="00D3732F">
            <w:pPr>
              <w:rPr>
                <w:i/>
                <w:iCs/>
              </w:rPr>
            </w:pPr>
            <w:r w:rsidRPr="00403527">
              <w:rPr>
                <w:i/>
                <w:iCs/>
              </w:rPr>
              <w:t>$974.55</w:t>
            </w:r>
            <w:r w:rsidR="00630A4B" w:rsidRPr="00403527">
              <w:rPr>
                <w:i/>
                <w:iCs/>
              </w:rPr>
              <w:t xml:space="preserve"> </w:t>
            </w:r>
          </w:p>
        </w:tc>
      </w:tr>
      <w:tr w:rsidR="00D3732F" w14:paraId="2E144520" w14:textId="77777777" w:rsidTr="00403527">
        <w:tc>
          <w:tcPr>
            <w:tcW w:w="1350" w:type="dxa"/>
          </w:tcPr>
          <w:p w14:paraId="09FD87EF" w14:textId="3BC28780" w:rsidR="00D3732F" w:rsidRDefault="00D3732F" w:rsidP="00D3732F">
            <w:r w:rsidRPr="004D57AC">
              <w:rPr>
                <w:sz w:val="22"/>
                <w:szCs w:val="20"/>
              </w:rPr>
              <w:t>Family Two</w:t>
            </w:r>
            <w:r w:rsidR="00403527">
              <w:rPr>
                <w:sz w:val="22"/>
                <w:szCs w:val="20"/>
              </w:rPr>
              <w:t xml:space="preserve"> (on-b)</w:t>
            </w:r>
          </w:p>
        </w:tc>
        <w:tc>
          <w:tcPr>
            <w:tcW w:w="1530" w:type="dxa"/>
          </w:tcPr>
          <w:p w14:paraId="1F20F9DB" w14:textId="06D83106" w:rsidR="00D3732F" w:rsidRDefault="00630A4B" w:rsidP="00D3732F">
            <w:r>
              <w:t>$113.04</w:t>
            </w:r>
          </w:p>
        </w:tc>
        <w:tc>
          <w:tcPr>
            <w:tcW w:w="2160" w:type="dxa"/>
          </w:tcPr>
          <w:p w14:paraId="2591D8A8" w14:textId="77777777" w:rsidR="00630A4B" w:rsidRDefault="00630A4B" w:rsidP="00D3732F">
            <w:pPr>
              <w:rPr>
                <w:i/>
              </w:rPr>
            </w:pPr>
            <w:r>
              <w:t>$116.08</w:t>
            </w:r>
            <w:r>
              <w:rPr>
                <w:i/>
              </w:rPr>
              <w:t xml:space="preserve"> </w:t>
            </w:r>
          </w:p>
          <w:p w14:paraId="4F1E1203" w14:textId="562B2265" w:rsidR="00D3732F" w:rsidRPr="00630A4B" w:rsidRDefault="00630A4B" w:rsidP="00D3732F">
            <w:pPr>
              <w:rPr>
                <w:i/>
              </w:rPr>
            </w:pPr>
            <w:r>
              <w:rPr>
                <w:i/>
              </w:rPr>
              <w:t>($3.04 more p/w)</w:t>
            </w:r>
          </w:p>
        </w:tc>
        <w:tc>
          <w:tcPr>
            <w:tcW w:w="2070" w:type="dxa"/>
          </w:tcPr>
          <w:p w14:paraId="476EB575" w14:textId="77777777" w:rsidR="00630A4B" w:rsidRDefault="00630A4B" w:rsidP="00D3732F">
            <w:r>
              <w:t xml:space="preserve">$121.41  </w:t>
            </w:r>
          </w:p>
          <w:p w14:paraId="4FA5D38E" w14:textId="4FD36A50" w:rsidR="00D3732F" w:rsidRPr="00630A4B" w:rsidRDefault="00630A4B" w:rsidP="00D3732F">
            <w:pPr>
              <w:rPr>
                <w:i/>
              </w:rPr>
            </w:pPr>
            <w:r>
              <w:rPr>
                <w:i/>
              </w:rPr>
              <w:t>($8.37 more p/w)</w:t>
            </w:r>
          </w:p>
        </w:tc>
        <w:tc>
          <w:tcPr>
            <w:tcW w:w="1803" w:type="dxa"/>
          </w:tcPr>
          <w:p w14:paraId="27B1DFF4" w14:textId="7B7DF167" w:rsidR="00D3732F" w:rsidRPr="00403527" w:rsidRDefault="00630A4B" w:rsidP="00D3732F">
            <w:pPr>
              <w:rPr>
                <w:i/>
                <w:iCs/>
              </w:rPr>
            </w:pPr>
            <w:r w:rsidRPr="00403527">
              <w:rPr>
                <w:i/>
                <w:iCs/>
              </w:rPr>
              <w:t>$593.75</w:t>
            </w:r>
          </w:p>
        </w:tc>
      </w:tr>
      <w:tr w:rsidR="00D3732F" w14:paraId="7132E879" w14:textId="77777777" w:rsidTr="00403527">
        <w:tc>
          <w:tcPr>
            <w:tcW w:w="1350" w:type="dxa"/>
          </w:tcPr>
          <w:p w14:paraId="70296AB0" w14:textId="261A4A19" w:rsidR="00D3732F" w:rsidRDefault="00D3732F" w:rsidP="00D3732F">
            <w:r w:rsidRPr="004D57AC">
              <w:rPr>
                <w:sz w:val="22"/>
                <w:szCs w:val="20"/>
              </w:rPr>
              <w:t>Family Three</w:t>
            </w:r>
            <w:r w:rsidR="00403527">
              <w:rPr>
                <w:sz w:val="22"/>
                <w:szCs w:val="20"/>
              </w:rPr>
              <w:t xml:space="preserve"> </w:t>
            </w:r>
            <w:r w:rsidR="00403527">
              <w:rPr>
                <w:sz w:val="22"/>
                <w:szCs w:val="20"/>
              </w:rPr>
              <w:br/>
              <w:t>(off-b)</w:t>
            </w:r>
          </w:p>
        </w:tc>
        <w:tc>
          <w:tcPr>
            <w:tcW w:w="1530" w:type="dxa"/>
          </w:tcPr>
          <w:p w14:paraId="5AACAD79" w14:textId="67BD39F8" w:rsidR="00D3732F" w:rsidRDefault="00630A4B" w:rsidP="00D3732F">
            <w:r>
              <w:t>$368.04</w:t>
            </w:r>
          </w:p>
        </w:tc>
        <w:tc>
          <w:tcPr>
            <w:tcW w:w="2160" w:type="dxa"/>
          </w:tcPr>
          <w:p w14:paraId="1D921F5F" w14:textId="77777777" w:rsidR="00CD6F0C" w:rsidRDefault="00630A4B" w:rsidP="00D3732F">
            <w:r>
              <w:t>$</w:t>
            </w:r>
            <w:r w:rsidR="00CD6F0C">
              <w:t xml:space="preserve">377.95 </w:t>
            </w:r>
          </w:p>
          <w:p w14:paraId="2D87D46C" w14:textId="09CA30E5" w:rsidR="00D3732F" w:rsidRPr="00CD6F0C" w:rsidRDefault="00CD6F0C" w:rsidP="00D3732F">
            <w:pPr>
              <w:rPr>
                <w:i/>
              </w:rPr>
            </w:pPr>
            <w:r>
              <w:rPr>
                <w:i/>
              </w:rPr>
              <w:t>($9.91 more p/w)</w:t>
            </w:r>
          </w:p>
        </w:tc>
        <w:tc>
          <w:tcPr>
            <w:tcW w:w="2070" w:type="dxa"/>
          </w:tcPr>
          <w:p w14:paraId="17D59337" w14:textId="77777777" w:rsidR="00CD6F0C" w:rsidRDefault="00CD6F0C" w:rsidP="00D3732F">
            <w:r>
              <w:t xml:space="preserve">$395.30 </w:t>
            </w:r>
          </w:p>
          <w:p w14:paraId="4EED086D" w14:textId="777D50CF" w:rsidR="00D3732F" w:rsidRPr="00CD6F0C" w:rsidRDefault="00CD6F0C" w:rsidP="00D3732F">
            <w:pPr>
              <w:rPr>
                <w:i/>
              </w:rPr>
            </w:pPr>
            <w:r>
              <w:rPr>
                <w:i/>
              </w:rPr>
              <w:t>($27.26 more p/w)</w:t>
            </w:r>
          </w:p>
        </w:tc>
        <w:tc>
          <w:tcPr>
            <w:tcW w:w="1803" w:type="dxa"/>
          </w:tcPr>
          <w:p w14:paraId="76692B97" w14:textId="394AC995" w:rsidR="00D3732F" w:rsidRPr="00403527" w:rsidRDefault="00CD6F0C" w:rsidP="00D3732F">
            <w:pPr>
              <w:rPr>
                <w:i/>
                <w:iCs/>
              </w:rPr>
            </w:pPr>
            <w:r w:rsidRPr="00403527">
              <w:rPr>
                <w:i/>
                <w:iCs/>
              </w:rPr>
              <w:t>$1,933.14</w:t>
            </w:r>
          </w:p>
        </w:tc>
      </w:tr>
      <w:tr w:rsidR="00D3732F" w14:paraId="69CCE85E" w14:textId="77777777" w:rsidTr="00403527">
        <w:tc>
          <w:tcPr>
            <w:tcW w:w="1350" w:type="dxa"/>
          </w:tcPr>
          <w:p w14:paraId="15580F9C" w14:textId="77777777" w:rsidR="00D3732F" w:rsidRDefault="00D3732F" w:rsidP="00D3732F">
            <w:pPr>
              <w:rPr>
                <w:sz w:val="22"/>
                <w:szCs w:val="20"/>
              </w:rPr>
            </w:pPr>
            <w:r w:rsidRPr="004D57AC">
              <w:rPr>
                <w:sz w:val="22"/>
                <w:szCs w:val="20"/>
              </w:rPr>
              <w:t>Family Four</w:t>
            </w:r>
          </w:p>
          <w:p w14:paraId="0B1E488D" w14:textId="6E5B8EA3" w:rsidR="00403527" w:rsidRDefault="00403527" w:rsidP="00D3732F">
            <w:r>
              <w:rPr>
                <w:sz w:val="22"/>
                <w:szCs w:val="20"/>
              </w:rPr>
              <w:t>(on-b)</w:t>
            </w:r>
          </w:p>
        </w:tc>
        <w:tc>
          <w:tcPr>
            <w:tcW w:w="1530" w:type="dxa"/>
          </w:tcPr>
          <w:p w14:paraId="490D5734" w14:textId="567E61DC" w:rsidR="00D3732F" w:rsidRDefault="00F448DE" w:rsidP="00D3732F">
            <w:r>
              <w:t>$295.54</w:t>
            </w:r>
          </w:p>
        </w:tc>
        <w:tc>
          <w:tcPr>
            <w:tcW w:w="2160" w:type="dxa"/>
          </w:tcPr>
          <w:p w14:paraId="6B993CC2" w14:textId="77777777" w:rsidR="00F448DE" w:rsidRDefault="00F448DE" w:rsidP="00D3732F">
            <w:r>
              <w:t xml:space="preserve">$303.50 </w:t>
            </w:r>
          </w:p>
          <w:p w14:paraId="1FD73970" w14:textId="70BCC0DB" w:rsidR="00D3732F" w:rsidRPr="00F448DE" w:rsidRDefault="00F448DE" w:rsidP="00D3732F">
            <w:pPr>
              <w:rPr>
                <w:i/>
              </w:rPr>
            </w:pPr>
            <w:r>
              <w:rPr>
                <w:i/>
              </w:rPr>
              <w:t>($7.96 more p/w)</w:t>
            </w:r>
          </w:p>
        </w:tc>
        <w:tc>
          <w:tcPr>
            <w:tcW w:w="2070" w:type="dxa"/>
          </w:tcPr>
          <w:p w14:paraId="16E41E10" w14:textId="77777777" w:rsidR="00D3732F" w:rsidRDefault="00F448DE" w:rsidP="00D3732F">
            <w:r>
              <w:t xml:space="preserve">$317.43 </w:t>
            </w:r>
          </w:p>
          <w:p w14:paraId="1EC34579" w14:textId="12EDA958" w:rsidR="00F448DE" w:rsidRPr="00F448DE" w:rsidRDefault="00F448DE" w:rsidP="00D3732F">
            <w:pPr>
              <w:rPr>
                <w:i/>
              </w:rPr>
            </w:pPr>
            <w:r>
              <w:rPr>
                <w:i/>
              </w:rPr>
              <w:t>($21.89 more p/w)</w:t>
            </w:r>
          </w:p>
        </w:tc>
        <w:tc>
          <w:tcPr>
            <w:tcW w:w="1803" w:type="dxa"/>
          </w:tcPr>
          <w:p w14:paraId="444CE6E2" w14:textId="4A9876D7" w:rsidR="00D3732F" w:rsidRPr="00403527" w:rsidRDefault="00F448DE" w:rsidP="00D3732F">
            <w:pPr>
              <w:rPr>
                <w:i/>
                <w:iCs/>
              </w:rPr>
            </w:pPr>
            <w:r w:rsidRPr="00403527">
              <w:rPr>
                <w:i/>
                <w:iCs/>
              </w:rPr>
              <w:t>$1,552.33</w:t>
            </w:r>
          </w:p>
        </w:tc>
      </w:tr>
      <w:tr w:rsidR="00D3732F" w14:paraId="67E60B38" w14:textId="77777777" w:rsidTr="00403527">
        <w:tc>
          <w:tcPr>
            <w:tcW w:w="1350" w:type="dxa"/>
          </w:tcPr>
          <w:p w14:paraId="4B8D1D0B" w14:textId="6C1F6EAB" w:rsidR="00D3732F" w:rsidRDefault="00D3732F" w:rsidP="00D3732F">
            <w:r w:rsidRPr="004D57AC">
              <w:rPr>
                <w:sz w:val="22"/>
                <w:szCs w:val="20"/>
              </w:rPr>
              <w:t>Family Five</w:t>
            </w:r>
            <w:r w:rsidR="00403527">
              <w:rPr>
                <w:sz w:val="22"/>
                <w:szCs w:val="20"/>
              </w:rPr>
              <w:br/>
              <w:t>(off-b)</w:t>
            </w:r>
          </w:p>
        </w:tc>
        <w:tc>
          <w:tcPr>
            <w:tcW w:w="1530" w:type="dxa"/>
          </w:tcPr>
          <w:p w14:paraId="74FB54FB" w14:textId="796A266D" w:rsidR="00D3732F" w:rsidRDefault="00DC1CA2" w:rsidP="00D3732F">
            <w:r>
              <w:t>$708.58</w:t>
            </w:r>
          </w:p>
        </w:tc>
        <w:tc>
          <w:tcPr>
            <w:tcW w:w="2160" w:type="dxa"/>
          </w:tcPr>
          <w:p w14:paraId="43993DF3" w14:textId="77777777" w:rsidR="00DC1CA2" w:rsidRDefault="00DC1CA2" w:rsidP="00D3732F">
            <w:r>
              <w:t xml:space="preserve">$727.67 </w:t>
            </w:r>
          </w:p>
          <w:p w14:paraId="68F82488" w14:textId="68EA6865" w:rsidR="00D3732F" w:rsidRPr="00DC1CA2" w:rsidRDefault="00DC1CA2" w:rsidP="00D3732F">
            <w:pPr>
              <w:rPr>
                <w:i/>
              </w:rPr>
            </w:pPr>
            <w:r>
              <w:rPr>
                <w:i/>
              </w:rPr>
              <w:t>(19.09 more p/w)</w:t>
            </w:r>
          </w:p>
        </w:tc>
        <w:tc>
          <w:tcPr>
            <w:tcW w:w="2070" w:type="dxa"/>
          </w:tcPr>
          <w:p w14:paraId="30FEB495" w14:textId="77777777" w:rsidR="00DC1CA2" w:rsidRDefault="00DC1CA2" w:rsidP="00D3732F">
            <w:r>
              <w:t xml:space="preserve">$761.07 </w:t>
            </w:r>
          </w:p>
          <w:p w14:paraId="129E5F48" w14:textId="366290EB" w:rsidR="00D3732F" w:rsidRPr="00DC1CA2" w:rsidRDefault="00DC1CA2" w:rsidP="00D3732F">
            <w:pPr>
              <w:rPr>
                <w:i/>
              </w:rPr>
            </w:pPr>
            <w:r>
              <w:rPr>
                <w:i/>
              </w:rPr>
              <w:t>($52.49 more p/w)</w:t>
            </w:r>
          </w:p>
        </w:tc>
        <w:tc>
          <w:tcPr>
            <w:tcW w:w="1803" w:type="dxa"/>
          </w:tcPr>
          <w:p w14:paraId="60BA19E2" w14:textId="632913D0" w:rsidR="00D3732F" w:rsidRPr="00403527" w:rsidRDefault="00DC1CA2" w:rsidP="00D3732F">
            <w:pPr>
              <w:rPr>
                <w:i/>
                <w:iCs/>
              </w:rPr>
            </w:pPr>
            <w:r w:rsidRPr="00403527">
              <w:rPr>
                <w:i/>
                <w:iCs/>
              </w:rPr>
              <w:t>$3,721.83</w:t>
            </w:r>
          </w:p>
        </w:tc>
      </w:tr>
      <w:tr w:rsidR="00D3732F" w14:paraId="1C2A5C2E" w14:textId="77777777" w:rsidTr="00403527">
        <w:trPr>
          <w:trHeight w:val="350"/>
        </w:trPr>
        <w:tc>
          <w:tcPr>
            <w:tcW w:w="1350" w:type="dxa"/>
          </w:tcPr>
          <w:p w14:paraId="378BA1EB" w14:textId="078EE368" w:rsidR="00D3732F" w:rsidRDefault="00D3732F" w:rsidP="00D3732F">
            <w:r w:rsidRPr="004D57AC">
              <w:rPr>
                <w:sz w:val="22"/>
                <w:szCs w:val="20"/>
              </w:rPr>
              <w:t>Family Six</w:t>
            </w:r>
            <w:r w:rsidR="00403527">
              <w:rPr>
                <w:sz w:val="22"/>
                <w:szCs w:val="20"/>
              </w:rPr>
              <w:t xml:space="preserve"> (on-b)</w:t>
            </w:r>
          </w:p>
        </w:tc>
        <w:tc>
          <w:tcPr>
            <w:tcW w:w="1530" w:type="dxa"/>
          </w:tcPr>
          <w:p w14:paraId="7F496318" w14:textId="4DBF5ADF" w:rsidR="00D3732F" w:rsidRDefault="00DC1CA2" w:rsidP="00D3732F">
            <w:r>
              <w:t xml:space="preserve">$591.08 </w:t>
            </w:r>
          </w:p>
        </w:tc>
        <w:tc>
          <w:tcPr>
            <w:tcW w:w="2160" w:type="dxa"/>
          </w:tcPr>
          <w:p w14:paraId="561EC78D" w14:textId="77777777" w:rsidR="00DC1CA2" w:rsidRDefault="00DC1CA2" w:rsidP="00D3732F">
            <w:r>
              <w:t xml:space="preserve">$607.00 </w:t>
            </w:r>
          </w:p>
          <w:p w14:paraId="3D6B844F" w14:textId="75DA4349" w:rsidR="00D3732F" w:rsidRPr="00DC1CA2" w:rsidRDefault="00DC1CA2" w:rsidP="00D3732F">
            <w:pPr>
              <w:rPr>
                <w:i/>
              </w:rPr>
            </w:pPr>
            <w:r>
              <w:rPr>
                <w:i/>
              </w:rPr>
              <w:t>($15.92 more p/w)</w:t>
            </w:r>
          </w:p>
        </w:tc>
        <w:tc>
          <w:tcPr>
            <w:tcW w:w="2070" w:type="dxa"/>
          </w:tcPr>
          <w:p w14:paraId="6CBF3AFF" w14:textId="6A01F19C" w:rsidR="00DC1CA2" w:rsidRPr="00DC1CA2" w:rsidRDefault="00DC1CA2" w:rsidP="00D3732F">
            <w:r>
              <w:t>$634.86</w:t>
            </w:r>
          </w:p>
          <w:p w14:paraId="60BF9673" w14:textId="2F586248" w:rsidR="00D3732F" w:rsidRPr="00DC1CA2" w:rsidRDefault="00DC1CA2" w:rsidP="00D3732F">
            <w:pPr>
              <w:rPr>
                <w:i/>
              </w:rPr>
            </w:pPr>
            <w:r>
              <w:rPr>
                <w:i/>
              </w:rPr>
              <w:t>($43.78 more p/w)</w:t>
            </w:r>
          </w:p>
        </w:tc>
        <w:tc>
          <w:tcPr>
            <w:tcW w:w="1803" w:type="dxa"/>
          </w:tcPr>
          <w:p w14:paraId="30FBAC1F" w14:textId="072B7621" w:rsidR="00D3732F" w:rsidRPr="00403527" w:rsidRDefault="00DC1CA2" w:rsidP="00D3732F">
            <w:pPr>
              <w:rPr>
                <w:i/>
                <w:iCs/>
              </w:rPr>
            </w:pPr>
            <w:r w:rsidRPr="00403527">
              <w:rPr>
                <w:i/>
                <w:iCs/>
              </w:rPr>
              <w:t>$3,104.66</w:t>
            </w:r>
          </w:p>
        </w:tc>
      </w:tr>
    </w:tbl>
    <w:p w14:paraId="2991DEC0" w14:textId="77777777" w:rsidR="00D3732F" w:rsidRDefault="00D3732F" w:rsidP="00971F84"/>
    <w:p w14:paraId="3B4385AE" w14:textId="37042D43" w:rsidR="00C048FC" w:rsidRDefault="00C048FC" w:rsidP="00E42894">
      <w:r>
        <w:t>Hence our recommendation:</w:t>
      </w:r>
    </w:p>
    <w:p w14:paraId="36492EDE" w14:textId="461EDB75" w:rsidR="00C048FC" w:rsidRDefault="00C048FC" w:rsidP="001C0F22">
      <w:pPr>
        <w:pStyle w:val="ListParagraph"/>
        <w:spacing w:after="120"/>
        <w:contextualSpacing w:val="0"/>
      </w:pPr>
      <w:r>
        <w:t>I</w:t>
      </w:r>
      <w:r w:rsidRPr="00C739A6">
        <w:t>ndex annually all Working for Families payments to wages, as is done for NZ Super</w:t>
      </w:r>
      <w:r w:rsidR="004D57AC">
        <w:t>-</w:t>
      </w:r>
      <w:proofErr w:type="spellStart"/>
      <w:r w:rsidRPr="00C739A6">
        <w:t>annuation</w:t>
      </w:r>
      <w:proofErr w:type="spellEnd"/>
      <w:r w:rsidRPr="00C739A6">
        <w:t xml:space="preserve"> and benefits, </w:t>
      </w:r>
      <w:proofErr w:type="gramStart"/>
      <w:r w:rsidRPr="00C739A6">
        <w:t>in order to</w:t>
      </w:r>
      <w:proofErr w:type="gramEnd"/>
      <w:r w:rsidRPr="00C739A6">
        <w:t xml:space="preserve"> prevent ongoing erosion of income support for children.</w:t>
      </w:r>
    </w:p>
    <w:p w14:paraId="45811A5D" w14:textId="77777777" w:rsidR="00403527" w:rsidRDefault="00403527" w:rsidP="004D57AC">
      <w:pPr>
        <w:spacing w:after="120"/>
        <w:rPr>
          <w:b/>
        </w:rPr>
      </w:pPr>
    </w:p>
    <w:p w14:paraId="66F7F18F" w14:textId="3812D4F9" w:rsidR="00E42894" w:rsidRPr="00C739A6" w:rsidRDefault="00E42894" w:rsidP="004D57AC">
      <w:pPr>
        <w:spacing w:after="120"/>
        <w:rPr>
          <w:b/>
        </w:rPr>
      </w:pPr>
      <w:r w:rsidRPr="00C739A6">
        <w:rPr>
          <w:b/>
        </w:rPr>
        <w:lastRenderedPageBreak/>
        <w:t>Those children living in households receiving main benefits continue to be left further behind.</w:t>
      </w:r>
    </w:p>
    <w:p w14:paraId="00BB2CDA" w14:textId="4F83AEC7" w:rsidR="002A2627" w:rsidRPr="00C739A6" w:rsidRDefault="00E42894" w:rsidP="004D57AC">
      <w:pPr>
        <w:spacing w:after="120"/>
      </w:pPr>
      <w:r w:rsidRPr="00C739A6">
        <w:t xml:space="preserve">As CPAG has long argued, tying a payment for children to an attempted paid-work incentive is discriminatory and unjust (Dale et al., 2010; St John, 2012, 2020). Despite the removal of the minimum number of paid-work hours requirement for the </w:t>
      </w:r>
      <w:r w:rsidR="00FA19EE" w:rsidRPr="00C739A6">
        <w:t>IWTC</w:t>
      </w:r>
      <w:r w:rsidRPr="00C739A6">
        <w:t xml:space="preserve"> in response to Covid-19 (</w:t>
      </w:r>
      <w:r w:rsidR="00314148">
        <w:t>IRD</w:t>
      </w:r>
      <w:r w:rsidRPr="00C739A6">
        <w:t xml:space="preserve">, 2021e), families must still have “some income from paid work each week” </w:t>
      </w:r>
      <w:proofErr w:type="gramStart"/>
      <w:r w:rsidRPr="00C739A6">
        <w:t>in order to</w:t>
      </w:r>
      <w:proofErr w:type="gramEnd"/>
      <w:r w:rsidRPr="00C739A6">
        <w:t xml:space="preserve"> be eligible, and they must not be receiving an income-tested benefit (</w:t>
      </w:r>
      <w:r w:rsidR="00314148">
        <w:t>IRD</w:t>
      </w:r>
      <w:r w:rsidRPr="00C739A6">
        <w:t xml:space="preserve">, 2021c). As Figures </w:t>
      </w:r>
      <w:r w:rsidR="007957F5">
        <w:t>9</w:t>
      </w:r>
      <w:r w:rsidRPr="00C739A6">
        <w:t xml:space="preserve">, </w:t>
      </w:r>
      <w:r w:rsidR="007957F5">
        <w:t>10</w:t>
      </w:r>
      <w:r w:rsidRPr="00C739A6">
        <w:t xml:space="preserve"> and </w:t>
      </w:r>
      <w:r w:rsidR="007957F5">
        <w:t>11</w:t>
      </w:r>
      <w:r w:rsidRPr="00C739A6">
        <w:t xml:space="preserve"> illustrate, this has resulted in a significant and persistent disparity in the level of income support for children in households receiving income-tested benefits</w:t>
      </w:r>
      <w:r w:rsidR="00BA0354" w:rsidRPr="00C739A6">
        <w:t xml:space="preserve"> (</w:t>
      </w:r>
      <w:r w:rsidRPr="00C739A6">
        <w:t>or</w:t>
      </w:r>
      <w:r w:rsidR="00BA0354" w:rsidRPr="00C739A6">
        <w:t>ange lines</w:t>
      </w:r>
      <w:r w:rsidRPr="00C739A6">
        <w:t xml:space="preserve">), and other low-income children (blue lines). </w:t>
      </w:r>
    </w:p>
    <w:p w14:paraId="328FE968" w14:textId="772EA4B3" w:rsidR="00731E35" w:rsidRPr="00C739A6" w:rsidRDefault="00E42894" w:rsidP="00D3732F">
      <w:pPr>
        <w:rPr>
          <w:b/>
        </w:rPr>
      </w:pPr>
      <w:r w:rsidRPr="00C739A6">
        <w:t>This differential rate for those in and out of paid work is unjustified</w:t>
      </w:r>
      <w:r w:rsidR="00050B0E" w:rsidRPr="00C739A6">
        <w:t xml:space="preserve">. Moreover, many families in paid work also miss out on IWTC because </w:t>
      </w:r>
      <w:proofErr w:type="gramStart"/>
      <w:r w:rsidR="00050B0E" w:rsidRPr="00C739A6">
        <w:t>they’re</w:t>
      </w:r>
      <w:proofErr w:type="gramEnd"/>
      <w:r w:rsidR="00050B0E" w:rsidRPr="00C739A6">
        <w:t xml:space="preserve"> receiving benefits</w:t>
      </w:r>
      <w:r w:rsidR="00CB6561">
        <w:t xml:space="preserve"> as well as being in paid part-time employment</w:t>
      </w:r>
      <w:r w:rsidR="002A2627" w:rsidRPr="00C739A6">
        <w:t xml:space="preserve">. </w:t>
      </w:r>
      <w:r w:rsidR="00050B0E" w:rsidRPr="00C739A6">
        <w:t xml:space="preserve">In addition, </w:t>
      </w:r>
      <w:r w:rsidR="004D57AC">
        <w:t xml:space="preserve">partially thanks to </w:t>
      </w:r>
      <w:r w:rsidR="00050B0E" w:rsidRPr="00C739A6">
        <w:t xml:space="preserve">the </w:t>
      </w:r>
      <w:r w:rsidRPr="00C739A6">
        <w:t>recent increases in the minimum wage</w:t>
      </w:r>
      <w:r w:rsidR="004D57AC">
        <w:t>,</w:t>
      </w:r>
      <w:r w:rsidR="00050B0E" w:rsidRPr="00C739A6">
        <w:t xml:space="preserve"> </w:t>
      </w:r>
      <w:proofErr w:type="gramStart"/>
      <w:r w:rsidR="00050B0E" w:rsidRPr="00C739A6">
        <w:t>there’s</w:t>
      </w:r>
      <w:proofErr w:type="gramEnd"/>
      <w:r w:rsidR="00050B0E" w:rsidRPr="00C739A6">
        <w:t xml:space="preserve"> a</w:t>
      </w:r>
      <w:r w:rsidR="006B44FB" w:rsidRPr="00C739A6">
        <w:t xml:space="preserve"> </w:t>
      </w:r>
      <w:r w:rsidRPr="00C739A6">
        <w:t xml:space="preserve">substantial gap </w:t>
      </w:r>
      <w:r w:rsidR="00050B0E" w:rsidRPr="00C739A6">
        <w:t xml:space="preserve">between paid work and benefit-only income, </w:t>
      </w:r>
      <w:r w:rsidRPr="00C739A6">
        <w:t xml:space="preserve">even if the </w:t>
      </w:r>
      <w:r w:rsidR="00FA19EE" w:rsidRPr="00C739A6">
        <w:t>IWTC</w:t>
      </w:r>
      <w:r w:rsidRPr="00C739A6">
        <w:t xml:space="preserve"> were extended to all families</w:t>
      </w:r>
      <w:r w:rsidR="002A2627" w:rsidRPr="00C739A6">
        <w:t xml:space="preserve"> </w:t>
      </w:r>
      <w:r w:rsidR="002A2627" w:rsidRPr="00CB6561">
        <w:t>(McAllister</w:t>
      </w:r>
      <w:r w:rsidR="00050B0E" w:rsidRPr="00CB6561">
        <w:t xml:space="preserve"> &amp; St John</w:t>
      </w:r>
      <w:r w:rsidR="002A2627" w:rsidRPr="00CB6561">
        <w:t xml:space="preserve">, </w:t>
      </w:r>
      <w:r w:rsidR="00050B0E" w:rsidRPr="00CB6561">
        <w:t>forthcoming</w:t>
      </w:r>
      <w:r w:rsidR="002A2627" w:rsidRPr="00CB6561">
        <w:t>)</w:t>
      </w:r>
      <w:r w:rsidRPr="00CB6561">
        <w:t>.</w:t>
      </w:r>
      <w:r w:rsidR="00CF0AB3" w:rsidRPr="00C739A6">
        <w:t xml:space="preserve"> Further, </w:t>
      </w:r>
      <w:r w:rsidR="002A2627" w:rsidRPr="00C739A6">
        <w:t>the fallout of Covid-19 means more children are living in main benefit-receiving households</w:t>
      </w:r>
      <w:r w:rsidR="00C302B2" w:rsidRPr="00C739A6">
        <w:t>.</w:t>
      </w:r>
      <w:r w:rsidR="002A2627" w:rsidRPr="00C739A6">
        <w:t xml:space="preserve"> </w:t>
      </w:r>
      <w:r w:rsidR="00EA0E0B" w:rsidRPr="00C739A6">
        <w:t>W</w:t>
      </w:r>
      <w:r w:rsidR="002A2627" w:rsidRPr="00C739A6">
        <w:t xml:space="preserve">ith 23,800 more </w:t>
      </w:r>
      <w:r w:rsidR="00EA0E0B" w:rsidRPr="00C739A6">
        <w:t xml:space="preserve">children in benefit-receiving households </w:t>
      </w:r>
      <w:r w:rsidR="002A2627" w:rsidRPr="00C739A6">
        <w:t>in December 2020 than in December 2019</w:t>
      </w:r>
      <w:r w:rsidR="00C302B2" w:rsidRPr="00C739A6">
        <w:t xml:space="preserve"> (</w:t>
      </w:r>
      <w:r w:rsidR="00314148">
        <w:t>MSD</w:t>
      </w:r>
      <w:r w:rsidR="00C302B2" w:rsidRPr="00C739A6">
        <w:t xml:space="preserve">, </w:t>
      </w:r>
      <w:r w:rsidR="006C72D7" w:rsidRPr="00C739A6">
        <w:t>2021</w:t>
      </w:r>
      <w:r w:rsidR="00C302B2" w:rsidRPr="00C739A6">
        <w:t>)</w:t>
      </w:r>
      <w:r w:rsidR="002A2627" w:rsidRPr="00C739A6">
        <w:t xml:space="preserve">, </w:t>
      </w:r>
      <w:r w:rsidR="00EA0E0B" w:rsidRPr="00C739A6">
        <w:t xml:space="preserve">there is even greater urgency to close this discriminatory gap between those </w:t>
      </w:r>
      <w:r w:rsidR="00050B0E" w:rsidRPr="00C739A6">
        <w:t xml:space="preserve">in </w:t>
      </w:r>
      <w:r w:rsidR="00EA0E0B" w:rsidRPr="00C739A6">
        <w:t>benefit-receiving households</w:t>
      </w:r>
      <w:r w:rsidR="00D4635B" w:rsidRPr="00C739A6">
        <w:t xml:space="preserve">, and other low-income children, </w:t>
      </w:r>
      <w:proofErr w:type="gramStart"/>
      <w:r w:rsidR="00D4635B" w:rsidRPr="00C739A6">
        <w:t>in order to</w:t>
      </w:r>
      <w:proofErr w:type="gramEnd"/>
      <w:r w:rsidR="00D4635B" w:rsidRPr="00C739A6">
        <w:t xml:space="preserve"> address child poverty in </w:t>
      </w:r>
      <w:r w:rsidR="001B148A">
        <w:t>NZ</w:t>
      </w:r>
      <w:r w:rsidR="00D4635B" w:rsidRPr="00C739A6">
        <w:t xml:space="preserve">. </w:t>
      </w:r>
    </w:p>
    <w:p w14:paraId="30CBCA68" w14:textId="159ABFA9" w:rsidR="0061475A" w:rsidRPr="00C739A6" w:rsidRDefault="00BA1306" w:rsidP="002C401C">
      <w:pPr>
        <w:pStyle w:val="Heading1"/>
        <w:tabs>
          <w:tab w:val="left" w:pos="3434"/>
        </w:tabs>
      </w:pPr>
      <w:bookmarkStart w:id="39" w:name="_Toc66785675"/>
      <w:r w:rsidRPr="00C739A6">
        <w:t>Conclusion</w:t>
      </w:r>
      <w:bookmarkEnd w:id="39"/>
      <w:r w:rsidR="009638DC">
        <w:tab/>
      </w:r>
    </w:p>
    <w:p w14:paraId="45240049" w14:textId="6CB45612" w:rsidR="001E58FC" w:rsidRPr="00C739A6" w:rsidRDefault="00311110" w:rsidP="00311110">
      <w:r w:rsidRPr="00C739A6">
        <w:t>Income support for children is an investment in our future (Welfare Ex</w:t>
      </w:r>
      <w:r w:rsidR="00A81BF3" w:rsidRPr="00C739A6">
        <w:t>pert Advisory Group, 2018). A</w:t>
      </w:r>
      <w:r w:rsidRPr="00C739A6">
        <w:t xml:space="preserve">s such, </w:t>
      </w:r>
      <w:r w:rsidR="001E58FC" w:rsidRPr="00C739A6">
        <w:t xml:space="preserve">WFF </w:t>
      </w:r>
      <w:r w:rsidRPr="00C739A6">
        <w:t>payments</w:t>
      </w:r>
      <w:r w:rsidR="001E58FC" w:rsidRPr="00C739A6">
        <w:t xml:space="preserve"> – which are payments for children – must </w:t>
      </w:r>
      <w:r w:rsidRPr="00C739A6">
        <w:t xml:space="preserve">be </w:t>
      </w:r>
      <w:r w:rsidR="00A81BF3" w:rsidRPr="00C739A6">
        <w:t>adequate and accessible,</w:t>
      </w:r>
      <w:r w:rsidRPr="00C739A6">
        <w:t xml:space="preserve"> so that all </w:t>
      </w:r>
      <w:r w:rsidR="00A81BF3" w:rsidRPr="00C739A6">
        <w:t>are</w:t>
      </w:r>
      <w:r w:rsidRPr="00C739A6">
        <w:t xml:space="preserve"> able to flourish, regardless of the socioeconomic status of the</w:t>
      </w:r>
      <w:r w:rsidR="00050B0E" w:rsidRPr="00C739A6">
        <w:t>ir</w:t>
      </w:r>
      <w:r w:rsidRPr="00C739A6">
        <w:t xml:space="preserve"> family. </w:t>
      </w:r>
      <w:r w:rsidR="001E58FC" w:rsidRPr="00C739A6">
        <w:t xml:space="preserve">At present, the value of WFF payments and abatement threshold are left to erode; only the </w:t>
      </w:r>
      <w:r w:rsidR="00150E40" w:rsidRPr="00C739A6">
        <w:t>FTC</w:t>
      </w:r>
      <w:r w:rsidR="001E58FC" w:rsidRPr="00C739A6">
        <w:t xml:space="preserve"> is indexed, and this</w:t>
      </w:r>
      <w:r w:rsidR="001B3AB9" w:rsidRPr="00C739A6">
        <w:t xml:space="preserve"> </w:t>
      </w:r>
      <w:r w:rsidR="001E58FC" w:rsidRPr="00C739A6">
        <w:t xml:space="preserve">increases </w:t>
      </w:r>
      <w:r w:rsidR="00EE2FF1" w:rsidRPr="00C739A6">
        <w:t xml:space="preserve">only </w:t>
      </w:r>
      <w:r w:rsidR="001E58FC" w:rsidRPr="00C739A6">
        <w:t xml:space="preserve">when the CPI exceeds a 5% threshold. All other changes to WFF rates and the abatement threshold have been ad hoc. </w:t>
      </w:r>
    </w:p>
    <w:p w14:paraId="78CEBBDE" w14:textId="10F8F6DE" w:rsidR="00311110" w:rsidRPr="00C739A6" w:rsidRDefault="001E58FC" w:rsidP="00311110">
      <w:r w:rsidRPr="00C739A6">
        <w:t>I</w:t>
      </w:r>
      <w:r w:rsidR="00DB1F9A" w:rsidRPr="00C739A6">
        <w:t xml:space="preserve">n line with </w:t>
      </w:r>
      <w:r w:rsidR="00BA28CC" w:rsidRPr="00C739A6">
        <w:t>NZ</w:t>
      </w:r>
      <w:r w:rsidR="00257A86">
        <w:t xml:space="preserve"> </w:t>
      </w:r>
      <w:r w:rsidR="00BA28CC" w:rsidRPr="00C739A6">
        <w:t>S</w:t>
      </w:r>
      <w:r w:rsidR="00257A86">
        <w:t>uperannuation</w:t>
      </w:r>
      <w:r w:rsidR="00DB1F9A" w:rsidRPr="00C739A6">
        <w:t xml:space="preserve"> – </w:t>
      </w:r>
      <w:r w:rsidRPr="00C739A6">
        <w:t>which is a succes</w:t>
      </w:r>
      <w:r w:rsidR="00F6027F" w:rsidRPr="00C739A6">
        <w:t>sful antipoverty tool for the elderly</w:t>
      </w:r>
      <w:r w:rsidR="00AC670B" w:rsidRPr="00C739A6">
        <w:t>,</w:t>
      </w:r>
      <w:r w:rsidRPr="00C739A6">
        <w:t xml:space="preserve"> in large part because it is linked to wages (Perry, 2019, pp. 182) – and in line with the </w:t>
      </w:r>
      <w:r w:rsidR="00DB1F9A" w:rsidRPr="00C739A6">
        <w:t xml:space="preserve">recent </w:t>
      </w:r>
      <w:r w:rsidRPr="00C739A6">
        <w:t>indexation of core benefits</w:t>
      </w:r>
      <w:r w:rsidR="00DB1F9A" w:rsidRPr="00C739A6">
        <w:t>,</w:t>
      </w:r>
      <w:r w:rsidRPr="00C739A6">
        <w:t xml:space="preserve"> WFF should be indexed to wages. </w:t>
      </w:r>
      <w:r w:rsidR="00257A86">
        <w:t>The</w:t>
      </w:r>
      <w:r w:rsidR="00DB1F9A" w:rsidRPr="00C739A6">
        <w:t xml:space="preserve"> Coalition Government explained </w:t>
      </w:r>
      <w:r w:rsidR="00257A86">
        <w:t xml:space="preserve">in 2019 </w:t>
      </w:r>
      <w:r w:rsidR="00DB1F9A" w:rsidRPr="00C739A6">
        <w:t>when they indexed benefits to wages</w:t>
      </w:r>
      <w:r w:rsidR="00257A86">
        <w:t xml:space="preserve"> that</w:t>
      </w:r>
      <w:r w:rsidRPr="00C739A6">
        <w:t xml:space="preserve"> “the gap between the living standards of beneficiaries and other New Zealanders has grown” (New Zealand Government, 2019). In a similar vein, we are witnessing growing inequality in the living standards between children </w:t>
      </w:r>
      <w:r w:rsidR="00050B0E" w:rsidRPr="00C739A6">
        <w:t xml:space="preserve">in </w:t>
      </w:r>
      <w:r w:rsidRPr="00C739A6">
        <w:t>low-income households</w:t>
      </w:r>
      <w:r w:rsidR="0017282C" w:rsidRPr="00C739A6">
        <w:t xml:space="preserve"> – under current settings, particularly those whose parents are out of paid work – and a</w:t>
      </w:r>
      <w:r w:rsidRPr="00C739A6">
        <w:t xml:space="preserve">ll other </w:t>
      </w:r>
      <w:r w:rsidR="001B148A">
        <w:t>NZ</w:t>
      </w:r>
      <w:r w:rsidRPr="00C739A6">
        <w:t xml:space="preserve"> children. </w:t>
      </w:r>
      <w:r w:rsidR="00DB1F9A" w:rsidRPr="00C739A6">
        <w:t xml:space="preserve">This inequality must be </w:t>
      </w:r>
      <w:proofErr w:type="gramStart"/>
      <w:r w:rsidR="00DB1F9A" w:rsidRPr="00C739A6">
        <w:t>addressed, and</w:t>
      </w:r>
      <w:proofErr w:type="gramEnd"/>
      <w:r w:rsidR="00DB1F9A" w:rsidRPr="00C739A6">
        <w:t xml:space="preserve"> indexing WFF is a crucial step in this direction. </w:t>
      </w:r>
    </w:p>
    <w:p w14:paraId="1919FCFC" w14:textId="41025DC4" w:rsidR="001E58FC" w:rsidRPr="00C739A6" w:rsidRDefault="00311110" w:rsidP="00311110">
      <w:r w:rsidRPr="00C739A6">
        <w:t xml:space="preserve">The fact that WFF is not fully and consistently indexed has enabled successive governments to make overstated claims about how much they are doing for children in low-income households, when in fact, increases to some parts of WFF have largely reflected ‘catch-up’ to where they would have been, were they properly indexed. While the 2018 Families Package made a noteworthy difference in WFF payments </w:t>
      </w:r>
      <w:r w:rsidR="00AC670B" w:rsidRPr="00C739A6">
        <w:t>for</w:t>
      </w:r>
      <w:r w:rsidRPr="00C739A6">
        <w:t xml:space="preserve"> eligible families, our modelling </w:t>
      </w:r>
      <w:r w:rsidRPr="00C739A6">
        <w:lastRenderedPageBreak/>
        <w:t>suggests that many families would have</w:t>
      </w:r>
      <w:r w:rsidR="00AC670B" w:rsidRPr="00C739A6">
        <w:t xml:space="preserve"> still</w:t>
      </w:r>
      <w:r w:rsidRPr="00C739A6">
        <w:t xml:space="preserve"> been better off in</w:t>
      </w:r>
      <w:r w:rsidR="00C35978">
        <w:t xml:space="preserve"> the year ending March</w:t>
      </w:r>
      <w:r w:rsidRPr="00C739A6">
        <w:t xml:space="preserve"> 2008 than in </w:t>
      </w:r>
      <w:r w:rsidR="00C35978">
        <w:t xml:space="preserve">the year ending March </w:t>
      </w:r>
      <w:r w:rsidRPr="00C739A6">
        <w:t>20</w:t>
      </w:r>
      <w:r w:rsidR="00C35978">
        <w:t xml:space="preserve">20 </w:t>
      </w:r>
      <w:r w:rsidRPr="00C739A6">
        <w:t xml:space="preserve">(in </w:t>
      </w:r>
      <w:proofErr w:type="gramStart"/>
      <w:r w:rsidRPr="00C739A6">
        <w:t>2020 dollar</w:t>
      </w:r>
      <w:proofErr w:type="gramEnd"/>
      <w:r w:rsidRPr="00C739A6">
        <w:t xml:space="preserve"> terms</w:t>
      </w:r>
      <w:r w:rsidR="00AC670B" w:rsidRPr="00C739A6">
        <w:t>). Further, w</w:t>
      </w:r>
      <w:r w:rsidRPr="00C739A6">
        <w:t>ithout proper indexation, the value of payments begin</w:t>
      </w:r>
      <w:r w:rsidR="004D68AE" w:rsidRPr="00C739A6">
        <w:t>s</w:t>
      </w:r>
      <w:r w:rsidRPr="00C739A6">
        <w:t xml:space="preserve"> to erode as soon as they are increased;</w:t>
      </w:r>
      <w:r w:rsidR="00DB1F9A" w:rsidRPr="00C739A6">
        <w:t xml:space="preserve"> as this backgrounder has demonstrated, the cumulative loss of income to families </w:t>
      </w:r>
      <w:r w:rsidR="0078297E" w:rsidRPr="00C739A6">
        <w:t>since the introduction of the Families Package</w:t>
      </w:r>
      <w:r w:rsidR="00DB1F9A" w:rsidRPr="00C739A6">
        <w:t xml:space="preserve"> is </w:t>
      </w:r>
      <w:proofErr w:type="gramStart"/>
      <w:r w:rsidR="00DB1F9A" w:rsidRPr="00C739A6">
        <w:t>significant, and</w:t>
      </w:r>
      <w:proofErr w:type="gramEnd"/>
      <w:r w:rsidR="00DB1F9A" w:rsidRPr="00C739A6">
        <w:t xml:space="preserve"> </w:t>
      </w:r>
      <w:r w:rsidR="0078297E" w:rsidRPr="00C739A6">
        <w:t xml:space="preserve">will be </w:t>
      </w:r>
      <w:r w:rsidR="00DB1F9A" w:rsidRPr="00C739A6">
        <w:t>contribut</w:t>
      </w:r>
      <w:r w:rsidR="0078297E" w:rsidRPr="00C739A6">
        <w:t>ing</w:t>
      </w:r>
      <w:r w:rsidR="00DB1F9A" w:rsidRPr="00C739A6">
        <w:t xml:space="preserve"> to deepening hardship</w:t>
      </w:r>
      <w:r w:rsidR="0078297E" w:rsidRPr="00C739A6">
        <w:t xml:space="preserve"> among those who are worst off.</w:t>
      </w:r>
    </w:p>
    <w:p w14:paraId="50C27D7B" w14:textId="442968E8" w:rsidR="001816D0" w:rsidRPr="00C739A6" w:rsidRDefault="00D20962" w:rsidP="00BA1306">
      <w:r w:rsidRPr="00C739A6">
        <w:t>While</w:t>
      </w:r>
      <w:r w:rsidR="00CB6561">
        <w:t xml:space="preserve"> </w:t>
      </w:r>
      <w:r w:rsidR="00924125" w:rsidRPr="00C739A6">
        <w:t xml:space="preserve">a raft of other policies </w:t>
      </w:r>
      <w:proofErr w:type="gramStart"/>
      <w:r w:rsidR="00123F42">
        <w:t>are</w:t>
      </w:r>
      <w:proofErr w:type="gramEnd"/>
      <w:r w:rsidR="00123F42">
        <w:t xml:space="preserve"> required for </w:t>
      </w:r>
      <w:r w:rsidR="00924125" w:rsidRPr="00C739A6">
        <w:t xml:space="preserve">income adequacy for low-income children, </w:t>
      </w:r>
      <w:r w:rsidR="00123F42">
        <w:t xml:space="preserve">WFF </w:t>
      </w:r>
      <w:r w:rsidR="00924125" w:rsidRPr="00C739A6">
        <w:t>indexation is a comparatively simple policy decision</w:t>
      </w:r>
      <w:r w:rsidRPr="00C739A6">
        <w:t xml:space="preserve"> that will ensure these payments </w:t>
      </w:r>
      <w:r w:rsidR="00123F42">
        <w:t xml:space="preserve">do not erode further </w:t>
      </w:r>
      <w:r w:rsidRPr="00C739A6">
        <w:t xml:space="preserve">in future. </w:t>
      </w:r>
      <w:r w:rsidR="00123F42">
        <w:t xml:space="preserve">On its own, indexation does not represent significant investment in children </w:t>
      </w:r>
      <w:r w:rsidRPr="00C739A6">
        <w:t>in the immediate term, with our modelling suggesting a</w:t>
      </w:r>
      <w:r w:rsidR="00CB6561">
        <w:t>n index-only</w:t>
      </w:r>
      <w:r w:rsidRPr="00C739A6">
        <w:t xml:space="preserve"> cost of $51 million in the first year if implemented on 1 July 2021.</w:t>
      </w:r>
      <w:r w:rsidRPr="00C739A6">
        <w:rPr>
          <w:rStyle w:val="FootnoteReference"/>
        </w:rPr>
        <w:footnoteReference w:id="7"/>
      </w:r>
      <w:r w:rsidRPr="00C739A6">
        <w:t xml:space="preserve"> </w:t>
      </w:r>
      <w:r w:rsidR="00B81D6E">
        <w:t>This is a merely a backstop measure to stop regression, not a cut-price panacea. However, it will ensure any actual future p</w:t>
      </w:r>
      <w:r w:rsidRPr="00C739A6">
        <w:t>rogress</w:t>
      </w:r>
      <w:r w:rsidR="00F53840" w:rsidRPr="00C739A6">
        <w:t xml:space="preserve"> </w:t>
      </w:r>
      <w:r w:rsidR="00B81D6E">
        <w:t xml:space="preserve">will be </w:t>
      </w:r>
      <w:r w:rsidR="00B379AA">
        <w:t>‘</w:t>
      </w:r>
      <w:r w:rsidR="00F53840" w:rsidRPr="00C739A6">
        <w:t>baked</w:t>
      </w:r>
      <w:r w:rsidR="00655D34" w:rsidRPr="00C739A6">
        <w:t>-</w:t>
      </w:r>
      <w:r w:rsidR="00F53840" w:rsidRPr="00C739A6">
        <w:t>in</w:t>
      </w:r>
      <w:r w:rsidR="00B379AA">
        <w:t>’</w:t>
      </w:r>
      <w:r w:rsidR="00F53840" w:rsidRPr="00C739A6">
        <w:t xml:space="preserve"> to the system</w:t>
      </w:r>
      <w:r w:rsidR="00B379AA">
        <w:t>,</w:t>
      </w:r>
      <w:r w:rsidR="00F53840" w:rsidRPr="00C739A6">
        <w:t xml:space="preserve"> </w:t>
      </w:r>
      <w:r w:rsidR="00655D34" w:rsidRPr="00C739A6">
        <w:t xml:space="preserve">to ensure minimum income support is future-proofed for </w:t>
      </w:r>
      <w:r w:rsidR="00F53840" w:rsidRPr="00C739A6">
        <w:t>successive cohorts of children</w:t>
      </w:r>
      <w:r w:rsidR="00735D0B" w:rsidRPr="00C739A6">
        <w:t xml:space="preserve">. </w:t>
      </w:r>
      <w:r w:rsidR="00123F42">
        <w:t>C</w:t>
      </w:r>
      <w:r w:rsidR="00B65FA5" w:rsidRPr="00C739A6">
        <w:t xml:space="preserve">hild-specific payments </w:t>
      </w:r>
      <w:r w:rsidR="00B172F3" w:rsidRPr="00C739A6">
        <w:t xml:space="preserve">must support </w:t>
      </w:r>
      <w:proofErr w:type="spellStart"/>
      <w:r w:rsidR="00B172F3" w:rsidRPr="00C739A6">
        <w:t>whānau</w:t>
      </w:r>
      <w:proofErr w:type="spellEnd"/>
      <w:r w:rsidR="00735D0B" w:rsidRPr="00C739A6">
        <w:t xml:space="preserve"> </w:t>
      </w:r>
      <w:r w:rsidR="00CB6561">
        <w:t xml:space="preserve">and families </w:t>
      </w:r>
      <w:r w:rsidR="00735D0B" w:rsidRPr="00C739A6">
        <w:t>to give children</w:t>
      </w:r>
      <w:r w:rsidR="00B172F3" w:rsidRPr="00C739A6">
        <w:t xml:space="preserve"> the best possible start. </w:t>
      </w:r>
    </w:p>
    <w:p w14:paraId="734DFC9F" w14:textId="60E4C571" w:rsidR="002C2328" w:rsidRDefault="002C2328">
      <w:r>
        <w:br w:type="page"/>
      </w:r>
    </w:p>
    <w:p w14:paraId="730DFD99" w14:textId="77777777" w:rsidR="00E564A2" w:rsidRPr="00C739A6" w:rsidRDefault="00E564A2" w:rsidP="00E564A2">
      <w:pPr>
        <w:pStyle w:val="Heading1"/>
      </w:pPr>
      <w:bookmarkStart w:id="40" w:name="_Toc66785676"/>
      <w:r w:rsidRPr="00C739A6">
        <w:lastRenderedPageBreak/>
        <w:t>References</w:t>
      </w:r>
      <w:bookmarkEnd w:id="40"/>
    </w:p>
    <w:p w14:paraId="7E4BFFC2" w14:textId="0AC3063C" w:rsidR="00735434" w:rsidRDefault="00735434" w:rsidP="00CB1D59">
      <w:pPr>
        <w:spacing w:after="80" w:line="240" w:lineRule="auto"/>
        <w:ind w:left="446" w:hanging="360"/>
      </w:pPr>
      <w:r>
        <w:t xml:space="preserve">Australian Government (2021). A guide to Australian Government payments: 1 April to 30 June 2021. Retrieved from </w:t>
      </w:r>
      <w:hyperlink r:id="rId27" w:history="1">
        <w:r w:rsidRPr="00E8547D">
          <w:rPr>
            <w:rStyle w:val="Hyperlink"/>
          </w:rPr>
          <w:t>https://www.servicesaustralia.gov.au/sites/default/files/co029-2104v2.pdf</w:t>
        </w:r>
      </w:hyperlink>
      <w:r>
        <w:t xml:space="preserve"> </w:t>
      </w:r>
    </w:p>
    <w:p w14:paraId="0EBCB33D" w14:textId="58F34D0B" w:rsidR="001B148A" w:rsidRPr="001B148A" w:rsidRDefault="001B148A" w:rsidP="00CB1D59">
      <w:pPr>
        <w:spacing w:after="80" w:line="240" w:lineRule="auto"/>
        <w:ind w:left="446" w:hanging="360"/>
      </w:pPr>
      <w:r>
        <w:t xml:space="preserve">Cooke, H. (2021). Revealed: Government to review multi-billion dollar Working for Families scheme. </w:t>
      </w:r>
      <w:r>
        <w:rPr>
          <w:i/>
        </w:rPr>
        <w:t>Stuff</w:t>
      </w:r>
      <w:r>
        <w:t xml:space="preserve">. Retrieved from </w:t>
      </w:r>
      <w:hyperlink r:id="rId28" w:history="1">
        <w:r w:rsidRPr="00E8547D">
          <w:rPr>
            <w:rStyle w:val="Hyperlink"/>
          </w:rPr>
          <w:t>https://www.stuff.co.nz/national/politics/300247439/revealed-government-to-review-multibillion-dollar-working-for-families-scheme</w:t>
        </w:r>
      </w:hyperlink>
      <w:r>
        <w:t xml:space="preserve"> </w:t>
      </w:r>
    </w:p>
    <w:p w14:paraId="7155E95A" w14:textId="4853ADE5" w:rsidR="00666663" w:rsidRPr="00C739A6" w:rsidRDefault="00666663" w:rsidP="00CB1D59">
      <w:pPr>
        <w:spacing w:after="80" w:line="240" w:lineRule="auto"/>
        <w:ind w:left="446" w:hanging="360"/>
      </w:pPr>
      <w:r w:rsidRPr="00C739A6">
        <w:t xml:space="preserve">CPAG Child Poverty Action Group NZ. 2020. Briefing to the Incoming Minister on Income Support. Child Poverty Action Group. Retrieved from </w:t>
      </w:r>
      <w:hyperlink r:id="rId29" w:history="1">
        <w:r w:rsidR="0076276F" w:rsidRPr="00C739A6">
          <w:rPr>
            <w:rStyle w:val="Hyperlink"/>
          </w:rPr>
          <w:t>https://www.cpag.org.nz/assets/CPAG%20Income%20Support%20Briefing%20to%20Incoming%20Minister%20final.pdf</w:t>
        </w:r>
      </w:hyperlink>
      <w:r w:rsidR="0076276F" w:rsidRPr="00C739A6">
        <w:t xml:space="preserve"> </w:t>
      </w:r>
    </w:p>
    <w:p w14:paraId="7CFD1189" w14:textId="38AD745D" w:rsidR="00640616" w:rsidRPr="00C739A6" w:rsidRDefault="007148AF" w:rsidP="00CB1D59">
      <w:pPr>
        <w:spacing w:after="80" w:line="240" w:lineRule="auto"/>
        <w:ind w:left="446" w:hanging="360"/>
      </w:pPr>
      <w:r w:rsidRPr="00C739A6">
        <w:t xml:space="preserve">Dale, M. C., Wynd, D., St John, S. &amp; O’Brien, M. (2010). </w:t>
      </w:r>
      <w:r w:rsidRPr="00C739A6">
        <w:rPr>
          <w:i/>
        </w:rPr>
        <w:t xml:space="preserve">What work counts? Work incentives and sole parents. </w:t>
      </w:r>
      <w:r w:rsidRPr="00C739A6">
        <w:t xml:space="preserve">Auckland: Child Poverty Action Group. Retrieved from </w:t>
      </w:r>
      <w:hyperlink r:id="rId30" w:history="1">
        <w:r w:rsidRPr="00C739A6">
          <w:rPr>
            <w:rStyle w:val="Hyperlink"/>
          </w:rPr>
          <w:t>https://www.cpag.org.nz/assets/Publications/3-2%2024718%20CPAG%20Research%20Document.pdf</w:t>
        </w:r>
      </w:hyperlink>
      <w:r w:rsidRPr="00C739A6">
        <w:t xml:space="preserve"> </w:t>
      </w:r>
    </w:p>
    <w:p w14:paraId="4FC6DE4A" w14:textId="712CA8EB" w:rsidR="00113952" w:rsidRPr="00C739A6" w:rsidRDefault="00113952" w:rsidP="00CB1D59">
      <w:pPr>
        <w:spacing w:after="80" w:line="240" w:lineRule="auto"/>
        <w:ind w:left="446" w:hanging="360"/>
      </w:pPr>
      <w:r w:rsidRPr="00C739A6">
        <w:t xml:space="preserve">English, B. (2010). Fact sheet – Working for Families changes. </w:t>
      </w:r>
      <w:r w:rsidRPr="00C739A6">
        <w:rPr>
          <w:i/>
        </w:rPr>
        <w:t>Beehive.govt.nz</w:t>
      </w:r>
      <w:r w:rsidRPr="00C739A6">
        <w:t xml:space="preserve">. Retrieved from </w:t>
      </w:r>
      <w:hyperlink r:id="rId31" w:history="1">
        <w:r w:rsidRPr="00C739A6">
          <w:rPr>
            <w:rStyle w:val="Hyperlink"/>
          </w:rPr>
          <w:t>https://www.beehive.govt.nz/release/fact-sheet-working-families-changes</w:t>
        </w:r>
      </w:hyperlink>
      <w:r w:rsidRPr="00C739A6">
        <w:t xml:space="preserve"> </w:t>
      </w:r>
    </w:p>
    <w:p w14:paraId="1877B60B" w14:textId="245E227F" w:rsidR="0091114B" w:rsidRPr="00C739A6" w:rsidRDefault="0091114B" w:rsidP="00CB1D59">
      <w:pPr>
        <w:spacing w:after="80" w:line="240" w:lineRule="auto"/>
        <w:ind w:left="446" w:hanging="360"/>
      </w:pPr>
      <w:r w:rsidRPr="00C739A6">
        <w:t xml:space="preserve">Inland Revenue Department (2021a). About </w:t>
      </w:r>
      <w:r w:rsidR="008632DF" w:rsidRPr="00C739A6">
        <w:t>Working for Families</w:t>
      </w:r>
      <w:r w:rsidRPr="00C739A6">
        <w:t xml:space="preserve">. Retrieved from </w:t>
      </w:r>
      <w:hyperlink r:id="rId32" w:history="1">
        <w:r w:rsidRPr="00C739A6">
          <w:rPr>
            <w:rStyle w:val="Hyperlink"/>
          </w:rPr>
          <w:t>https://www.ird.govt.nz/working-for-families/about</w:t>
        </w:r>
      </w:hyperlink>
      <w:r w:rsidRPr="00C739A6">
        <w:t xml:space="preserve"> </w:t>
      </w:r>
    </w:p>
    <w:p w14:paraId="7AC6C1F3" w14:textId="69540067" w:rsidR="000F3CB1" w:rsidRPr="00C739A6" w:rsidRDefault="000F3CB1" w:rsidP="00CB1D59">
      <w:pPr>
        <w:spacing w:after="80" w:line="240" w:lineRule="auto"/>
        <w:ind w:left="446" w:hanging="360"/>
      </w:pPr>
      <w:r w:rsidRPr="00C739A6">
        <w:t xml:space="preserve">Inland Revenue Department (2021b). Covid-19 Support for families. Retrieved from </w:t>
      </w:r>
      <w:hyperlink r:id="rId33" w:history="1">
        <w:r w:rsidRPr="00C739A6">
          <w:rPr>
            <w:rStyle w:val="Hyperlink"/>
          </w:rPr>
          <w:t>https://www.ird.govt.nz/covid-19/individuals-and-families/support-for-families</w:t>
        </w:r>
      </w:hyperlink>
      <w:r w:rsidRPr="00C739A6">
        <w:t xml:space="preserve"> </w:t>
      </w:r>
    </w:p>
    <w:p w14:paraId="1CBC856C" w14:textId="16CBF592" w:rsidR="00ED32AB" w:rsidRPr="00C739A6" w:rsidRDefault="00ED32AB" w:rsidP="00CB1D59">
      <w:pPr>
        <w:spacing w:after="80" w:line="240" w:lineRule="auto"/>
        <w:ind w:left="446" w:hanging="360"/>
      </w:pPr>
      <w:r w:rsidRPr="00C739A6">
        <w:t xml:space="preserve">Inland Revenue Department (2021c). Types of </w:t>
      </w:r>
      <w:r w:rsidR="008632DF" w:rsidRPr="00C739A6">
        <w:t>Working for Families</w:t>
      </w:r>
      <w:r w:rsidRPr="00C739A6">
        <w:t xml:space="preserve"> payments. Retrieved from </w:t>
      </w:r>
      <w:hyperlink r:id="rId34" w:history="1">
        <w:r w:rsidRPr="00C739A6">
          <w:rPr>
            <w:rStyle w:val="Hyperlink"/>
          </w:rPr>
          <w:t>https://www.ird.govt.nz/working-for-families/payment-types</w:t>
        </w:r>
      </w:hyperlink>
      <w:r w:rsidRPr="00C739A6">
        <w:t xml:space="preserve"> </w:t>
      </w:r>
    </w:p>
    <w:p w14:paraId="3822E7C2" w14:textId="60D75627" w:rsidR="007148AF" w:rsidRPr="00C739A6" w:rsidRDefault="0091114B" w:rsidP="00CB1D59">
      <w:pPr>
        <w:spacing w:after="80" w:line="240" w:lineRule="auto"/>
        <w:ind w:left="446" w:hanging="360"/>
        <w:rPr>
          <w:rStyle w:val="Hyperlink"/>
        </w:rPr>
      </w:pPr>
      <w:r w:rsidRPr="00C739A6">
        <w:t xml:space="preserve">Inland Revenue Department (2021d). </w:t>
      </w:r>
      <w:r w:rsidR="008632DF" w:rsidRPr="00C739A6">
        <w:t>Working for Families</w:t>
      </w:r>
      <w:r w:rsidRPr="00C739A6">
        <w:t xml:space="preserve"> Tax Credits 2001 to 2019. Retrieved from </w:t>
      </w:r>
      <w:r w:rsidRPr="00C739A6">
        <w:rPr>
          <w:rStyle w:val="Hyperlink"/>
        </w:rPr>
        <w:t>https://www.ird.govt.nz/about-us/tax-statistics/social-policy/wfftc</w:t>
      </w:r>
    </w:p>
    <w:p w14:paraId="73FDB00D" w14:textId="47FFEA92" w:rsidR="00533ECE" w:rsidRPr="00C739A6" w:rsidRDefault="00F7192F" w:rsidP="00CB1D59">
      <w:pPr>
        <w:spacing w:after="80" w:line="240" w:lineRule="auto"/>
        <w:ind w:left="446" w:hanging="360"/>
        <w:rPr>
          <w:rStyle w:val="Hyperlink"/>
          <w:color w:val="auto"/>
          <w:u w:val="none"/>
        </w:rPr>
      </w:pPr>
      <w:r w:rsidRPr="00C739A6">
        <w:rPr>
          <w:rStyle w:val="Hyperlink"/>
          <w:color w:val="auto"/>
          <w:u w:val="none"/>
        </w:rPr>
        <w:t xml:space="preserve">Inland Revenue Department (2021e). Covid-19 Support for families. Retrieved from </w:t>
      </w:r>
      <w:hyperlink r:id="rId35" w:history="1">
        <w:r w:rsidRPr="00C739A6">
          <w:rPr>
            <w:rStyle w:val="Hyperlink"/>
          </w:rPr>
          <w:t>https://www.ird.govt.nz/covid-19/individuals-and-families/support-for-families</w:t>
        </w:r>
      </w:hyperlink>
      <w:r w:rsidRPr="00C739A6">
        <w:rPr>
          <w:rStyle w:val="Hyperlink"/>
          <w:color w:val="auto"/>
          <w:u w:val="none"/>
        </w:rPr>
        <w:t xml:space="preserve"> </w:t>
      </w:r>
    </w:p>
    <w:p w14:paraId="513CB75D" w14:textId="2FD42970" w:rsidR="00533ECE" w:rsidRPr="00C739A6" w:rsidRDefault="00533ECE" w:rsidP="00CB1D59">
      <w:pPr>
        <w:spacing w:after="80" w:line="240" w:lineRule="auto"/>
        <w:ind w:left="446" w:hanging="360"/>
        <w:rPr>
          <w:rStyle w:val="Hyperlink"/>
          <w:color w:val="auto"/>
          <w:u w:val="none"/>
        </w:rPr>
      </w:pPr>
      <w:r w:rsidRPr="00C739A6">
        <w:rPr>
          <w:rStyle w:val="Hyperlink"/>
          <w:color w:val="auto"/>
          <w:u w:val="none"/>
        </w:rPr>
        <w:t>Inland Revenue</w:t>
      </w:r>
      <w:r w:rsidR="00CB3FFD">
        <w:rPr>
          <w:rStyle w:val="Hyperlink"/>
          <w:color w:val="auto"/>
          <w:u w:val="none"/>
        </w:rPr>
        <w:t xml:space="preserve"> Department</w:t>
      </w:r>
      <w:r w:rsidRPr="00C739A6">
        <w:rPr>
          <w:rStyle w:val="Hyperlink"/>
          <w:color w:val="auto"/>
          <w:u w:val="none"/>
        </w:rPr>
        <w:t xml:space="preserve"> (2021f). Official Information Act request response, 25 February 2021</w:t>
      </w:r>
      <w:r w:rsidR="000766EE" w:rsidRPr="00C739A6">
        <w:rPr>
          <w:rStyle w:val="Hyperlink"/>
          <w:color w:val="auto"/>
          <w:u w:val="none"/>
        </w:rPr>
        <w:t>, ref: 21OIA1399</w:t>
      </w:r>
      <w:r w:rsidRPr="00C739A6">
        <w:rPr>
          <w:rStyle w:val="Hyperlink"/>
          <w:color w:val="auto"/>
          <w:u w:val="none"/>
        </w:rPr>
        <w:t xml:space="preserve">. </w:t>
      </w:r>
    </w:p>
    <w:p w14:paraId="5441E461" w14:textId="475E3FEA" w:rsidR="00007AEC" w:rsidRDefault="00007AEC" w:rsidP="00CB1D59">
      <w:pPr>
        <w:spacing w:after="80" w:line="240" w:lineRule="auto"/>
        <w:ind w:left="446" w:hanging="360"/>
      </w:pPr>
      <w:r w:rsidRPr="000F27DC">
        <w:rPr>
          <w:rStyle w:val="Hyperlink"/>
          <w:color w:val="auto"/>
          <w:u w:val="none"/>
        </w:rPr>
        <w:t>McAllister, J. (202</w:t>
      </w:r>
      <w:r w:rsidRPr="001E06F8">
        <w:rPr>
          <w:rStyle w:val="Hyperlink"/>
          <w:color w:val="auto"/>
          <w:u w:val="none"/>
        </w:rPr>
        <w:t xml:space="preserve">0). </w:t>
      </w:r>
      <w:r w:rsidRPr="00C739A6">
        <w:t xml:space="preserve">The effects of 2020/21 income support changes on After Housing Costs (AHC) incomes for representative households receiving benefits. Child Poverty Action Group. Retrieved from </w:t>
      </w:r>
      <w:hyperlink r:id="rId36" w:history="1">
        <w:r w:rsidR="009220EF" w:rsidRPr="00C739A6">
          <w:rPr>
            <w:rStyle w:val="Hyperlink"/>
          </w:rPr>
          <w:t>https://www.cpag.org.nz/news/new-research-shows-current-benefits-leave/</w:t>
        </w:r>
      </w:hyperlink>
      <w:r w:rsidR="009220EF" w:rsidRPr="00C739A6">
        <w:t xml:space="preserve"> </w:t>
      </w:r>
      <w:r w:rsidRPr="00C739A6">
        <w:t xml:space="preserve"> </w:t>
      </w:r>
    </w:p>
    <w:p w14:paraId="05C6BF51" w14:textId="13522F6E" w:rsidR="004858FB" w:rsidRPr="00C739A6" w:rsidRDefault="004858FB" w:rsidP="00CB1D59">
      <w:pPr>
        <w:spacing w:after="80" w:line="240" w:lineRule="auto"/>
        <w:ind w:left="446" w:hanging="360"/>
        <w:rPr>
          <w:rStyle w:val="Hyperlink"/>
          <w:color w:val="auto"/>
          <w:highlight w:val="yellow"/>
          <w:u w:val="none"/>
        </w:rPr>
      </w:pPr>
      <w:r>
        <w:t>McAllister, J. &amp; St John, S. (forthcoming).</w:t>
      </w:r>
      <w:r w:rsidRPr="004858FB">
        <w:t xml:space="preserve"> </w:t>
      </w:r>
      <w:r>
        <w:t>Better support for our families is severe deprivation: A fresh look at extending the In-Work Tax Credit to children in benefit-receiving families, in the context of minimum wage increases. Child Poverty Action Group.</w:t>
      </w:r>
    </w:p>
    <w:p w14:paraId="27CF1561" w14:textId="7595977E" w:rsidR="001162B9" w:rsidRPr="00C739A6" w:rsidRDefault="001162B9" w:rsidP="00CB1D59">
      <w:pPr>
        <w:spacing w:after="80" w:line="240" w:lineRule="auto"/>
        <w:ind w:left="446" w:hanging="360"/>
        <w:rPr>
          <w:rStyle w:val="Hyperlink"/>
          <w:color w:val="auto"/>
          <w:u w:val="none"/>
        </w:rPr>
      </w:pPr>
      <w:r w:rsidRPr="00C739A6">
        <w:rPr>
          <w:rStyle w:val="Hyperlink"/>
          <w:color w:val="auto"/>
          <w:u w:val="none"/>
        </w:rPr>
        <w:t xml:space="preserve">Ministry of Business, Innovation and Employment (2020). Minimum Wage Review 2020. Retrieved from </w:t>
      </w:r>
      <w:hyperlink r:id="rId37" w:history="1">
        <w:r w:rsidRPr="00C739A6">
          <w:rPr>
            <w:rStyle w:val="Hyperlink"/>
          </w:rPr>
          <w:t>https://www.mbie.govt.nz/assets/minimum-wage-review-december-2020-redacted.pdf</w:t>
        </w:r>
      </w:hyperlink>
    </w:p>
    <w:p w14:paraId="0FF278DE" w14:textId="752B49E7" w:rsidR="002A2627" w:rsidRPr="00C739A6" w:rsidRDefault="002A2627" w:rsidP="00CB1D59">
      <w:pPr>
        <w:spacing w:after="80" w:line="240" w:lineRule="auto"/>
        <w:ind w:left="446" w:hanging="360"/>
        <w:rPr>
          <w:rStyle w:val="Hyperlink"/>
          <w:color w:val="auto"/>
          <w:u w:val="none"/>
        </w:rPr>
      </w:pPr>
      <w:r w:rsidRPr="00C739A6">
        <w:rPr>
          <w:rStyle w:val="Hyperlink"/>
          <w:color w:val="auto"/>
          <w:u w:val="none"/>
        </w:rPr>
        <w:lastRenderedPageBreak/>
        <w:t>Mini</w:t>
      </w:r>
      <w:r w:rsidR="006C72D7" w:rsidRPr="00C739A6">
        <w:rPr>
          <w:rStyle w:val="Hyperlink"/>
          <w:color w:val="auto"/>
          <w:u w:val="none"/>
        </w:rPr>
        <w:t>stry of Social Development (2021</w:t>
      </w:r>
      <w:r w:rsidRPr="00C739A6">
        <w:rPr>
          <w:rStyle w:val="Hyperlink"/>
          <w:color w:val="auto"/>
          <w:u w:val="none"/>
        </w:rPr>
        <w:t xml:space="preserve">). Benefit Fact Sheets. Retrieved from </w:t>
      </w:r>
      <w:hyperlink r:id="rId38" w:history="1">
        <w:r w:rsidRPr="00C739A6">
          <w:rPr>
            <w:rStyle w:val="Hyperlink"/>
          </w:rPr>
          <w:t>https://www.msd.govt.nz/about-msd-and-our-work/publications-resources/statistics/benefit/</w:t>
        </w:r>
      </w:hyperlink>
      <w:r w:rsidRPr="00C739A6">
        <w:rPr>
          <w:rStyle w:val="Hyperlink"/>
          <w:color w:val="auto"/>
          <w:u w:val="none"/>
        </w:rPr>
        <w:t xml:space="preserve"> </w:t>
      </w:r>
    </w:p>
    <w:p w14:paraId="366F4BCB" w14:textId="2AC7580C" w:rsidR="001E4D5D" w:rsidRDefault="001E4D5D" w:rsidP="00CB1D59">
      <w:pPr>
        <w:spacing w:after="80" w:line="240" w:lineRule="auto"/>
        <w:ind w:left="446" w:hanging="360"/>
      </w:pPr>
      <w:r>
        <w:t xml:space="preserve">Ministry of Social Development and Inland Revenue (2020). Increasing main benefit abatement thresholds on 1 April 2021 and consequential adjustments to Minimum Family Tax Credit (Impact Statement). Retrieved from: </w:t>
      </w:r>
      <w:hyperlink r:id="rId39" w:history="1">
        <w:r w:rsidRPr="009530CA">
          <w:rPr>
            <w:rStyle w:val="Hyperlink"/>
          </w:rPr>
          <w:t>https://www.treasury.govt.nz/sites/default/files/2021-02/ria-ird-imb-dec20.pdf</w:t>
        </w:r>
      </w:hyperlink>
      <w:r>
        <w:t xml:space="preserve"> </w:t>
      </w:r>
    </w:p>
    <w:p w14:paraId="0DF1F525" w14:textId="74DBFC69" w:rsidR="004135A9" w:rsidRDefault="004135A9" w:rsidP="00CB1D59">
      <w:pPr>
        <w:spacing w:after="80" w:line="240" w:lineRule="auto"/>
        <w:ind w:left="446" w:hanging="360"/>
      </w:pPr>
      <w:proofErr w:type="spellStart"/>
      <w:r>
        <w:t>Neuwelt</w:t>
      </w:r>
      <w:proofErr w:type="spellEnd"/>
      <w:r>
        <w:t xml:space="preserve">-Kearns, C. and St John, S. (2020). Family tax credits: Do children get the support in New Zealand that they would get in Australia? Auckland: Child Poverty Action Group. Retrieved from </w:t>
      </w:r>
      <w:hyperlink r:id="rId40" w:history="1">
        <w:r w:rsidRPr="00E8547D">
          <w:rPr>
            <w:rStyle w:val="Hyperlink"/>
          </w:rPr>
          <w:t>https://www.cpag.org.nz/assets/Backgrounders/CPAG%20Background%20paper%20-%20Family%20tax%20credits%20comparison%20between%20NZ%20and%20Austrlia.pdf</w:t>
        </w:r>
      </w:hyperlink>
      <w:r>
        <w:t xml:space="preserve"> </w:t>
      </w:r>
    </w:p>
    <w:p w14:paraId="688EC289" w14:textId="0415447F" w:rsidR="00AB15A4" w:rsidRPr="00C739A6" w:rsidRDefault="00AB15A4" w:rsidP="00CB1D59">
      <w:pPr>
        <w:spacing w:after="80" w:line="240" w:lineRule="auto"/>
        <w:ind w:left="446" w:hanging="360"/>
      </w:pPr>
      <w:r w:rsidRPr="00C739A6">
        <w:t>New Zealand Superannuation and Retirement Income Act 2001.</w:t>
      </w:r>
    </w:p>
    <w:p w14:paraId="322BF71D" w14:textId="1280FA27" w:rsidR="001E129D" w:rsidRPr="00C739A6" w:rsidRDefault="001E129D" w:rsidP="00CB1D59">
      <w:pPr>
        <w:spacing w:after="80" w:line="240" w:lineRule="auto"/>
        <w:ind w:left="446" w:hanging="360"/>
      </w:pPr>
      <w:r w:rsidRPr="00C739A6">
        <w:t xml:space="preserve">New Zealand Government (2017). Fact Sheet – Families Package. Retrieved from </w:t>
      </w:r>
      <w:hyperlink r:id="rId41" w:history="1">
        <w:r w:rsidRPr="00C739A6">
          <w:rPr>
            <w:rStyle w:val="Hyperlink"/>
          </w:rPr>
          <w:t>https://www.beehive.govt.nz/sites/default/files/2017-12/Families%20Package%20Factsheet.pdf</w:t>
        </w:r>
      </w:hyperlink>
      <w:r w:rsidRPr="00C739A6">
        <w:t xml:space="preserve"> </w:t>
      </w:r>
    </w:p>
    <w:p w14:paraId="27D0531D" w14:textId="3D79DAD0" w:rsidR="000D5FF0" w:rsidRPr="00C739A6" w:rsidRDefault="000D5FF0" w:rsidP="00CB1D59">
      <w:pPr>
        <w:spacing w:after="80" w:line="240" w:lineRule="auto"/>
        <w:ind w:left="446" w:hanging="360"/>
      </w:pPr>
      <w:r w:rsidRPr="00C739A6">
        <w:t xml:space="preserve">New Zealand Government (2019). Wage indexation of main benefits. Retrieved from </w:t>
      </w:r>
      <w:hyperlink r:id="rId42" w:history="1">
        <w:r w:rsidRPr="00C739A6">
          <w:rPr>
            <w:rStyle w:val="Hyperlink"/>
          </w:rPr>
          <w:t>https://www.msd.govt.nz/documents/about-msd-and-our-work/newsroom/factsheets/budget/factsheet-benefit-indexation-2019.pdf</w:t>
        </w:r>
      </w:hyperlink>
      <w:r w:rsidRPr="00C739A6">
        <w:t xml:space="preserve"> </w:t>
      </w:r>
    </w:p>
    <w:p w14:paraId="40499777" w14:textId="789D8E35" w:rsidR="00322D73" w:rsidRPr="00C739A6" w:rsidRDefault="00322D73" w:rsidP="00CB1D59">
      <w:pPr>
        <w:spacing w:after="80" w:line="240" w:lineRule="auto"/>
        <w:ind w:left="446" w:hanging="360"/>
        <w:rPr>
          <w:i/>
        </w:rPr>
      </w:pPr>
      <w:r w:rsidRPr="00C739A6">
        <w:t xml:space="preserve">Perry, B. (2019). </w:t>
      </w:r>
      <w:r w:rsidRPr="00C739A6">
        <w:rPr>
          <w:i/>
        </w:rPr>
        <w:t>Household incomes in New Zealand: Trends in indicators of inequality and hardship 1982 to 2018</w:t>
      </w:r>
      <w:r w:rsidRPr="00C739A6">
        <w:t xml:space="preserve">. Ministry of Social Development. Retrieved from </w:t>
      </w:r>
      <w:hyperlink r:id="rId43" w:history="1">
        <w:r w:rsidRPr="00C739A6">
          <w:rPr>
            <w:rStyle w:val="Hyperlink"/>
          </w:rPr>
          <w:t>https://www.msd.govt.nz/about-msd-and-our-work/publications-resources/monitoring/household-incomes/household-incomes-1982-to-2018.html</w:t>
        </w:r>
      </w:hyperlink>
      <w:r w:rsidRPr="00C739A6">
        <w:t xml:space="preserve"> </w:t>
      </w:r>
    </w:p>
    <w:p w14:paraId="23B78EA2" w14:textId="5E4DCC7E" w:rsidR="001E3B53" w:rsidRPr="00C739A6" w:rsidRDefault="001E3B53" w:rsidP="00CB1D59">
      <w:pPr>
        <w:spacing w:after="80" w:line="240" w:lineRule="auto"/>
        <w:ind w:left="446" w:hanging="360"/>
      </w:pPr>
      <w:r w:rsidRPr="00C739A6">
        <w:t xml:space="preserve">Reserve Bank of New Zealand (n.d.). Inflation calculator. Retrieved from </w:t>
      </w:r>
      <w:hyperlink r:id="rId44" w:history="1">
        <w:r w:rsidRPr="00C739A6">
          <w:rPr>
            <w:rStyle w:val="Hyperlink"/>
          </w:rPr>
          <w:t>https://www.rbnz.govt.nz/monetary-policy/inflation-calculator</w:t>
        </w:r>
      </w:hyperlink>
      <w:r w:rsidRPr="00C739A6">
        <w:t xml:space="preserve"> </w:t>
      </w:r>
    </w:p>
    <w:p w14:paraId="4996C273" w14:textId="5A8BEE02" w:rsidR="00ED3A04" w:rsidRPr="00C739A6" w:rsidRDefault="00ED3A04" w:rsidP="00CB1D59">
      <w:pPr>
        <w:spacing w:after="80" w:line="240" w:lineRule="auto"/>
        <w:ind w:left="446" w:hanging="360"/>
      </w:pPr>
      <w:r w:rsidRPr="00C739A6">
        <w:t xml:space="preserve">Stats NZ (2021). Latest release of child poverty statistics. Retrieved from </w:t>
      </w:r>
      <w:hyperlink r:id="rId45" w:history="1">
        <w:r w:rsidRPr="00C739A6">
          <w:rPr>
            <w:rStyle w:val="Hyperlink"/>
          </w:rPr>
          <w:t>https://www.stats.govt.nz/news/latest-release-of-child-poverty-statistics</w:t>
        </w:r>
      </w:hyperlink>
      <w:r w:rsidRPr="00C739A6">
        <w:t xml:space="preserve"> </w:t>
      </w:r>
    </w:p>
    <w:p w14:paraId="0B58BF00" w14:textId="31F09DD3" w:rsidR="00590638" w:rsidRPr="00C739A6" w:rsidRDefault="00590638" w:rsidP="00CB1D59">
      <w:pPr>
        <w:spacing w:after="80" w:line="240" w:lineRule="auto"/>
        <w:ind w:left="446" w:hanging="360"/>
      </w:pPr>
      <w:r w:rsidRPr="00C739A6">
        <w:t xml:space="preserve">St John, S. (2012). </w:t>
      </w:r>
      <w:r w:rsidRPr="00C739A6">
        <w:rPr>
          <w:i/>
        </w:rPr>
        <w:t xml:space="preserve">The 10 Myths of the In-Work Tax Credit. </w:t>
      </w:r>
      <w:r w:rsidRPr="00C739A6">
        <w:t xml:space="preserve">Auckland: Child Poverty Action Group. Retrieved from </w:t>
      </w:r>
      <w:hyperlink r:id="rId46" w:history="1">
        <w:r w:rsidRPr="00C739A6">
          <w:rPr>
            <w:rStyle w:val="Hyperlink"/>
          </w:rPr>
          <w:t>https://www.cpag.org.nz/assets/CPAG%20v%20Attorney%20General/120129%20The%2010%20Myths%20of%20the%20in%20work%20tax%20credit.pdf</w:t>
        </w:r>
      </w:hyperlink>
      <w:r w:rsidRPr="00C739A6">
        <w:t xml:space="preserve"> </w:t>
      </w:r>
    </w:p>
    <w:p w14:paraId="1EDD4E73" w14:textId="5084CC55" w:rsidR="00D84428" w:rsidRPr="00C739A6" w:rsidRDefault="00D84428" w:rsidP="00CB1D59">
      <w:pPr>
        <w:spacing w:after="80" w:line="240" w:lineRule="auto"/>
        <w:ind w:left="446" w:hanging="360"/>
      </w:pPr>
      <w:r w:rsidRPr="00C739A6">
        <w:t xml:space="preserve">St John, S. (2020). </w:t>
      </w:r>
      <w:r w:rsidRPr="00C739A6">
        <w:rPr>
          <w:i/>
        </w:rPr>
        <w:t>Briefing on reform of the In-Work Tax Credit</w:t>
      </w:r>
      <w:r w:rsidRPr="00C739A6">
        <w:t xml:space="preserve">. Auckland: Child Poverty Action Group. Retrieved from </w:t>
      </w:r>
      <w:hyperlink r:id="rId47" w:history="1">
        <w:r w:rsidRPr="00C739A6">
          <w:rPr>
            <w:rStyle w:val="Hyperlink"/>
          </w:rPr>
          <w:t>https://www.cpag.org.nz/assets/200220%20Briefing%20on%20the%20IWTC%202020.pdf</w:t>
        </w:r>
      </w:hyperlink>
      <w:r w:rsidRPr="00C739A6">
        <w:t xml:space="preserve"> </w:t>
      </w:r>
    </w:p>
    <w:p w14:paraId="224CD47C" w14:textId="620E0BAE" w:rsidR="00F20030" w:rsidRPr="00C739A6" w:rsidRDefault="00F20030" w:rsidP="00CB1D59">
      <w:pPr>
        <w:spacing w:after="80" w:line="240" w:lineRule="auto"/>
        <w:ind w:left="446" w:hanging="360"/>
      </w:pPr>
      <w:r w:rsidRPr="00C739A6">
        <w:t xml:space="preserve">St John, S. (2021). </w:t>
      </w:r>
      <w:r w:rsidRPr="007D24D1">
        <w:rPr>
          <w:i/>
          <w:iCs/>
        </w:rPr>
        <w:t xml:space="preserve">Does the Tail Wag the </w:t>
      </w:r>
      <w:proofErr w:type="gramStart"/>
      <w:r w:rsidRPr="007D24D1">
        <w:rPr>
          <w:i/>
          <w:iCs/>
        </w:rPr>
        <w:t>Dog?</w:t>
      </w:r>
      <w:r w:rsidRPr="00C739A6">
        <w:t>.</w:t>
      </w:r>
      <w:proofErr w:type="gramEnd"/>
      <w:r w:rsidRPr="00C739A6">
        <w:t xml:space="preserve"> Auckland: Child Poverty Action Group. Retrieved from </w:t>
      </w:r>
      <w:hyperlink r:id="rId48" w:history="1">
        <w:r w:rsidR="009220EF" w:rsidRPr="00C739A6">
          <w:rPr>
            <w:rStyle w:val="Hyperlink"/>
          </w:rPr>
          <w:t>https://www.cpag.org.nz/does-the-tail-wag-the-dog/</w:t>
        </w:r>
      </w:hyperlink>
      <w:r w:rsidR="009220EF" w:rsidRPr="00C739A6">
        <w:t xml:space="preserve"> </w:t>
      </w:r>
    </w:p>
    <w:p w14:paraId="2F32F00A" w14:textId="41A6425D" w:rsidR="0089197F" w:rsidRPr="00C739A6" w:rsidRDefault="0089197F" w:rsidP="00CB1D59">
      <w:pPr>
        <w:spacing w:after="80" w:line="240" w:lineRule="auto"/>
        <w:ind w:left="446" w:hanging="360"/>
      </w:pPr>
      <w:r w:rsidRPr="00C739A6">
        <w:t xml:space="preserve">The Treasury (2013). Budget Economic and Fiscal Update 2013. Retrieved from </w:t>
      </w:r>
      <w:hyperlink r:id="rId49" w:history="1">
        <w:r w:rsidRPr="00C739A6">
          <w:rPr>
            <w:rStyle w:val="Hyperlink"/>
          </w:rPr>
          <w:t>https://www.treasury.govt.nz/publications/budget-economic-and-fiscal-update-2013-html</w:t>
        </w:r>
      </w:hyperlink>
      <w:r w:rsidRPr="00C739A6">
        <w:t xml:space="preserve"> </w:t>
      </w:r>
    </w:p>
    <w:p w14:paraId="7788253D" w14:textId="3F5404BB" w:rsidR="005670DC" w:rsidRPr="00C739A6" w:rsidRDefault="005670DC" w:rsidP="00CB1D59">
      <w:pPr>
        <w:spacing w:after="80" w:line="240" w:lineRule="auto"/>
        <w:ind w:left="446" w:hanging="360"/>
      </w:pPr>
      <w:r w:rsidRPr="00C739A6">
        <w:t xml:space="preserve">The Treasury (2018). Budget Economic and Fiscal Update 2018. Retrieved from </w:t>
      </w:r>
      <w:hyperlink r:id="rId50" w:history="1">
        <w:r w:rsidRPr="00C739A6">
          <w:rPr>
            <w:rStyle w:val="Hyperlink"/>
          </w:rPr>
          <w:t>https://www.treasury.govt.nz/publications/efu/budget-economic-and-fiscal-update-2018</w:t>
        </w:r>
      </w:hyperlink>
      <w:r w:rsidRPr="00C739A6">
        <w:t xml:space="preserve"> </w:t>
      </w:r>
    </w:p>
    <w:p w14:paraId="5EFE28E1" w14:textId="3301CF3B" w:rsidR="00224929" w:rsidRPr="00C739A6" w:rsidRDefault="00224929" w:rsidP="00CB1D59">
      <w:pPr>
        <w:spacing w:after="80" w:line="240" w:lineRule="auto"/>
        <w:ind w:left="446" w:hanging="360"/>
      </w:pPr>
      <w:r w:rsidRPr="00C739A6">
        <w:lastRenderedPageBreak/>
        <w:t>The Treasury (2020</w:t>
      </w:r>
      <w:r w:rsidR="00C14336" w:rsidRPr="00C739A6">
        <w:t>a</w:t>
      </w:r>
      <w:r w:rsidRPr="00C739A6">
        <w:t xml:space="preserve">). Budget Economic and Fiscal Update 2020. Retrieved from </w:t>
      </w:r>
      <w:hyperlink r:id="rId51" w:history="1">
        <w:r w:rsidRPr="00C739A6">
          <w:rPr>
            <w:rStyle w:val="Hyperlink"/>
          </w:rPr>
          <w:t>https://www.treasury.govt.nz/publications/efu/budget-economic-and-fiscal-update-2020</w:t>
        </w:r>
      </w:hyperlink>
      <w:r w:rsidRPr="00C739A6">
        <w:t xml:space="preserve"> </w:t>
      </w:r>
    </w:p>
    <w:p w14:paraId="6DE04E3E" w14:textId="57FC67A3" w:rsidR="00C14336" w:rsidRPr="00C739A6" w:rsidRDefault="00C14336" w:rsidP="00CB1D59">
      <w:pPr>
        <w:spacing w:after="80" w:line="240" w:lineRule="auto"/>
        <w:ind w:left="446" w:hanging="360"/>
        <w:rPr>
          <w:i/>
        </w:rPr>
      </w:pPr>
      <w:r w:rsidRPr="00C739A6">
        <w:t xml:space="preserve">The Treasury (2020b). Half Year Economic and Fiscal Update 2020. Retrieved from </w:t>
      </w:r>
      <w:hyperlink r:id="rId52" w:history="1">
        <w:r w:rsidRPr="00C739A6">
          <w:rPr>
            <w:rStyle w:val="Hyperlink"/>
          </w:rPr>
          <w:t>https://www.treasury.govt.nz/system/files/2020-12/hyefu20.pdf</w:t>
        </w:r>
      </w:hyperlink>
      <w:r w:rsidRPr="00C739A6">
        <w:t xml:space="preserve"> </w:t>
      </w:r>
    </w:p>
    <w:p w14:paraId="0B5E4C5D" w14:textId="77777777" w:rsidR="000126B6" w:rsidRPr="00C739A6" w:rsidRDefault="000126B6" w:rsidP="00CB1D59">
      <w:pPr>
        <w:spacing w:after="80" w:line="240" w:lineRule="auto"/>
        <w:ind w:left="446" w:hanging="360"/>
      </w:pPr>
      <w:r w:rsidRPr="00C739A6">
        <w:t xml:space="preserve">Welfare Expert Advisory Group (2018). </w:t>
      </w:r>
      <w:r w:rsidRPr="00C739A6">
        <w:rPr>
          <w:i/>
        </w:rPr>
        <w:t xml:space="preserve">A brief history of family support payments in New Zealand. </w:t>
      </w:r>
      <w:r w:rsidRPr="00C739A6">
        <w:t xml:space="preserve">Retrieved from </w:t>
      </w:r>
      <w:hyperlink r:id="rId53" w:history="1">
        <w:r w:rsidRPr="00C739A6">
          <w:rPr>
            <w:rStyle w:val="Hyperlink"/>
          </w:rPr>
          <w:t>http://www.weag.govt.nz/assets/documents/WEAG-report/background-documents/133db2ad05/History-of-family-support-payments-010419.pdf</w:t>
        </w:r>
      </w:hyperlink>
      <w:r w:rsidRPr="00C739A6">
        <w:t xml:space="preserve"> </w:t>
      </w:r>
    </w:p>
    <w:p w14:paraId="25C82C75" w14:textId="16FAE681" w:rsidR="000126B6" w:rsidRPr="00C739A6" w:rsidRDefault="006C130D" w:rsidP="00CB1D59">
      <w:pPr>
        <w:spacing w:after="80" w:line="240" w:lineRule="auto"/>
        <w:ind w:left="446" w:hanging="360"/>
      </w:pPr>
      <w:r w:rsidRPr="00C739A6">
        <w:t xml:space="preserve">Welfare Expert Advisory Group (2019). </w:t>
      </w:r>
      <w:proofErr w:type="spellStart"/>
      <w:r w:rsidRPr="00C739A6">
        <w:rPr>
          <w:i/>
        </w:rPr>
        <w:t>Whakamana</w:t>
      </w:r>
      <w:proofErr w:type="spellEnd"/>
      <w:r w:rsidRPr="00C739A6">
        <w:rPr>
          <w:i/>
        </w:rPr>
        <w:t xml:space="preserve"> </w:t>
      </w:r>
      <w:proofErr w:type="spellStart"/>
      <w:r w:rsidRPr="00C739A6">
        <w:rPr>
          <w:i/>
        </w:rPr>
        <w:t>Tāngata</w:t>
      </w:r>
      <w:proofErr w:type="spellEnd"/>
      <w:r w:rsidRPr="00C739A6">
        <w:rPr>
          <w:i/>
        </w:rPr>
        <w:t xml:space="preserve"> – Restoring Dignity to Social Security in New Zealand</w:t>
      </w:r>
      <w:r w:rsidRPr="00C739A6">
        <w:t xml:space="preserve">. Retrieved from </w:t>
      </w:r>
      <w:hyperlink r:id="rId54" w:history="1">
        <w:r w:rsidRPr="00C739A6">
          <w:rPr>
            <w:rStyle w:val="Hyperlink"/>
          </w:rPr>
          <w:t>http://www.weag.govt.nz/weag-report/whakamana-tangata/</w:t>
        </w:r>
      </w:hyperlink>
      <w:r w:rsidRPr="00C739A6">
        <w:t xml:space="preserve"> </w:t>
      </w:r>
    </w:p>
    <w:p w14:paraId="6ABD85A8" w14:textId="1BE51AEF" w:rsidR="004763CD" w:rsidRPr="00C739A6" w:rsidRDefault="004763CD" w:rsidP="00CB1D59">
      <w:pPr>
        <w:spacing w:after="80" w:line="240" w:lineRule="auto"/>
        <w:ind w:left="446" w:hanging="360"/>
        <w:sectPr w:rsidR="004763CD" w:rsidRPr="00C739A6" w:rsidSect="0025331E">
          <w:headerReference w:type="default" r:id="rId55"/>
          <w:footerReference w:type="default" r:id="rId56"/>
          <w:pgSz w:w="11906" w:h="16838"/>
          <w:pgMar w:top="1440" w:right="1440" w:bottom="1440" w:left="1440" w:header="706" w:footer="706" w:gutter="0"/>
          <w:pgNumType w:start="0"/>
          <w:cols w:space="708"/>
          <w:titlePg/>
          <w:docGrid w:linePitch="360"/>
        </w:sectPr>
      </w:pPr>
      <w:r w:rsidRPr="00C739A6">
        <w:t xml:space="preserve">Work and Income (2018). Families Package. Retrieved from </w:t>
      </w:r>
      <w:hyperlink r:id="rId57" w:anchor="null" w:history="1">
        <w:r w:rsidRPr="00C739A6">
          <w:rPr>
            <w:rStyle w:val="Hyperlink"/>
          </w:rPr>
          <w:t>https://www.workandincome.govt.nz/about-work-and-income/news/2017/families-package.html#null</w:t>
        </w:r>
      </w:hyperlink>
      <w:r w:rsidRPr="00C739A6">
        <w:t xml:space="preserve"> </w:t>
      </w:r>
    </w:p>
    <w:p w14:paraId="049FBED1" w14:textId="1E1682FC" w:rsidR="00946A51" w:rsidRPr="00C739A6" w:rsidRDefault="00946A51" w:rsidP="00BA649F">
      <w:pPr>
        <w:pStyle w:val="Heading1"/>
      </w:pPr>
      <w:bookmarkStart w:id="41" w:name="_Toc66785677"/>
      <w:bookmarkStart w:id="42" w:name="_Ref67063373"/>
      <w:r w:rsidRPr="00C739A6">
        <w:lastRenderedPageBreak/>
        <w:t>Appendix A: Selected WFF rates 2008 to 2021</w:t>
      </w:r>
      <w:bookmarkEnd w:id="41"/>
      <w:bookmarkEnd w:id="42"/>
    </w:p>
    <w:p w14:paraId="3E667A48" w14:textId="4FA878A6" w:rsidR="00946A51" w:rsidRPr="00C739A6" w:rsidRDefault="00946A51" w:rsidP="00946A51">
      <w:pPr>
        <w:pStyle w:val="Caption"/>
        <w:keepNext/>
        <w:rPr>
          <w:sz w:val="24"/>
        </w:rPr>
      </w:pPr>
      <w:bookmarkStart w:id="43" w:name="_Toc70079152"/>
      <w:r w:rsidRPr="00C739A6">
        <w:rPr>
          <w:sz w:val="24"/>
        </w:rPr>
        <w:t xml:space="preserve">Table </w:t>
      </w:r>
      <w:r w:rsidR="007D4320">
        <w:rPr>
          <w:sz w:val="24"/>
        </w:rPr>
        <w:t>5</w:t>
      </w:r>
      <w:r w:rsidRPr="00C739A6">
        <w:rPr>
          <w:sz w:val="24"/>
        </w:rPr>
        <w:t xml:space="preserve">: </w:t>
      </w:r>
      <w:r w:rsidR="008632DF" w:rsidRPr="00C739A6">
        <w:rPr>
          <w:sz w:val="24"/>
        </w:rPr>
        <w:t>Working for Families</w:t>
      </w:r>
      <w:r w:rsidRPr="00C739A6">
        <w:rPr>
          <w:sz w:val="24"/>
        </w:rPr>
        <w:t xml:space="preserve"> abatement threshold and abatement rate (averaged over year)</w:t>
      </w:r>
      <w:r w:rsidRPr="00C739A6">
        <w:rPr>
          <w:noProof/>
          <w:sz w:val="24"/>
        </w:rPr>
        <w:t xml:space="preserve"> for years ending March 2008-21</w:t>
      </w:r>
      <w:bookmarkEnd w:id="43"/>
    </w:p>
    <w:tbl>
      <w:tblPr>
        <w:tblStyle w:val="PlainTable1"/>
        <w:tblW w:w="14811" w:type="dxa"/>
        <w:tblLayout w:type="fixed"/>
        <w:tblLook w:val="04A0" w:firstRow="1" w:lastRow="0" w:firstColumn="1" w:lastColumn="0" w:noHBand="0" w:noVBand="1"/>
      </w:tblPr>
      <w:tblGrid>
        <w:gridCol w:w="987"/>
        <w:gridCol w:w="987"/>
        <w:gridCol w:w="987"/>
        <w:gridCol w:w="987"/>
        <w:gridCol w:w="989"/>
        <w:gridCol w:w="987"/>
        <w:gridCol w:w="987"/>
        <w:gridCol w:w="987"/>
        <w:gridCol w:w="987"/>
        <w:gridCol w:w="989"/>
        <w:gridCol w:w="987"/>
        <w:gridCol w:w="987"/>
        <w:gridCol w:w="987"/>
        <w:gridCol w:w="987"/>
        <w:gridCol w:w="989"/>
      </w:tblGrid>
      <w:tr w:rsidR="00946A51" w:rsidRPr="00C739A6" w14:paraId="7D4D2F3A" w14:textId="77777777" w:rsidTr="0008762D">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87" w:type="dxa"/>
            <w:noWrap/>
          </w:tcPr>
          <w:p w14:paraId="7C6DEB0D" w14:textId="77777777" w:rsidR="00946A51" w:rsidRPr="00C739A6" w:rsidRDefault="00946A51" w:rsidP="0008762D">
            <w:pPr>
              <w:rPr>
                <w:rFonts w:ascii="Calibri" w:eastAsia="Times New Roman" w:hAnsi="Calibri" w:cs="Calibri"/>
                <w:b w:val="0"/>
                <w:bCs w:val="0"/>
                <w:color w:val="000000"/>
                <w:sz w:val="18"/>
                <w:lang w:eastAsia="en-NZ"/>
              </w:rPr>
            </w:pPr>
          </w:p>
        </w:tc>
        <w:tc>
          <w:tcPr>
            <w:tcW w:w="987" w:type="dxa"/>
            <w:noWrap/>
          </w:tcPr>
          <w:p w14:paraId="1FDF5C31" w14:textId="77777777" w:rsidR="00946A51" w:rsidRPr="00C739A6" w:rsidRDefault="00946A51" w:rsidP="0008762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2008</w:t>
            </w:r>
          </w:p>
        </w:tc>
        <w:tc>
          <w:tcPr>
            <w:tcW w:w="987" w:type="dxa"/>
            <w:noWrap/>
          </w:tcPr>
          <w:p w14:paraId="56E0910D" w14:textId="77777777" w:rsidR="00946A51" w:rsidRPr="00C739A6" w:rsidRDefault="00946A51" w:rsidP="0008762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2009</w:t>
            </w:r>
          </w:p>
        </w:tc>
        <w:tc>
          <w:tcPr>
            <w:tcW w:w="987" w:type="dxa"/>
            <w:noWrap/>
          </w:tcPr>
          <w:p w14:paraId="002983FB" w14:textId="77777777" w:rsidR="00946A51" w:rsidRPr="00C739A6" w:rsidRDefault="00946A51" w:rsidP="0008762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2010</w:t>
            </w:r>
          </w:p>
        </w:tc>
        <w:tc>
          <w:tcPr>
            <w:tcW w:w="989" w:type="dxa"/>
            <w:noWrap/>
          </w:tcPr>
          <w:p w14:paraId="53B8E902" w14:textId="77777777" w:rsidR="00946A51" w:rsidRPr="00C739A6" w:rsidRDefault="00946A51" w:rsidP="0008762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2011</w:t>
            </w:r>
          </w:p>
        </w:tc>
        <w:tc>
          <w:tcPr>
            <w:tcW w:w="987" w:type="dxa"/>
            <w:noWrap/>
          </w:tcPr>
          <w:p w14:paraId="77CFCDBD" w14:textId="77777777" w:rsidR="00946A51" w:rsidRPr="00C739A6" w:rsidRDefault="00946A51" w:rsidP="0008762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2012</w:t>
            </w:r>
          </w:p>
        </w:tc>
        <w:tc>
          <w:tcPr>
            <w:tcW w:w="987" w:type="dxa"/>
            <w:noWrap/>
          </w:tcPr>
          <w:p w14:paraId="7A14B5FB" w14:textId="77777777" w:rsidR="00946A51" w:rsidRPr="00C739A6" w:rsidRDefault="00946A51" w:rsidP="0008762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2013</w:t>
            </w:r>
          </w:p>
        </w:tc>
        <w:tc>
          <w:tcPr>
            <w:tcW w:w="987" w:type="dxa"/>
            <w:noWrap/>
          </w:tcPr>
          <w:p w14:paraId="079654CD" w14:textId="77777777" w:rsidR="00946A51" w:rsidRPr="00C739A6" w:rsidRDefault="00946A51" w:rsidP="0008762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2014</w:t>
            </w:r>
          </w:p>
        </w:tc>
        <w:tc>
          <w:tcPr>
            <w:tcW w:w="987" w:type="dxa"/>
            <w:noWrap/>
          </w:tcPr>
          <w:p w14:paraId="2D3FDE44" w14:textId="77777777" w:rsidR="00946A51" w:rsidRPr="00C739A6" w:rsidRDefault="00946A51" w:rsidP="0008762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2015</w:t>
            </w:r>
          </w:p>
        </w:tc>
        <w:tc>
          <w:tcPr>
            <w:tcW w:w="989" w:type="dxa"/>
            <w:noWrap/>
          </w:tcPr>
          <w:p w14:paraId="063EAD79" w14:textId="77777777" w:rsidR="00946A51" w:rsidRPr="00C739A6" w:rsidRDefault="00946A51" w:rsidP="0008762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2016</w:t>
            </w:r>
          </w:p>
        </w:tc>
        <w:tc>
          <w:tcPr>
            <w:tcW w:w="987" w:type="dxa"/>
            <w:noWrap/>
          </w:tcPr>
          <w:p w14:paraId="2D91BB79" w14:textId="77777777" w:rsidR="00946A51" w:rsidRPr="00C739A6" w:rsidRDefault="00946A51" w:rsidP="0008762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2017</w:t>
            </w:r>
          </w:p>
        </w:tc>
        <w:tc>
          <w:tcPr>
            <w:tcW w:w="987" w:type="dxa"/>
            <w:noWrap/>
          </w:tcPr>
          <w:p w14:paraId="4AD1D37E" w14:textId="77777777" w:rsidR="00946A51" w:rsidRPr="00C739A6" w:rsidRDefault="00946A51" w:rsidP="0008762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2018</w:t>
            </w:r>
          </w:p>
        </w:tc>
        <w:tc>
          <w:tcPr>
            <w:tcW w:w="987" w:type="dxa"/>
            <w:noWrap/>
          </w:tcPr>
          <w:p w14:paraId="6EAB6E00" w14:textId="77777777" w:rsidR="00946A51" w:rsidRPr="00C739A6" w:rsidRDefault="00946A51" w:rsidP="0008762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2019</w:t>
            </w:r>
          </w:p>
        </w:tc>
        <w:tc>
          <w:tcPr>
            <w:tcW w:w="987" w:type="dxa"/>
            <w:noWrap/>
          </w:tcPr>
          <w:p w14:paraId="41A7DF0D" w14:textId="77777777" w:rsidR="00946A51" w:rsidRPr="00C739A6" w:rsidRDefault="00946A51" w:rsidP="0008762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2020</w:t>
            </w:r>
          </w:p>
        </w:tc>
        <w:tc>
          <w:tcPr>
            <w:tcW w:w="989" w:type="dxa"/>
            <w:noWrap/>
          </w:tcPr>
          <w:p w14:paraId="6024C2AC" w14:textId="77777777" w:rsidR="00946A51" w:rsidRPr="00C739A6" w:rsidRDefault="00946A51" w:rsidP="0008762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2021</w:t>
            </w:r>
          </w:p>
        </w:tc>
      </w:tr>
      <w:tr w:rsidR="00946A51" w:rsidRPr="00C739A6" w14:paraId="7CCBD00F" w14:textId="77777777" w:rsidTr="0008762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87" w:type="dxa"/>
            <w:noWrap/>
            <w:hideMark/>
          </w:tcPr>
          <w:p w14:paraId="1519AFBF" w14:textId="77777777" w:rsidR="00946A51" w:rsidRPr="00C739A6" w:rsidRDefault="00946A51" w:rsidP="0008762D">
            <w:pPr>
              <w:rPr>
                <w:rFonts w:ascii="Calibri" w:eastAsia="Times New Roman" w:hAnsi="Calibri" w:cs="Calibri"/>
                <w:color w:val="000000"/>
                <w:sz w:val="18"/>
                <w:lang w:eastAsia="en-NZ"/>
              </w:rPr>
            </w:pPr>
            <w:r w:rsidRPr="00C739A6">
              <w:rPr>
                <w:rFonts w:ascii="Calibri" w:eastAsia="Times New Roman" w:hAnsi="Calibri" w:cs="Calibri"/>
                <w:bCs w:val="0"/>
                <w:color w:val="000000"/>
                <w:sz w:val="18"/>
                <w:lang w:eastAsia="en-NZ"/>
              </w:rPr>
              <w:t>Threshold</w:t>
            </w:r>
          </w:p>
        </w:tc>
        <w:tc>
          <w:tcPr>
            <w:tcW w:w="987" w:type="dxa"/>
            <w:noWrap/>
            <w:hideMark/>
          </w:tcPr>
          <w:p w14:paraId="1577E69D" w14:textId="77777777" w:rsidR="00946A51" w:rsidRPr="00C739A6" w:rsidRDefault="00946A51"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35,000</w:t>
            </w:r>
          </w:p>
        </w:tc>
        <w:tc>
          <w:tcPr>
            <w:tcW w:w="987" w:type="dxa"/>
            <w:noWrap/>
            <w:hideMark/>
          </w:tcPr>
          <w:p w14:paraId="33D6DFAA" w14:textId="77777777" w:rsidR="00946A51" w:rsidRPr="00C739A6" w:rsidRDefault="00946A51"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35,913</w:t>
            </w:r>
          </w:p>
        </w:tc>
        <w:tc>
          <w:tcPr>
            <w:tcW w:w="987" w:type="dxa"/>
            <w:noWrap/>
            <w:hideMark/>
          </w:tcPr>
          <w:p w14:paraId="554F534D" w14:textId="77777777" w:rsidR="00946A51" w:rsidRPr="00C739A6" w:rsidRDefault="00946A51"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36,827</w:t>
            </w:r>
          </w:p>
        </w:tc>
        <w:tc>
          <w:tcPr>
            <w:tcW w:w="989" w:type="dxa"/>
            <w:noWrap/>
            <w:hideMark/>
          </w:tcPr>
          <w:p w14:paraId="5F3B82F1" w14:textId="77777777" w:rsidR="00946A51" w:rsidRPr="00C739A6" w:rsidRDefault="00946A51"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36,827</w:t>
            </w:r>
          </w:p>
        </w:tc>
        <w:tc>
          <w:tcPr>
            <w:tcW w:w="987" w:type="dxa"/>
            <w:noWrap/>
            <w:hideMark/>
          </w:tcPr>
          <w:p w14:paraId="091B4CD1" w14:textId="77777777" w:rsidR="00946A51" w:rsidRPr="00C739A6" w:rsidRDefault="00946A51"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36,827</w:t>
            </w:r>
          </w:p>
        </w:tc>
        <w:tc>
          <w:tcPr>
            <w:tcW w:w="987" w:type="dxa"/>
            <w:noWrap/>
            <w:hideMark/>
          </w:tcPr>
          <w:p w14:paraId="775EABAA" w14:textId="77777777" w:rsidR="00946A51" w:rsidRPr="00C739A6" w:rsidRDefault="00946A51"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36,350</w:t>
            </w:r>
          </w:p>
        </w:tc>
        <w:tc>
          <w:tcPr>
            <w:tcW w:w="987" w:type="dxa"/>
            <w:noWrap/>
            <w:hideMark/>
          </w:tcPr>
          <w:p w14:paraId="05EC8C60" w14:textId="77777777" w:rsidR="00946A51" w:rsidRPr="00C739A6" w:rsidRDefault="00946A51"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36,350</w:t>
            </w:r>
          </w:p>
        </w:tc>
        <w:tc>
          <w:tcPr>
            <w:tcW w:w="987" w:type="dxa"/>
            <w:noWrap/>
            <w:hideMark/>
          </w:tcPr>
          <w:p w14:paraId="5ED1FCD7" w14:textId="77777777" w:rsidR="00946A51" w:rsidRPr="00C739A6" w:rsidRDefault="00946A51"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36,350</w:t>
            </w:r>
          </w:p>
        </w:tc>
        <w:tc>
          <w:tcPr>
            <w:tcW w:w="989" w:type="dxa"/>
            <w:noWrap/>
            <w:hideMark/>
          </w:tcPr>
          <w:p w14:paraId="38DDA643" w14:textId="77777777" w:rsidR="00946A51" w:rsidRPr="00C739A6" w:rsidRDefault="00946A51"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36,350</w:t>
            </w:r>
          </w:p>
        </w:tc>
        <w:tc>
          <w:tcPr>
            <w:tcW w:w="987" w:type="dxa"/>
            <w:noWrap/>
            <w:hideMark/>
          </w:tcPr>
          <w:p w14:paraId="2A40303B" w14:textId="77777777" w:rsidR="00946A51" w:rsidRPr="00C739A6" w:rsidRDefault="00946A51"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36,350</w:t>
            </w:r>
          </w:p>
        </w:tc>
        <w:tc>
          <w:tcPr>
            <w:tcW w:w="987" w:type="dxa"/>
            <w:noWrap/>
            <w:hideMark/>
          </w:tcPr>
          <w:p w14:paraId="7B8723BE" w14:textId="77777777" w:rsidR="00946A51" w:rsidRPr="00C739A6" w:rsidRDefault="00946A51"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36,350</w:t>
            </w:r>
          </w:p>
        </w:tc>
        <w:tc>
          <w:tcPr>
            <w:tcW w:w="987" w:type="dxa"/>
            <w:noWrap/>
            <w:hideMark/>
          </w:tcPr>
          <w:p w14:paraId="0A7327D6" w14:textId="77777777" w:rsidR="00946A51" w:rsidRPr="00C739A6" w:rsidRDefault="00946A51"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41,116</w:t>
            </w:r>
          </w:p>
        </w:tc>
        <w:tc>
          <w:tcPr>
            <w:tcW w:w="987" w:type="dxa"/>
            <w:noWrap/>
            <w:hideMark/>
          </w:tcPr>
          <w:p w14:paraId="7ECC014C" w14:textId="77777777" w:rsidR="00946A51" w:rsidRPr="00C739A6" w:rsidRDefault="00946A51"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42,700</w:t>
            </w:r>
          </w:p>
        </w:tc>
        <w:tc>
          <w:tcPr>
            <w:tcW w:w="989" w:type="dxa"/>
            <w:noWrap/>
            <w:hideMark/>
          </w:tcPr>
          <w:p w14:paraId="735AC887" w14:textId="77777777" w:rsidR="00946A51" w:rsidRPr="00C739A6" w:rsidRDefault="00946A51"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42,700</w:t>
            </w:r>
          </w:p>
        </w:tc>
      </w:tr>
      <w:tr w:rsidR="00946A51" w:rsidRPr="00C739A6" w14:paraId="2391F2E9" w14:textId="77777777" w:rsidTr="0008762D">
        <w:trPr>
          <w:trHeight w:val="342"/>
        </w:trPr>
        <w:tc>
          <w:tcPr>
            <w:cnfStyle w:val="001000000000" w:firstRow="0" w:lastRow="0" w:firstColumn="1" w:lastColumn="0" w:oddVBand="0" w:evenVBand="0" w:oddHBand="0" w:evenHBand="0" w:firstRowFirstColumn="0" w:firstRowLastColumn="0" w:lastRowFirstColumn="0" w:lastRowLastColumn="0"/>
            <w:tcW w:w="987" w:type="dxa"/>
            <w:noWrap/>
            <w:hideMark/>
          </w:tcPr>
          <w:p w14:paraId="31F9DABE" w14:textId="77777777" w:rsidR="00946A51" w:rsidRPr="00C739A6" w:rsidRDefault="00946A51" w:rsidP="0008762D">
            <w:pPr>
              <w:rPr>
                <w:rFonts w:ascii="Calibri" w:eastAsia="Times New Roman" w:hAnsi="Calibri" w:cs="Calibri"/>
                <w:color w:val="000000"/>
                <w:sz w:val="18"/>
                <w:lang w:eastAsia="en-NZ"/>
              </w:rPr>
            </w:pPr>
            <w:r w:rsidRPr="00C739A6">
              <w:rPr>
                <w:rFonts w:ascii="Calibri" w:eastAsia="Times New Roman" w:hAnsi="Calibri" w:cs="Calibri"/>
                <w:bCs w:val="0"/>
                <w:color w:val="000000"/>
                <w:sz w:val="20"/>
                <w:lang w:eastAsia="en-NZ"/>
              </w:rPr>
              <w:t>Rate</w:t>
            </w:r>
          </w:p>
        </w:tc>
        <w:tc>
          <w:tcPr>
            <w:tcW w:w="987" w:type="dxa"/>
            <w:noWrap/>
            <w:hideMark/>
          </w:tcPr>
          <w:p w14:paraId="59497846" w14:textId="77777777" w:rsidR="00946A51" w:rsidRPr="00C739A6" w:rsidRDefault="00946A51"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w:t>
            </w:r>
          </w:p>
        </w:tc>
        <w:tc>
          <w:tcPr>
            <w:tcW w:w="987" w:type="dxa"/>
            <w:noWrap/>
            <w:hideMark/>
          </w:tcPr>
          <w:p w14:paraId="7297F9AE" w14:textId="77777777" w:rsidR="00946A51" w:rsidRPr="00C739A6" w:rsidRDefault="00946A51"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w:t>
            </w:r>
          </w:p>
        </w:tc>
        <w:tc>
          <w:tcPr>
            <w:tcW w:w="987" w:type="dxa"/>
            <w:noWrap/>
            <w:hideMark/>
          </w:tcPr>
          <w:p w14:paraId="4B5289C3" w14:textId="77777777" w:rsidR="00946A51" w:rsidRPr="00C739A6" w:rsidRDefault="00946A51"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w:t>
            </w:r>
          </w:p>
        </w:tc>
        <w:tc>
          <w:tcPr>
            <w:tcW w:w="989" w:type="dxa"/>
            <w:noWrap/>
            <w:hideMark/>
          </w:tcPr>
          <w:p w14:paraId="387BD9ED" w14:textId="77777777" w:rsidR="00946A51" w:rsidRPr="00C739A6" w:rsidRDefault="00946A51"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w:t>
            </w:r>
          </w:p>
        </w:tc>
        <w:tc>
          <w:tcPr>
            <w:tcW w:w="987" w:type="dxa"/>
            <w:noWrap/>
            <w:hideMark/>
          </w:tcPr>
          <w:p w14:paraId="02643C02" w14:textId="77777777" w:rsidR="00946A51" w:rsidRPr="00C739A6" w:rsidRDefault="00946A51"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20.00%</w:t>
            </w:r>
          </w:p>
        </w:tc>
        <w:tc>
          <w:tcPr>
            <w:tcW w:w="987" w:type="dxa"/>
            <w:noWrap/>
            <w:hideMark/>
          </w:tcPr>
          <w:p w14:paraId="5A5EC336" w14:textId="77777777" w:rsidR="00946A51" w:rsidRPr="00C739A6" w:rsidRDefault="00946A51"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21.25%</w:t>
            </w:r>
          </w:p>
        </w:tc>
        <w:tc>
          <w:tcPr>
            <w:tcW w:w="987" w:type="dxa"/>
            <w:noWrap/>
            <w:hideMark/>
          </w:tcPr>
          <w:p w14:paraId="0073C817" w14:textId="77777777" w:rsidR="00946A51" w:rsidRPr="00C739A6" w:rsidRDefault="00946A51"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21.25%</w:t>
            </w:r>
          </w:p>
        </w:tc>
        <w:tc>
          <w:tcPr>
            <w:tcW w:w="987" w:type="dxa"/>
            <w:noWrap/>
            <w:hideMark/>
          </w:tcPr>
          <w:p w14:paraId="74CFB9D3" w14:textId="77777777" w:rsidR="00946A51" w:rsidRPr="00C739A6" w:rsidRDefault="00946A51"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21.25%</w:t>
            </w:r>
          </w:p>
        </w:tc>
        <w:tc>
          <w:tcPr>
            <w:tcW w:w="989" w:type="dxa"/>
            <w:noWrap/>
            <w:hideMark/>
          </w:tcPr>
          <w:p w14:paraId="6018B895" w14:textId="77777777" w:rsidR="00946A51" w:rsidRPr="00C739A6" w:rsidRDefault="00946A51"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21.25%</w:t>
            </w:r>
          </w:p>
        </w:tc>
        <w:tc>
          <w:tcPr>
            <w:tcW w:w="987" w:type="dxa"/>
            <w:noWrap/>
            <w:hideMark/>
          </w:tcPr>
          <w:p w14:paraId="2F6E04EC" w14:textId="77777777" w:rsidR="00946A51" w:rsidRPr="00C739A6" w:rsidRDefault="00946A51"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22.50%</w:t>
            </w:r>
          </w:p>
        </w:tc>
        <w:tc>
          <w:tcPr>
            <w:tcW w:w="987" w:type="dxa"/>
            <w:noWrap/>
            <w:hideMark/>
          </w:tcPr>
          <w:p w14:paraId="2ABF8E94" w14:textId="77777777" w:rsidR="00946A51" w:rsidRPr="00C739A6" w:rsidRDefault="00946A51"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22.50%</w:t>
            </w:r>
          </w:p>
        </w:tc>
        <w:tc>
          <w:tcPr>
            <w:tcW w:w="987" w:type="dxa"/>
            <w:noWrap/>
            <w:hideMark/>
          </w:tcPr>
          <w:p w14:paraId="11CD8A20" w14:textId="751E833D" w:rsidR="00946A51" w:rsidRPr="00C739A6" w:rsidRDefault="00946A51" w:rsidP="001666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w:t>
            </w:r>
            <w:r w:rsidR="001666E6">
              <w:rPr>
                <w:rFonts w:ascii="Calibri" w:eastAsia="Times New Roman" w:hAnsi="Calibri" w:cs="Calibri"/>
                <w:color w:val="000000"/>
                <w:lang w:eastAsia="en-NZ"/>
              </w:rPr>
              <w:t>5</w:t>
            </w:r>
            <w:r w:rsidRPr="00C739A6">
              <w:rPr>
                <w:rFonts w:ascii="Calibri" w:eastAsia="Times New Roman" w:hAnsi="Calibri" w:cs="Calibri"/>
                <w:color w:val="000000"/>
                <w:lang w:eastAsia="en-NZ"/>
              </w:rPr>
              <w:t>%</w:t>
            </w:r>
          </w:p>
        </w:tc>
        <w:tc>
          <w:tcPr>
            <w:tcW w:w="987" w:type="dxa"/>
            <w:noWrap/>
            <w:hideMark/>
          </w:tcPr>
          <w:p w14:paraId="1538B69C" w14:textId="77777777" w:rsidR="00946A51" w:rsidRPr="00C739A6" w:rsidRDefault="00946A51"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25%</w:t>
            </w:r>
          </w:p>
        </w:tc>
        <w:tc>
          <w:tcPr>
            <w:tcW w:w="989" w:type="dxa"/>
            <w:noWrap/>
            <w:hideMark/>
          </w:tcPr>
          <w:p w14:paraId="3BC22F00" w14:textId="77777777" w:rsidR="00946A51" w:rsidRPr="00C739A6" w:rsidRDefault="00946A51"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25%</w:t>
            </w:r>
          </w:p>
        </w:tc>
      </w:tr>
    </w:tbl>
    <w:p w14:paraId="423C0DC6" w14:textId="77777777" w:rsidR="00946A51" w:rsidRPr="00C739A6" w:rsidRDefault="00946A51" w:rsidP="00946A51"/>
    <w:p w14:paraId="1471BFF7" w14:textId="06FBEA34" w:rsidR="004A6A77" w:rsidRPr="00C739A6" w:rsidRDefault="004A6A77" w:rsidP="004A6A77">
      <w:pPr>
        <w:pStyle w:val="Caption"/>
        <w:keepNext/>
      </w:pPr>
      <w:bookmarkStart w:id="44" w:name="_Toc70079153"/>
      <w:r w:rsidRPr="00C739A6">
        <w:rPr>
          <w:sz w:val="24"/>
        </w:rPr>
        <w:t xml:space="preserve">Table </w:t>
      </w:r>
      <w:r w:rsidR="007D4320">
        <w:rPr>
          <w:sz w:val="24"/>
        </w:rPr>
        <w:t>6</w:t>
      </w:r>
      <w:r w:rsidRPr="00C739A6">
        <w:rPr>
          <w:sz w:val="24"/>
        </w:rPr>
        <w:t xml:space="preserve">: </w:t>
      </w:r>
      <w:r w:rsidR="00682EA4" w:rsidRPr="00C739A6">
        <w:rPr>
          <w:sz w:val="24"/>
        </w:rPr>
        <w:t>Average weekl</w:t>
      </w:r>
      <w:r w:rsidRPr="00C739A6">
        <w:rPr>
          <w:sz w:val="24"/>
        </w:rPr>
        <w:t>y</w:t>
      </w:r>
      <w:r w:rsidR="00682EA4" w:rsidRPr="00C739A6">
        <w:rPr>
          <w:sz w:val="24"/>
        </w:rPr>
        <w:t xml:space="preserve"> </w:t>
      </w:r>
      <w:r w:rsidR="009220EF" w:rsidRPr="00C739A6">
        <w:rPr>
          <w:sz w:val="24"/>
        </w:rPr>
        <w:t>Family Tax Credit</w:t>
      </w:r>
      <w:r w:rsidRPr="00C739A6">
        <w:rPr>
          <w:sz w:val="24"/>
        </w:rPr>
        <w:t xml:space="preserve"> nominal values for years ended March 2008 to 2021</w:t>
      </w:r>
      <w:bookmarkEnd w:id="44"/>
    </w:p>
    <w:tbl>
      <w:tblPr>
        <w:tblStyle w:val="PlainTable1"/>
        <w:tblW w:w="14612" w:type="dxa"/>
        <w:tblLook w:val="04A0" w:firstRow="1" w:lastRow="0" w:firstColumn="1" w:lastColumn="0" w:noHBand="0" w:noVBand="1"/>
      </w:tblPr>
      <w:tblGrid>
        <w:gridCol w:w="1340"/>
        <w:gridCol w:w="1345"/>
        <w:gridCol w:w="703"/>
        <w:gridCol w:w="764"/>
        <w:gridCol w:w="764"/>
        <w:gridCol w:w="885"/>
        <w:gridCol w:w="885"/>
        <w:gridCol w:w="885"/>
        <w:gridCol w:w="885"/>
        <w:gridCol w:w="885"/>
        <w:gridCol w:w="885"/>
        <w:gridCol w:w="885"/>
        <w:gridCol w:w="885"/>
        <w:gridCol w:w="885"/>
        <w:gridCol w:w="885"/>
        <w:gridCol w:w="885"/>
      </w:tblGrid>
      <w:tr w:rsidR="004A6A77" w:rsidRPr="00C739A6" w14:paraId="0A23DFD0" w14:textId="77777777" w:rsidTr="00C048FC">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6ADE139C" w14:textId="77777777" w:rsidR="004A6A77" w:rsidRPr="00C739A6" w:rsidRDefault="004A6A77" w:rsidP="0008762D">
            <w:pPr>
              <w:rPr>
                <w:rFonts w:ascii="Calibri" w:eastAsia="Times New Roman" w:hAnsi="Calibri" w:cs="Calibri"/>
                <w:color w:val="000000"/>
                <w:lang w:eastAsia="en-NZ"/>
              </w:rPr>
            </w:pPr>
          </w:p>
        </w:tc>
        <w:tc>
          <w:tcPr>
            <w:tcW w:w="0" w:type="auto"/>
            <w:noWrap/>
            <w:hideMark/>
          </w:tcPr>
          <w:p w14:paraId="64A3404E"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tc>
        <w:tc>
          <w:tcPr>
            <w:tcW w:w="0" w:type="auto"/>
            <w:noWrap/>
            <w:hideMark/>
          </w:tcPr>
          <w:p w14:paraId="65E6DB42"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2008</w:t>
            </w:r>
          </w:p>
        </w:tc>
        <w:tc>
          <w:tcPr>
            <w:tcW w:w="0" w:type="auto"/>
            <w:noWrap/>
            <w:hideMark/>
          </w:tcPr>
          <w:p w14:paraId="64765488"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2009</w:t>
            </w:r>
          </w:p>
        </w:tc>
        <w:tc>
          <w:tcPr>
            <w:tcW w:w="0" w:type="auto"/>
            <w:noWrap/>
            <w:hideMark/>
          </w:tcPr>
          <w:p w14:paraId="2A95D247"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2010</w:t>
            </w:r>
          </w:p>
        </w:tc>
        <w:tc>
          <w:tcPr>
            <w:tcW w:w="0" w:type="auto"/>
            <w:noWrap/>
            <w:hideMark/>
          </w:tcPr>
          <w:p w14:paraId="50B0C4B6"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2011</w:t>
            </w:r>
          </w:p>
        </w:tc>
        <w:tc>
          <w:tcPr>
            <w:tcW w:w="0" w:type="auto"/>
            <w:noWrap/>
            <w:hideMark/>
          </w:tcPr>
          <w:p w14:paraId="28774892"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2012</w:t>
            </w:r>
          </w:p>
        </w:tc>
        <w:tc>
          <w:tcPr>
            <w:tcW w:w="0" w:type="auto"/>
            <w:noWrap/>
            <w:hideMark/>
          </w:tcPr>
          <w:p w14:paraId="0327C356"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2013</w:t>
            </w:r>
          </w:p>
        </w:tc>
        <w:tc>
          <w:tcPr>
            <w:tcW w:w="0" w:type="auto"/>
            <w:noWrap/>
            <w:hideMark/>
          </w:tcPr>
          <w:p w14:paraId="277D79DC"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2014</w:t>
            </w:r>
          </w:p>
        </w:tc>
        <w:tc>
          <w:tcPr>
            <w:tcW w:w="0" w:type="auto"/>
            <w:noWrap/>
            <w:hideMark/>
          </w:tcPr>
          <w:p w14:paraId="13B8A892"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2015</w:t>
            </w:r>
          </w:p>
        </w:tc>
        <w:tc>
          <w:tcPr>
            <w:tcW w:w="0" w:type="auto"/>
            <w:noWrap/>
            <w:hideMark/>
          </w:tcPr>
          <w:p w14:paraId="2E27A3A2"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2016</w:t>
            </w:r>
          </w:p>
        </w:tc>
        <w:tc>
          <w:tcPr>
            <w:tcW w:w="0" w:type="auto"/>
            <w:noWrap/>
            <w:hideMark/>
          </w:tcPr>
          <w:p w14:paraId="41BD5957"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2017</w:t>
            </w:r>
          </w:p>
        </w:tc>
        <w:tc>
          <w:tcPr>
            <w:tcW w:w="0" w:type="auto"/>
            <w:noWrap/>
            <w:hideMark/>
          </w:tcPr>
          <w:p w14:paraId="18193021"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2018</w:t>
            </w:r>
          </w:p>
        </w:tc>
        <w:tc>
          <w:tcPr>
            <w:tcW w:w="0" w:type="auto"/>
            <w:noWrap/>
            <w:hideMark/>
          </w:tcPr>
          <w:p w14:paraId="19582D72"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2019</w:t>
            </w:r>
          </w:p>
        </w:tc>
        <w:tc>
          <w:tcPr>
            <w:tcW w:w="0" w:type="auto"/>
            <w:noWrap/>
            <w:hideMark/>
          </w:tcPr>
          <w:p w14:paraId="66D41E84"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2020</w:t>
            </w:r>
          </w:p>
        </w:tc>
        <w:tc>
          <w:tcPr>
            <w:tcW w:w="0" w:type="auto"/>
            <w:noWrap/>
            <w:hideMark/>
          </w:tcPr>
          <w:p w14:paraId="72A39F51"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2021</w:t>
            </w:r>
          </w:p>
        </w:tc>
      </w:tr>
      <w:tr w:rsidR="004A6A77" w:rsidRPr="00C739A6" w14:paraId="08B734FC" w14:textId="77777777" w:rsidTr="00C048FC">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1D4DEBEE" w14:textId="77777777" w:rsidR="004A6A77" w:rsidRPr="00C739A6" w:rsidRDefault="004A6A77" w:rsidP="0008762D">
            <w:pPr>
              <w:rPr>
                <w:rFonts w:ascii="Calibri" w:eastAsia="Times New Roman" w:hAnsi="Calibri" w:cs="Calibri"/>
                <w:color w:val="000000"/>
                <w:lang w:eastAsia="en-NZ"/>
              </w:rPr>
            </w:pPr>
            <w:r w:rsidRPr="00C739A6">
              <w:rPr>
                <w:rFonts w:ascii="Calibri" w:eastAsia="Times New Roman" w:hAnsi="Calibri" w:cs="Calibri"/>
                <w:color w:val="000000"/>
                <w:lang w:eastAsia="en-NZ"/>
              </w:rPr>
              <w:t>Aged 0-15</w:t>
            </w:r>
          </w:p>
        </w:tc>
        <w:tc>
          <w:tcPr>
            <w:tcW w:w="0" w:type="auto"/>
            <w:noWrap/>
            <w:hideMark/>
          </w:tcPr>
          <w:p w14:paraId="5160DA3C" w14:textId="77777777" w:rsidR="004A6A77" w:rsidRPr="00C739A6" w:rsidRDefault="004A6A77" w:rsidP="000876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NZ"/>
              </w:rPr>
            </w:pPr>
            <w:r w:rsidRPr="00C739A6">
              <w:rPr>
                <w:rFonts w:ascii="Calibri" w:eastAsia="Times New Roman" w:hAnsi="Calibri" w:cs="Calibri"/>
                <w:i/>
                <w:iCs/>
                <w:color w:val="000000"/>
                <w:lang w:eastAsia="en-NZ"/>
              </w:rPr>
              <w:t>First</w:t>
            </w:r>
          </w:p>
        </w:tc>
        <w:tc>
          <w:tcPr>
            <w:tcW w:w="0" w:type="auto"/>
            <w:noWrap/>
            <w:hideMark/>
          </w:tcPr>
          <w:p w14:paraId="0BA1024C"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82</w:t>
            </w:r>
          </w:p>
        </w:tc>
        <w:tc>
          <w:tcPr>
            <w:tcW w:w="0" w:type="auto"/>
            <w:noWrap/>
            <w:hideMark/>
          </w:tcPr>
          <w:p w14:paraId="3AE1D090"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84.15</w:t>
            </w:r>
          </w:p>
        </w:tc>
        <w:tc>
          <w:tcPr>
            <w:tcW w:w="0" w:type="auto"/>
            <w:noWrap/>
            <w:hideMark/>
          </w:tcPr>
          <w:p w14:paraId="040AEB93"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86.29</w:t>
            </w:r>
          </w:p>
        </w:tc>
        <w:tc>
          <w:tcPr>
            <w:tcW w:w="0" w:type="auto"/>
            <w:noWrap/>
            <w:hideMark/>
          </w:tcPr>
          <w:p w14:paraId="31FC0FEA"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87.17</w:t>
            </w:r>
          </w:p>
        </w:tc>
        <w:tc>
          <w:tcPr>
            <w:tcW w:w="0" w:type="auto"/>
            <w:noWrap/>
            <w:hideMark/>
          </w:tcPr>
          <w:p w14:paraId="2DFB4F9D"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88.04</w:t>
            </w:r>
          </w:p>
        </w:tc>
        <w:tc>
          <w:tcPr>
            <w:tcW w:w="0" w:type="auto"/>
            <w:noWrap/>
            <w:hideMark/>
          </w:tcPr>
          <w:p w14:paraId="1D29F814"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92.73</w:t>
            </w:r>
          </w:p>
        </w:tc>
        <w:tc>
          <w:tcPr>
            <w:tcW w:w="0" w:type="auto"/>
            <w:noWrap/>
            <w:hideMark/>
          </w:tcPr>
          <w:p w14:paraId="6E1EDA06"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92.73</w:t>
            </w:r>
          </w:p>
        </w:tc>
        <w:tc>
          <w:tcPr>
            <w:tcW w:w="0" w:type="auto"/>
            <w:noWrap/>
            <w:hideMark/>
          </w:tcPr>
          <w:p w14:paraId="309F1250"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92.73</w:t>
            </w:r>
          </w:p>
        </w:tc>
        <w:tc>
          <w:tcPr>
            <w:tcW w:w="0" w:type="auto"/>
            <w:noWrap/>
            <w:hideMark/>
          </w:tcPr>
          <w:p w14:paraId="618E63E6"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92.73</w:t>
            </w:r>
          </w:p>
        </w:tc>
        <w:tc>
          <w:tcPr>
            <w:tcW w:w="0" w:type="auto"/>
            <w:noWrap/>
            <w:hideMark/>
          </w:tcPr>
          <w:p w14:paraId="2E9B4A6B"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92.73</w:t>
            </w:r>
          </w:p>
        </w:tc>
        <w:tc>
          <w:tcPr>
            <w:tcW w:w="0" w:type="auto"/>
            <w:noWrap/>
            <w:hideMark/>
          </w:tcPr>
          <w:p w14:paraId="1682B8E0"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92.73</w:t>
            </w:r>
          </w:p>
        </w:tc>
        <w:tc>
          <w:tcPr>
            <w:tcW w:w="0" w:type="auto"/>
            <w:noWrap/>
            <w:hideMark/>
          </w:tcPr>
          <w:p w14:paraId="2FFB2039" w14:textId="143A371F" w:rsidR="004A6A77" w:rsidRPr="00C739A6" w:rsidRDefault="0057732C"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Pr>
                <w:rFonts w:ascii="Calibri" w:eastAsia="Times New Roman" w:hAnsi="Calibri" w:cs="Calibri"/>
                <w:color w:val="000000"/>
                <w:lang w:eastAsia="en-NZ"/>
              </w:rPr>
              <w:t>107.96</w:t>
            </w:r>
          </w:p>
        </w:tc>
        <w:tc>
          <w:tcPr>
            <w:tcW w:w="0" w:type="auto"/>
            <w:noWrap/>
            <w:hideMark/>
          </w:tcPr>
          <w:p w14:paraId="5010030C"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113.04</w:t>
            </w:r>
          </w:p>
        </w:tc>
        <w:tc>
          <w:tcPr>
            <w:tcW w:w="0" w:type="auto"/>
            <w:noWrap/>
            <w:hideMark/>
          </w:tcPr>
          <w:p w14:paraId="1151C31F"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113.04</w:t>
            </w:r>
          </w:p>
        </w:tc>
      </w:tr>
      <w:tr w:rsidR="004A6A77" w:rsidRPr="00C739A6" w14:paraId="313C9B1D" w14:textId="77777777" w:rsidTr="00C048FC">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77786E47" w14:textId="77777777" w:rsidR="004A6A77" w:rsidRPr="00C739A6" w:rsidRDefault="004A6A77" w:rsidP="0008762D">
            <w:pPr>
              <w:rPr>
                <w:rFonts w:ascii="Calibri" w:eastAsia="Times New Roman" w:hAnsi="Calibri" w:cs="Calibri"/>
                <w:color w:val="000000"/>
                <w:lang w:eastAsia="en-NZ"/>
              </w:rPr>
            </w:pPr>
            <w:r w:rsidRPr="00C739A6">
              <w:rPr>
                <w:rFonts w:ascii="Calibri" w:eastAsia="Times New Roman" w:hAnsi="Calibri" w:cs="Calibri"/>
                <w:color w:val="000000"/>
                <w:lang w:eastAsia="en-NZ"/>
              </w:rPr>
              <w:t>Aged 0-12</w:t>
            </w:r>
          </w:p>
        </w:tc>
        <w:tc>
          <w:tcPr>
            <w:tcW w:w="0" w:type="auto"/>
            <w:noWrap/>
            <w:hideMark/>
          </w:tcPr>
          <w:p w14:paraId="622B859D" w14:textId="77777777" w:rsidR="004A6A77" w:rsidRPr="00C739A6" w:rsidRDefault="004A6A77" w:rsidP="000876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NZ"/>
              </w:rPr>
            </w:pPr>
            <w:r w:rsidRPr="00C739A6">
              <w:rPr>
                <w:rFonts w:ascii="Calibri" w:eastAsia="Times New Roman" w:hAnsi="Calibri" w:cs="Calibri"/>
                <w:i/>
                <w:iCs/>
                <w:color w:val="000000"/>
                <w:lang w:eastAsia="en-NZ"/>
              </w:rPr>
              <w:t xml:space="preserve">Subsequent </w:t>
            </w:r>
          </w:p>
        </w:tc>
        <w:tc>
          <w:tcPr>
            <w:tcW w:w="0" w:type="auto"/>
            <w:noWrap/>
            <w:hideMark/>
          </w:tcPr>
          <w:p w14:paraId="3AB1C090"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57</w:t>
            </w:r>
          </w:p>
        </w:tc>
        <w:tc>
          <w:tcPr>
            <w:tcW w:w="0" w:type="auto"/>
            <w:noWrap/>
            <w:hideMark/>
          </w:tcPr>
          <w:p w14:paraId="503516B3"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58.49</w:t>
            </w:r>
          </w:p>
        </w:tc>
        <w:tc>
          <w:tcPr>
            <w:tcW w:w="0" w:type="auto"/>
            <w:noWrap/>
            <w:hideMark/>
          </w:tcPr>
          <w:p w14:paraId="1FB4A852"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59.98</w:t>
            </w:r>
          </w:p>
        </w:tc>
        <w:tc>
          <w:tcPr>
            <w:tcW w:w="0" w:type="auto"/>
            <w:noWrap/>
            <w:hideMark/>
          </w:tcPr>
          <w:p w14:paraId="70AA1CB7"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60.59</w:t>
            </w:r>
          </w:p>
        </w:tc>
        <w:tc>
          <w:tcPr>
            <w:tcW w:w="0" w:type="auto"/>
            <w:noWrap/>
            <w:hideMark/>
          </w:tcPr>
          <w:p w14:paraId="491C8AE5"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61.19</w:t>
            </w:r>
          </w:p>
        </w:tc>
        <w:tc>
          <w:tcPr>
            <w:tcW w:w="0" w:type="auto"/>
            <w:noWrap/>
            <w:hideMark/>
          </w:tcPr>
          <w:p w14:paraId="67095B1D"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64.44</w:t>
            </w:r>
          </w:p>
        </w:tc>
        <w:tc>
          <w:tcPr>
            <w:tcW w:w="0" w:type="auto"/>
            <w:noWrap/>
            <w:hideMark/>
          </w:tcPr>
          <w:p w14:paraId="6CF96543"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64.44</w:t>
            </w:r>
          </w:p>
        </w:tc>
        <w:tc>
          <w:tcPr>
            <w:tcW w:w="0" w:type="auto"/>
            <w:noWrap/>
            <w:hideMark/>
          </w:tcPr>
          <w:p w14:paraId="36AEB39A"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64.44</w:t>
            </w:r>
          </w:p>
        </w:tc>
        <w:tc>
          <w:tcPr>
            <w:tcW w:w="0" w:type="auto"/>
            <w:noWrap/>
            <w:hideMark/>
          </w:tcPr>
          <w:p w14:paraId="672CE2F3"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64.44</w:t>
            </w:r>
          </w:p>
        </w:tc>
        <w:tc>
          <w:tcPr>
            <w:tcW w:w="0" w:type="auto"/>
            <w:noWrap/>
            <w:hideMark/>
          </w:tcPr>
          <w:p w14:paraId="400B7379"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64.44</w:t>
            </w:r>
          </w:p>
        </w:tc>
        <w:tc>
          <w:tcPr>
            <w:tcW w:w="0" w:type="auto"/>
            <w:noWrap/>
            <w:hideMark/>
          </w:tcPr>
          <w:p w14:paraId="1259B1B7"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64.44</w:t>
            </w:r>
          </w:p>
        </w:tc>
        <w:tc>
          <w:tcPr>
            <w:tcW w:w="0" w:type="auto"/>
            <w:noWrap/>
            <w:hideMark/>
          </w:tcPr>
          <w:p w14:paraId="16037B45" w14:textId="6B404F86" w:rsidR="004A6A77" w:rsidRPr="00C739A6" w:rsidRDefault="0057732C"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Pr>
                <w:rFonts w:ascii="Calibri" w:eastAsia="Times New Roman" w:hAnsi="Calibri" w:cs="Calibri"/>
                <w:color w:val="000000"/>
                <w:lang w:eastAsia="en-NZ"/>
              </w:rPr>
              <w:t>84.55</w:t>
            </w:r>
          </w:p>
        </w:tc>
        <w:tc>
          <w:tcPr>
            <w:tcW w:w="0" w:type="auto"/>
            <w:noWrap/>
            <w:hideMark/>
          </w:tcPr>
          <w:p w14:paraId="1E9CCBFA"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91.25</w:t>
            </w:r>
          </w:p>
        </w:tc>
        <w:tc>
          <w:tcPr>
            <w:tcW w:w="0" w:type="auto"/>
            <w:noWrap/>
            <w:hideMark/>
          </w:tcPr>
          <w:p w14:paraId="0049FB5C"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91.25</w:t>
            </w:r>
          </w:p>
        </w:tc>
      </w:tr>
      <w:tr w:rsidR="004A6A77" w:rsidRPr="00C739A6" w14:paraId="6A8DFD3C" w14:textId="77777777" w:rsidTr="00C048FC">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7D178532" w14:textId="77777777" w:rsidR="004A6A77" w:rsidRPr="00C739A6" w:rsidRDefault="004A6A77" w:rsidP="0008762D">
            <w:pPr>
              <w:rPr>
                <w:rFonts w:ascii="Calibri" w:eastAsia="Times New Roman" w:hAnsi="Calibri" w:cs="Calibri"/>
                <w:color w:val="000000"/>
                <w:lang w:eastAsia="en-NZ"/>
              </w:rPr>
            </w:pPr>
            <w:r w:rsidRPr="00C739A6">
              <w:rPr>
                <w:rFonts w:ascii="Calibri" w:eastAsia="Times New Roman" w:hAnsi="Calibri" w:cs="Calibri"/>
                <w:color w:val="000000"/>
                <w:lang w:eastAsia="en-NZ"/>
              </w:rPr>
              <w:t>Aged 13-15</w:t>
            </w:r>
          </w:p>
        </w:tc>
        <w:tc>
          <w:tcPr>
            <w:tcW w:w="0" w:type="auto"/>
            <w:noWrap/>
            <w:hideMark/>
          </w:tcPr>
          <w:p w14:paraId="0A5DB957" w14:textId="77777777" w:rsidR="004A6A77" w:rsidRPr="00C739A6" w:rsidRDefault="004A6A77" w:rsidP="000876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NZ"/>
              </w:rPr>
            </w:pPr>
            <w:r w:rsidRPr="00C739A6">
              <w:rPr>
                <w:rFonts w:ascii="Calibri" w:eastAsia="Times New Roman" w:hAnsi="Calibri" w:cs="Calibri"/>
                <w:i/>
                <w:iCs/>
                <w:color w:val="000000"/>
                <w:lang w:eastAsia="en-NZ"/>
              </w:rPr>
              <w:t xml:space="preserve">Subsequent </w:t>
            </w:r>
          </w:p>
        </w:tc>
        <w:tc>
          <w:tcPr>
            <w:tcW w:w="0" w:type="auto"/>
            <w:noWrap/>
            <w:hideMark/>
          </w:tcPr>
          <w:p w14:paraId="489C00EB"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65</w:t>
            </w:r>
          </w:p>
        </w:tc>
        <w:tc>
          <w:tcPr>
            <w:tcW w:w="0" w:type="auto"/>
            <w:noWrap/>
            <w:hideMark/>
          </w:tcPr>
          <w:p w14:paraId="23DC07B2"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66.7</w:t>
            </w:r>
          </w:p>
        </w:tc>
        <w:tc>
          <w:tcPr>
            <w:tcW w:w="0" w:type="auto"/>
            <w:noWrap/>
            <w:hideMark/>
          </w:tcPr>
          <w:p w14:paraId="4B2006B7"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68.4</w:t>
            </w:r>
          </w:p>
        </w:tc>
        <w:tc>
          <w:tcPr>
            <w:tcW w:w="0" w:type="auto"/>
            <w:noWrap/>
            <w:hideMark/>
          </w:tcPr>
          <w:p w14:paraId="26AE6629"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69.1</w:t>
            </w:r>
          </w:p>
        </w:tc>
        <w:tc>
          <w:tcPr>
            <w:tcW w:w="0" w:type="auto"/>
            <w:noWrap/>
            <w:hideMark/>
          </w:tcPr>
          <w:p w14:paraId="0B91F7E8"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69.79</w:t>
            </w:r>
          </w:p>
        </w:tc>
        <w:tc>
          <w:tcPr>
            <w:tcW w:w="0" w:type="auto"/>
            <w:noWrap/>
            <w:hideMark/>
          </w:tcPr>
          <w:p w14:paraId="79E03DEB"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73.5</w:t>
            </w:r>
          </w:p>
        </w:tc>
        <w:tc>
          <w:tcPr>
            <w:tcW w:w="0" w:type="auto"/>
            <w:noWrap/>
            <w:hideMark/>
          </w:tcPr>
          <w:p w14:paraId="2AB45AE1"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73.5</w:t>
            </w:r>
          </w:p>
        </w:tc>
        <w:tc>
          <w:tcPr>
            <w:tcW w:w="0" w:type="auto"/>
            <w:noWrap/>
            <w:hideMark/>
          </w:tcPr>
          <w:p w14:paraId="640F42FA"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73.5</w:t>
            </w:r>
          </w:p>
        </w:tc>
        <w:tc>
          <w:tcPr>
            <w:tcW w:w="0" w:type="auto"/>
            <w:noWrap/>
            <w:hideMark/>
          </w:tcPr>
          <w:p w14:paraId="38895779"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73.5</w:t>
            </w:r>
          </w:p>
        </w:tc>
        <w:tc>
          <w:tcPr>
            <w:tcW w:w="0" w:type="auto"/>
            <w:noWrap/>
            <w:hideMark/>
          </w:tcPr>
          <w:p w14:paraId="07ED90F5"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73.5</w:t>
            </w:r>
          </w:p>
        </w:tc>
        <w:tc>
          <w:tcPr>
            <w:tcW w:w="0" w:type="auto"/>
            <w:noWrap/>
            <w:hideMark/>
          </w:tcPr>
          <w:p w14:paraId="3FDEABDE"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73.5</w:t>
            </w:r>
          </w:p>
        </w:tc>
        <w:tc>
          <w:tcPr>
            <w:tcW w:w="0" w:type="auto"/>
            <w:noWrap/>
            <w:hideMark/>
          </w:tcPr>
          <w:p w14:paraId="5C744B93" w14:textId="7F5DE1E2" w:rsidR="004A6A77" w:rsidRPr="00C739A6" w:rsidRDefault="0057732C"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Pr>
                <w:rFonts w:ascii="Calibri" w:eastAsia="Times New Roman" w:hAnsi="Calibri" w:cs="Calibri"/>
                <w:color w:val="000000"/>
                <w:lang w:eastAsia="en-NZ"/>
              </w:rPr>
              <w:t>84.55</w:t>
            </w:r>
          </w:p>
        </w:tc>
        <w:tc>
          <w:tcPr>
            <w:tcW w:w="0" w:type="auto"/>
            <w:noWrap/>
            <w:hideMark/>
          </w:tcPr>
          <w:p w14:paraId="74841DC4"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91.25</w:t>
            </w:r>
          </w:p>
        </w:tc>
        <w:tc>
          <w:tcPr>
            <w:tcW w:w="0" w:type="auto"/>
            <w:noWrap/>
            <w:hideMark/>
          </w:tcPr>
          <w:p w14:paraId="0B76E077"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91.25</w:t>
            </w:r>
          </w:p>
        </w:tc>
      </w:tr>
      <w:tr w:rsidR="004A6A77" w:rsidRPr="00C739A6" w14:paraId="164A3C91" w14:textId="77777777" w:rsidTr="00C048FC">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6438D5FD" w14:textId="77777777" w:rsidR="004A6A77" w:rsidRPr="00C739A6" w:rsidRDefault="004A6A77" w:rsidP="0008762D">
            <w:pPr>
              <w:rPr>
                <w:rFonts w:ascii="Calibri" w:eastAsia="Times New Roman" w:hAnsi="Calibri" w:cs="Calibri"/>
                <w:color w:val="000000"/>
                <w:lang w:eastAsia="en-NZ"/>
              </w:rPr>
            </w:pPr>
            <w:r w:rsidRPr="00C739A6">
              <w:rPr>
                <w:rFonts w:ascii="Calibri" w:eastAsia="Times New Roman" w:hAnsi="Calibri" w:cs="Calibri"/>
                <w:color w:val="000000"/>
                <w:lang w:eastAsia="en-NZ"/>
              </w:rPr>
              <w:t>Aged 16-18</w:t>
            </w:r>
          </w:p>
        </w:tc>
        <w:tc>
          <w:tcPr>
            <w:tcW w:w="0" w:type="auto"/>
            <w:noWrap/>
            <w:hideMark/>
          </w:tcPr>
          <w:p w14:paraId="73763A07" w14:textId="77777777" w:rsidR="004A6A77" w:rsidRPr="00C739A6" w:rsidRDefault="004A6A77" w:rsidP="000876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NZ"/>
              </w:rPr>
            </w:pPr>
            <w:r w:rsidRPr="00C739A6">
              <w:rPr>
                <w:rFonts w:ascii="Calibri" w:eastAsia="Times New Roman" w:hAnsi="Calibri" w:cs="Calibri"/>
                <w:i/>
                <w:iCs/>
                <w:color w:val="000000"/>
                <w:lang w:eastAsia="en-NZ"/>
              </w:rPr>
              <w:t xml:space="preserve">First </w:t>
            </w:r>
          </w:p>
        </w:tc>
        <w:tc>
          <w:tcPr>
            <w:tcW w:w="0" w:type="auto"/>
            <w:noWrap/>
            <w:hideMark/>
          </w:tcPr>
          <w:p w14:paraId="199D06B2"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95</w:t>
            </w:r>
          </w:p>
        </w:tc>
        <w:tc>
          <w:tcPr>
            <w:tcW w:w="0" w:type="auto"/>
            <w:noWrap/>
            <w:hideMark/>
          </w:tcPr>
          <w:p w14:paraId="3816A0B9"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97.48</w:t>
            </w:r>
          </w:p>
        </w:tc>
        <w:tc>
          <w:tcPr>
            <w:tcW w:w="0" w:type="auto"/>
            <w:noWrap/>
            <w:hideMark/>
          </w:tcPr>
          <w:p w14:paraId="5720ACAD"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99.96</w:t>
            </w:r>
          </w:p>
        </w:tc>
        <w:tc>
          <w:tcPr>
            <w:tcW w:w="0" w:type="auto"/>
            <w:noWrap/>
            <w:hideMark/>
          </w:tcPr>
          <w:p w14:paraId="1B8D5007"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100.97</w:t>
            </w:r>
          </w:p>
        </w:tc>
        <w:tc>
          <w:tcPr>
            <w:tcW w:w="0" w:type="auto"/>
            <w:noWrap/>
            <w:hideMark/>
          </w:tcPr>
          <w:p w14:paraId="1743D498"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101.98</w:t>
            </w:r>
          </w:p>
        </w:tc>
        <w:tc>
          <w:tcPr>
            <w:tcW w:w="0" w:type="auto"/>
            <w:noWrap/>
            <w:hideMark/>
          </w:tcPr>
          <w:p w14:paraId="203F799A"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101.98</w:t>
            </w:r>
          </w:p>
        </w:tc>
        <w:tc>
          <w:tcPr>
            <w:tcW w:w="0" w:type="auto"/>
            <w:noWrap/>
            <w:hideMark/>
          </w:tcPr>
          <w:p w14:paraId="3E28CD21"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101.98</w:t>
            </w:r>
          </w:p>
        </w:tc>
        <w:tc>
          <w:tcPr>
            <w:tcW w:w="0" w:type="auto"/>
            <w:noWrap/>
            <w:hideMark/>
          </w:tcPr>
          <w:p w14:paraId="3E525011"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101.98</w:t>
            </w:r>
          </w:p>
        </w:tc>
        <w:tc>
          <w:tcPr>
            <w:tcW w:w="0" w:type="auto"/>
            <w:noWrap/>
            <w:hideMark/>
          </w:tcPr>
          <w:p w14:paraId="76D67749"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101.98</w:t>
            </w:r>
          </w:p>
        </w:tc>
        <w:tc>
          <w:tcPr>
            <w:tcW w:w="0" w:type="auto"/>
            <w:noWrap/>
            <w:hideMark/>
          </w:tcPr>
          <w:p w14:paraId="1CAB26EE"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101.98</w:t>
            </w:r>
          </w:p>
        </w:tc>
        <w:tc>
          <w:tcPr>
            <w:tcW w:w="0" w:type="auto"/>
            <w:noWrap/>
            <w:hideMark/>
          </w:tcPr>
          <w:p w14:paraId="6D01323A"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101.98</w:t>
            </w:r>
          </w:p>
        </w:tc>
        <w:tc>
          <w:tcPr>
            <w:tcW w:w="0" w:type="auto"/>
            <w:noWrap/>
            <w:hideMark/>
          </w:tcPr>
          <w:p w14:paraId="61F0DCFF"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110.28</w:t>
            </w:r>
          </w:p>
        </w:tc>
        <w:tc>
          <w:tcPr>
            <w:tcW w:w="0" w:type="auto"/>
            <w:noWrap/>
            <w:hideMark/>
          </w:tcPr>
          <w:p w14:paraId="705AFB46"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113.04</w:t>
            </w:r>
          </w:p>
        </w:tc>
        <w:tc>
          <w:tcPr>
            <w:tcW w:w="0" w:type="auto"/>
            <w:noWrap/>
            <w:hideMark/>
          </w:tcPr>
          <w:p w14:paraId="6D66A80F"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113.04</w:t>
            </w:r>
          </w:p>
        </w:tc>
      </w:tr>
      <w:tr w:rsidR="004A6A77" w:rsidRPr="00C739A6" w14:paraId="30040097" w14:textId="77777777" w:rsidTr="00C048FC">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3902368E" w14:textId="77777777" w:rsidR="004A6A77" w:rsidRPr="00C739A6" w:rsidRDefault="004A6A77" w:rsidP="0008762D">
            <w:pPr>
              <w:rPr>
                <w:rFonts w:ascii="Calibri" w:eastAsia="Times New Roman" w:hAnsi="Calibri" w:cs="Calibri"/>
                <w:color w:val="000000"/>
                <w:lang w:eastAsia="en-NZ"/>
              </w:rPr>
            </w:pPr>
            <w:r w:rsidRPr="00C739A6">
              <w:rPr>
                <w:rFonts w:ascii="Calibri" w:eastAsia="Times New Roman" w:hAnsi="Calibri" w:cs="Calibri"/>
                <w:color w:val="000000"/>
                <w:lang w:eastAsia="en-NZ"/>
              </w:rPr>
              <w:t>Aged 16-18</w:t>
            </w:r>
          </w:p>
        </w:tc>
        <w:tc>
          <w:tcPr>
            <w:tcW w:w="0" w:type="auto"/>
            <w:noWrap/>
            <w:hideMark/>
          </w:tcPr>
          <w:p w14:paraId="24F3C20D" w14:textId="77777777" w:rsidR="004A6A77" w:rsidRPr="00C739A6" w:rsidRDefault="004A6A77" w:rsidP="000876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NZ"/>
              </w:rPr>
            </w:pPr>
            <w:r w:rsidRPr="00C739A6">
              <w:rPr>
                <w:rFonts w:ascii="Calibri" w:eastAsia="Times New Roman" w:hAnsi="Calibri" w:cs="Calibri"/>
                <w:i/>
                <w:iCs/>
                <w:color w:val="000000"/>
                <w:lang w:eastAsia="en-NZ"/>
              </w:rPr>
              <w:t xml:space="preserve">Subsequent </w:t>
            </w:r>
          </w:p>
        </w:tc>
        <w:tc>
          <w:tcPr>
            <w:tcW w:w="0" w:type="auto"/>
            <w:noWrap/>
            <w:hideMark/>
          </w:tcPr>
          <w:p w14:paraId="366825BE"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85</w:t>
            </w:r>
          </w:p>
        </w:tc>
        <w:tc>
          <w:tcPr>
            <w:tcW w:w="0" w:type="auto"/>
            <w:noWrap/>
            <w:hideMark/>
          </w:tcPr>
          <w:p w14:paraId="547CCCA1"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87.22</w:t>
            </w:r>
          </w:p>
        </w:tc>
        <w:tc>
          <w:tcPr>
            <w:tcW w:w="0" w:type="auto"/>
            <w:noWrap/>
            <w:hideMark/>
          </w:tcPr>
          <w:p w14:paraId="52C317D3"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89.44</w:t>
            </w:r>
          </w:p>
        </w:tc>
        <w:tc>
          <w:tcPr>
            <w:tcW w:w="0" w:type="auto"/>
            <w:noWrap/>
            <w:hideMark/>
          </w:tcPr>
          <w:p w14:paraId="2175E39A"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90.35</w:t>
            </w:r>
          </w:p>
        </w:tc>
        <w:tc>
          <w:tcPr>
            <w:tcW w:w="0" w:type="auto"/>
            <w:noWrap/>
            <w:hideMark/>
          </w:tcPr>
          <w:p w14:paraId="42A95EA4"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91.25</w:t>
            </w:r>
          </w:p>
        </w:tc>
        <w:tc>
          <w:tcPr>
            <w:tcW w:w="0" w:type="auto"/>
            <w:noWrap/>
            <w:hideMark/>
          </w:tcPr>
          <w:p w14:paraId="76A08F4B"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91.25</w:t>
            </w:r>
          </w:p>
        </w:tc>
        <w:tc>
          <w:tcPr>
            <w:tcW w:w="0" w:type="auto"/>
            <w:noWrap/>
            <w:hideMark/>
          </w:tcPr>
          <w:p w14:paraId="08A628A9"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91.25</w:t>
            </w:r>
          </w:p>
        </w:tc>
        <w:tc>
          <w:tcPr>
            <w:tcW w:w="0" w:type="auto"/>
            <w:noWrap/>
            <w:hideMark/>
          </w:tcPr>
          <w:p w14:paraId="69728AF9"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91.25</w:t>
            </w:r>
          </w:p>
        </w:tc>
        <w:tc>
          <w:tcPr>
            <w:tcW w:w="0" w:type="auto"/>
            <w:noWrap/>
            <w:hideMark/>
          </w:tcPr>
          <w:p w14:paraId="6A4A5968"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91.25</w:t>
            </w:r>
          </w:p>
        </w:tc>
        <w:tc>
          <w:tcPr>
            <w:tcW w:w="0" w:type="auto"/>
            <w:noWrap/>
            <w:hideMark/>
          </w:tcPr>
          <w:p w14:paraId="4154DAA6"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91.25</w:t>
            </w:r>
          </w:p>
        </w:tc>
        <w:tc>
          <w:tcPr>
            <w:tcW w:w="0" w:type="auto"/>
            <w:noWrap/>
            <w:hideMark/>
          </w:tcPr>
          <w:p w14:paraId="6F54F369"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91.25</w:t>
            </w:r>
          </w:p>
        </w:tc>
        <w:tc>
          <w:tcPr>
            <w:tcW w:w="0" w:type="auto"/>
            <w:noWrap/>
            <w:hideMark/>
          </w:tcPr>
          <w:p w14:paraId="290AEC92"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91.25</w:t>
            </w:r>
          </w:p>
        </w:tc>
        <w:tc>
          <w:tcPr>
            <w:tcW w:w="0" w:type="auto"/>
            <w:noWrap/>
            <w:hideMark/>
          </w:tcPr>
          <w:p w14:paraId="23226665"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91.25</w:t>
            </w:r>
          </w:p>
        </w:tc>
        <w:tc>
          <w:tcPr>
            <w:tcW w:w="0" w:type="auto"/>
            <w:noWrap/>
            <w:hideMark/>
          </w:tcPr>
          <w:p w14:paraId="79BF03DC"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91.25</w:t>
            </w:r>
          </w:p>
        </w:tc>
      </w:tr>
    </w:tbl>
    <w:p w14:paraId="14E92F56" w14:textId="77777777" w:rsidR="00946A51" w:rsidRPr="00C739A6" w:rsidRDefault="00946A51" w:rsidP="00946A51"/>
    <w:p w14:paraId="4826192D" w14:textId="0B00F9FC" w:rsidR="004A6A77" w:rsidRPr="00C739A6" w:rsidRDefault="004A6A77" w:rsidP="004A6A77">
      <w:pPr>
        <w:pStyle w:val="Caption"/>
        <w:keepNext/>
        <w:rPr>
          <w:sz w:val="20"/>
        </w:rPr>
      </w:pPr>
      <w:bookmarkStart w:id="45" w:name="_Toc70079154"/>
      <w:r w:rsidRPr="00C739A6">
        <w:rPr>
          <w:sz w:val="24"/>
        </w:rPr>
        <w:t xml:space="preserve">Table </w:t>
      </w:r>
      <w:r w:rsidR="007D4320">
        <w:rPr>
          <w:sz w:val="24"/>
        </w:rPr>
        <w:t>7</w:t>
      </w:r>
      <w:r w:rsidRPr="00C739A6">
        <w:rPr>
          <w:sz w:val="24"/>
        </w:rPr>
        <w:t xml:space="preserve">: </w:t>
      </w:r>
      <w:r w:rsidR="009220EF" w:rsidRPr="00C739A6">
        <w:rPr>
          <w:sz w:val="24"/>
        </w:rPr>
        <w:t>Family Tax Credit</w:t>
      </w:r>
      <w:r w:rsidRPr="00C739A6">
        <w:rPr>
          <w:sz w:val="24"/>
        </w:rPr>
        <w:t xml:space="preserve"> average weekly rates for years ending March 2008-2021, indexed to wages (in Q3 2020 dollars)</w:t>
      </w:r>
      <w:bookmarkEnd w:id="45"/>
    </w:p>
    <w:tbl>
      <w:tblPr>
        <w:tblStyle w:val="PlainTable1"/>
        <w:tblW w:w="14551" w:type="dxa"/>
        <w:tblLook w:val="04A0" w:firstRow="1" w:lastRow="0" w:firstColumn="1" w:lastColumn="0" w:noHBand="0" w:noVBand="1"/>
      </w:tblPr>
      <w:tblGrid>
        <w:gridCol w:w="1456"/>
        <w:gridCol w:w="1462"/>
        <w:gridCol w:w="830"/>
        <w:gridCol w:w="831"/>
        <w:gridCol w:w="831"/>
        <w:gridCol w:w="831"/>
        <w:gridCol w:w="831"/>
        <w:gridCol w:w="831"/>
        <w:gridCol w:w="831"/>
        <w:gridCol w:w="831"/>
        <w:gridCol w:w="831"/>
        <w:gridCol w:w="831"/>
        <w:gridCol w:w="831"/>
        <w:gridCol w:w="831"/>
        <w:gridCol w:w="831"/>
        <w:gridCol w:w="831"/>
      </w:tblGrid>
      <w:tr w:rsidR="004A6A77" w:rsidRPr="00C739A6" w14:paraId="56951D41" w14:textId="77777777" w:rsidTr="00C048FC">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0" w:type="auto"/>
            <w:noWrap/>
            <w:hideMark/>
          </w:tcPr>
          <w:p w14:paraId="78A0A551" w14:textId="77777777" w:rsidR="004A6A77" w:rsidRPr="00C739A6" w:rsidRDefault="004A6A77" w:rsidP="0008762D">
            <w:pPr>
              <w:rPr>
                <w:rFonts w:ascii="Calibri" w:eastAsia="Times New Roman" w:hAnsi="Calibri" w:cs="Calibri"/>
                <w:color w:val="000000"/>
                <w:lang w:eastAsia="en-NZ"/>
              </w:rPr>
            </w:pPr>
          </w:p>
        </w:tc>
        <w:tc>
          <w:tcPr>
            <w:tcW w:w="0" w:type="auto"/>
            <w:noWrap/>
            <w:hideMark/>
          </w:tcPr>
          <w:p w14:paraId="45F309B0"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tc>
        <w:tc>
          <w:tcPr>
            <w:tcW w:w="0" w:type="auto"/>
            <w:noWrap/>
            <w:hideMark/>
          </w:tcPr>
          <w:p w14:paraId="17C7891F"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2008</w:t>
            </w:r>
          </w:p>
        </w:tc>
        <w:tc>
          <w:tcPr>
            <w:tcW w:w="0" w:type="auto"/>
            <w:noWrap/>
            <w:hideMark/>
          </w:tcPr>
          <w:p w14:paraId="5CE4181E"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2009</w:t>
            </w:r>
          </w:p>
        </w:tc>
        <w:tc>
          <w:tcPr>
            <w:tcW w:w="0" w:type="auto"/>
            <w:noWrap/>
            <w:hideMark/>
          </w:tcPr>
          <w:p w14:paraId="357E1708"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2010</w:t>
            </w:r>
          </w:p>
        </w:tc>
        <w:tc>
          <w:tcPr>
            <w:tcW w:w="0" w:type="auto"/>
            <w:noWrap/>
            <w:hideMark/>
          </w:tcPr>
          <w:p w14:paraId="41466978"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2011</w:t>
            </w:r>
          </w:p>
        </w:tc>
        <w:tc>
          <w:tcPr>
            <w:tcW w:w="0" w:type="auto"/>
            <w:noWrap/>
            <w:hideMark/>
          </w:tcPr>
          <w:p w14:paraId="4548F916"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2012</w:t>
            </w:r>
          </w:p>
        </w:tc>
        <w:tc>
          <w:tcPr>
            <w:tcW w:w="0" w:type="auto"/>
            <w:noWrap/>
            <w:hideMark/>
          </w:tcPr>
          <w:p w14:paraId="1B888854"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2013</w:t>
            </w:r>
          </w:p>
        </w:tc>
        <w:tc>
          <w:tcPr>
            <w:tcW w:w="0" w:type="auto"/>
            <w:noWrap/>
            <w:hideMark/>
          </w:tcPr>
          <w:p w14:paraId="5FE2AEFE"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2014</w:t>
            </w:r>
          </w:p>
        </w:tc>
        <w:tc>
          <w:tcPr>
            <w:tcW w:w="0" w:type="auto"/>
            <w:noWrap/>
            <w:hideMark/>
          </w:tcPr>
          <w:p w14:paraId="1660341F"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2015</w:t>
            </w:r>
          </w:p>
        </w:tc>
        <w:tc>
          <w:tcPr>
            <w:tcW w:w="0" w:type="auto"/>
            <w:noWrap/>
            <w:hideMark/>
          </w:tcPr>
          <w:p w14:paraId="03BC47AE"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2016</w:t>
            </w:r>
          </w:p>
        </w:tc>
        <w:tc>
          <w:tcPr>
            <w:tcW w:w="0" w:type="auto"/>
            <w:noWrap/>
            <w:hideMark/>
          </w:tcPr>
          <w:p w14:paraId="69169D73"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2017</w:t>
            </w:r>
          </w:p>
        </w:tc>
        <w:tc>
          <w:tcPr>
            <w:tcW w:w="0" w:type="auto"/>
            <w:noWrap/>
            <w:hideMark/>
          </w:tcPr>
          <w:p w14:paraId="23A32A4F"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2018</w:t>
            </w:r>
          </w:p>
        </w:tc>
        <w:tc>
          <w:tcPr>
            <w:tcW w:w="0" w:type="auto"/>
            <w:noWrap/>
            <w:hideMark/>
          </w:tcPr>
          <w:p w14:paraId="459AD0E5" w14:textId="77777777" w:rsidR="004A6A77" w:rsidRPr="00C71CAA"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1CAA">
              <w:rPr>
                <w:rFonts w:ascii="Calibri" w:eastAsia="Times New Roman" w:hAnsi="Calibri" w:cs="Calibri"/>
                <w:color w:val="000000"/>
                <w:lang w:eastAsia="en-NZ"/>
              </w:rPr>
              <w:t>2019</w:t>
            </w:r>
          </w:p>
        </w:tc>
        <w:tc>
          <w:tcPr>
            <w:tcW w:w="0" w:type="auto"/>
            <w:noWrap/>
            <w:hideMark/>
          </w:tcPr>
          <w:p w14:paraId="5F4CC3DF"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2020</w:t>
            </w:r>
          </w:p>
        </w:tc>
        <w:tc>
          <w:tcPr>
            <w:tcW w:w="0" w:type="auto"/>
            <w:noWrap/>
            <w:hideMark/>
          </w:tcPr>
          <w:p w14:paraId="1F032452"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2021</w:t>
            </w:r>
          </w:p>
        </w:tc>
      </w:tr>
      <w:tr w:rsidR="004A6A77" w:rsidRPr="00C739A6" w14:paraId="2C1CB489" w14:textId="77777777" w:rsidTr="00C048F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0" w:type="auto"/>
            <w:noWrap/>
            <w:hideMark/>
          </w:tcPr>
          <w:p w14:paraId="31901AAF" w14:textId="77777777" w:rsidR="004A6A77" w:rsidRPr="00C739A6" w:rsidRDefault="004A6A77" w:rsidP="0008762D">
            <w:pPr>
              <w:rPr>
                <w:rFonts w:ascii="Calibri" w:eastAsia="Times New Roman" w:hAnsi="Calibri" w:cs="Calibri"/>
                <w:color w:val="000000"/>
                <w:lang w:eastAsia="en-NZ"/>
              </w:rPr>
            </w:pPr>
            <w:r w:rsidRPr="00C739A6">
              <w:rPr>
                <w:rFonts w:ascii="Calibri" w:eastAsia="Times New Roman" w:hAnsi="Calibri" w:cs="Calibri"/>
                <w:color w:val="000000"/>
                <w:lang w:eastAsia="en-NZ"/>
              </w:rPr>
              <w:t>Aged 0-15</w:t>
            </w:r>
          </w:p>
        </w:tc>
        <w:tc>
          <w:tcPr>
            <w:tcW w:w="0" w:type="auto"/>
            <w:noWrap/>
            <w:hideMark/>
          </w:tcPr>
          <w:p w14:paraId="005C7DC6" w14:textId="77777777" w:rsidR="004A6A77" w:rsidRPr="00C739A6" w:rsidRDefault="004A6A77" w:rsidP="000876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NZ"/>
              </w:rPr>
            </w:pPr>
            <w:r w:rsidRPr="00C739A6">
              <w:rPr>
                <w:rFonts w:ascii="Calibri" w:eastAsia="Times New Roman" w:hAnsi="Calibri" w:cs="Calibri"/>
                <w:i/>
                <w:iCs/>
                <w:color w:val="000000"/>
                <w:lang w:eastAsia="en-NZ"/>
              </w:rPr>
              <w:t>First</w:t>
            </w:r>
          </w:p>
        </w:tc>
        <w:tc>
          <w:tcPr>
            <w:tcW w:w="0" w:type="auto"/>
            <w:noWrap/>
            <w:hideMark/>
          </w:tcPr>
          <w:p w14:paraId="7751D25E"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120.0</w:t>
            </w:r>
          </w:p>
        </w:tc>
        <w:tc>
          <w:tcPr>
            <w:tcW w:w="0" w:type="auto"/>
            <w:noWrap/>
            <w:hideMark/>
          </w:tcPr>
          <w:p w14:paraId="19005E42"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116.6</w:t>
            </w:r>
          </w:p>
        </w:tc>
        <w:tc>
          <w:tcPr>
            <w:tcW w:w="0" w:type="auto"/>
            <w:noWrap/>
            <w:hideMark/>
          </w:tcPr>
          <w:p w14:paraId="3E2CC073"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115.5</w:t>
            </w:r>
          </w:p>
        </w:tc>
        <w:tc>
          <w:tcPr>
            <w:tcW w:w="0" w:type="auto"/>
            <w:noWrap/>
            <w:hideMark/>
          </w:tcPr>
          <w:p w14:paraId="55DFD7A3"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116.2</w:t>
            </w:r>
          </w:p>
        </w:tc>
        <w:tc>
          <w:tcPr>
            <w:tcW w:w="0" w:type="auto"/>
            <w:noWrap/>
            <w:hideMark/>
          </w:tcPr>
          <w:p w14:paraId="07607C95"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113.6</w:t>
            </w:r>
          </w:p>
        </w:tc>
        <w:tc>
          <w:tcPr>
            <w:tcW w:w="0" w:type="auto"/>
            <w:noWrap/>
            <w:hideMark/>
          </w:tcPr>
          <w:p w14:paraId="1B9816FB"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115.8</w:t>
            </w:r>
          </w:p>
        </w:tc>
        <w:tc>
          <w:tcPr>
            <w:tcW w:w="0" w:type="auto"/>
            <w:noWrap/>
            <w:hideMark/>
          </w:tcPr>
          <w:p w14:paraId="34B64D29"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113.1</w:t>
            </w:r>
          </w:p>
        </w:tc>
        <w:tc>
          <w:tcPr>
            <w:tcW w:w="0" w:type="auto"/>
            <w:noWrap/>
            <w:hideMark/>
          </w:tcPr>
          <w:p w14:paraId="50BAFDA7"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109.7</w:t>
            </w:r>
          </w:p>
        </w:tc>
        <w:tc>
          <w:tcPr>
            <w:tcW w:w="0" w:type="auto"/>
            <w:noWrap/>
            <w:hideMark/>
          </w:tcPr>
          <w:p w14:paraId="30A1CEC1"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106.9</w:t>
            </w:r>
          </w:p>
        </w:tc>
        <w:tc>
          <w:tcPr>
            <w:tcW w:w="0" w:type="auto"/>
            <w:noWrap/>
            <w:hideMark/>
          </w:tcPr>
          <w:p w14:paraId="4A8588D8"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105.4</w:t>
            </w:r>
          </w:p>
        </w:tc>
        <w:tc>
          <w:tcPr>
            <w:tcW w:w="0" w:type="auto"/>
            <w:noWrap/>
            <w:hideMark/>
          </w:tcPr>
          <w:p w14:paraId="7FDFB249"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103.2</w:t>
            </w:r>
          </w:p>
        </w:tc>
        <w:tc>
          <w:tcPr>
            <w:tcW w:w="0" w:type="auto"/>
            <w:noWrap/>
            <w:hideMark/>
          </w:tcPr>
          <w:p w14:paraId="43C7A955" w14:textId="322F186D" w:rsidR="004A6A77" w:rsidRPr="00C71CAA" w:rsidRDefault="00C71CAA"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1CAA">
              <w:rPr>
                <w:rFonts w:ascii="Calibri" w:eastAsia="Times New Roman" w:hAnsi="Calibri" w:cs="Calibri"/>
                <w:color w:val="000000"/>
                <w:lang w:eastAsia="en-NZ"/>
              </w:rPr>
              <w:t>116.0</w:t>
            </w:r>
          </w:p>
        </w:tc>
        <w:tc>
          <w:tcPr>
            <w:tcW w:w="0" w:type="auto"/>
            <w:noWrap/>
            <w:hideMark/>
          </w:tcPr>
          <w:p w14:paraId="5DB803CF"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117.1</w:t>
            </w:r>
          </w:p>
        </w:tc>
        <w:tc>
          <w:tcPr>
            <w:tcW w:w="0" w:type="auto"/>
            <w:noWrap/>
            <w:hideMark/>
          </w:tcPr>
          <w:p w14:paraId="7777058C"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113.0</w:t>
            </w:r>
          </w:p>
        </w:tc>
      </w:tr>
      <w:tr w:rsidR="004A6A77" w:rsidRPr="00C739A6" w14:paraId="020D6A8C" w14:textId="77777777" w:rsidTr="00C048FC">
        <w:trPr>
          <w:trHeight w:val="328"/>
        </w:trPr>
        <w:tc>
          <w:tcPr>
            <w:cnfStyle w:val="001000000000" w:firstRow="0" w:lastRow="0" w:firstColumn="1" w:lastColumn="0" w:oddVBand="0" w:evenVBand="0" w:oddHBand="0" w:evenHBand="0" w:firstRowFirstColumn="0" w:firstRowLastColumn="0" w:lastRowFirstColumn="0" w:lastRowLastColumn="0"/>
            <w:tcW w:w="0" w:type="auto"/>
            <w:noWrap/>
            <w:hideMark/>
          </w:tcPr>
          <w:p w14:paraId="6446BC2A" w14:textId="77777777" w:rsidR="004A6A77" w:rsidRPr="00C739A6" w:rsidRDefault="004A6A77" w:rsidP="0008762D">
            <w:pPr>
              <w:rPr>
                <w:rFonts w:ascii="Calibri" w:eastAsia="Times New Roman" w:hAnsi="Calibri" w:cs="Calibri"/>
                <w:color w:val="000000"/>
                <w:lang w:eastAsia="en-NZ"/>
              </w:rPr>
            </w:pPr>
            <w:r w:rsidRPr="00C739A6">
              <w:rPr>
                <w:rFonts w:ascii="Calibri" w:eastAsia="Times New Roman" w:hAnsi="Calibri" w:cs="Calibri"/>
                <w:color w:val="000000"/>
                <w:lang w:eastAsia="en-NZ"/>
              </w:rPr>
              <w:t>Aged 0-12</w:t>
            </w:r>
          </w:p>
        </w:tc>
        <w:tc>
          <w:tcPr>
            <w:tcW w:w="0" w:type="auto"/>
            <w:noWrap/>
            <w:hideMark/>
          </w:tcPr>
          <w:p w14:paraId="08AD93A4" w14:textId="77777777" w:rsidR="004A6A77" w:rsidRPr="00C739A6" w:rsidRDefault="004A6A77" w:rsidP="000876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NZ"/>
              </w:rPr>
            </w:pPr>
            <w:r w:rsidRPr="00C739A6">
              <w:rPr>
                <w:rFonts w:ascii="Calibri" w:eastAsia="Times New Roman" w:hAnsi="Calibri" w:cs="Calibri"/>
                <w:i/>
                <w:iCs/>
                <w:color w:val="000000"/>
                <w:lang w:eastAsia="en-NZ"/>
              </w:rPr>
              <w:t>Subsequent</w:t>
            </w:r>
          </w:p>
        </w:tc>
        <w:tc>
          <w:tcPr>
            <w:tcW w:w="0" w:type="auto"/>
            <w:noWrap/>
            <w:hideMark/>
          </w:tcPr>
          <w:p w14:paraId="0605C223"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83.4</w:t>
            </w:r>
          </w:p>
        </w:tc>
        <w:tc>
          <w:tcPr>
            <w:tcW w:w="0" w:type="auto"/>
            <w:noWrap/>
            <w:hideMark/>
          </w:tcPr>
          <w:p w14:paraId="25F57E1A"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81.1</w:t>
            </w:r>
          </w:p>
        </w:tc>
        <w:tc>
          <w:tcPr>
            <w:tcW w:w="0" w:type="auto"/>
            <w:noWrap/>
            <w:hideMark/>
          </w:tcPr>
          <w:p w14:paraId="55F36690"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80.3</w:t>
            </w:r>
          </w:p>
        </w:tc>
        <w:tc>
          <w:tcPr>
            <w:tcW w:w="0" w:type="auto"/>
            <w:noWrap/>
            <w:hideMark/>
          </w:tcPr>
          <w:p w14:paraId="75B28836"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80.8</w:t>
            </w:r>
          </w:p>
        </w:tc>
        <w:tc>
          <w:tcPr>
            <w:tcW w:w="0" w:type="auto"/>
            <w:noWrap/>
            <w:hideMark/>
          </w:tcPr>
          <w:p w14:paraId="5D208104"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78.9</w:t>
            </w:r>
          </w:p>
        </w:tc>
        <w:tc>
          <w:tcPr>
            <w:tcW w:w="0" w:type="auto"/>
            <w:noWrap/>
            <w:hideMark/>
          </w:tcPr>
          <w:p w14:paraId="43026AF7"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80.5</w:t>
            </w:r>
          </w:p>
        </w:tc>
        <w:tc>
          <w:tcPr>
            <w:tcW w:w="0" w:type="auto"/>
            <w:noWrap/>
            <w:hideMark/>
          </w:tcPr>
          <w:p w14:paraId="4ECE70E1"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78.6</w:t>
            </w:r>
          </w:p>
        </w:tc>
        <w:tc>
          <w:tcPr>
            <w:tcW w:w="0" w:type="auto"/>
            <w:noWrap/>
            <w:hideMark/>
          </w:tcPr>
          <w:p w14:paraId="60CD37D6"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76.3</w:t>
            </w:r>
          </w:p>
        </w:tc>
        <w:tc>
          <w:tcPr>
            <w:tcW w:w="0" w:type="auto"/>
            <w:noWrap/>
            <w:hideMark/>
          </w:tcPr>
          <w:p w14:paraId="3BE3ED40"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74.3</w:t>
            </w:r>
          </w:p>
        </w:tc>
        <w:tc>
          <w:tcPr>
            <w:tcW w:w="0" w:type="auto"/>
            <w:noWrap/>
            <w:hideMark/>
          </w:tcPr>
          <w:p w14:paraId="3211884B"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73.2</w:t>
            </w:r>
          </w:p>
        </w:tc>
        <w:tc>
          <w:tcPr>
            <w:tcW w:w="0" w:type="auto"/>
            <w:noWrap/>
            <w:hideMark/>
          </w:tcPr>
          <w:p w14:paraId="65A66921"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71.7</w:t>
            </w:r>
          </w:p>
        </w:tc>
        <w:tc>
          <w:tcPr>
            <w:tcW w:w="0" w:type="auto"/>
            <w:noWrap/>
            <w:hideMark/>
          </w:tcPr>
          <w:p w14:paraId="3C1C068F" w14:textId="5A138B82" w:rsidR="004A6A77" w:rsidRPr="00C71CAA" w:rsidRDefault="00C71CAA"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1CAA">
              <w:rPr>
                <w:rFonts w:ascii="Calibri" w:eastAsia="Times New Roman" w:hAnsi="Calibri" w:cs="Calibri"/>
                <w:color w:val="000000"/>
                <w:lang w:eastAsia="en-NZ"/>
              </w:rPr>
              <w:t>90.9</w:t>
            </w:r>
          </w:p>
        </w:tc>
        <w:tc>
          <w:tcPr>
            <w:tcW w:w="0" w:type="auto"/>
            <w:noWrap/>
            <w:hideMark/>
          </w:tcPr>
          <w:p w14:paraId="1A346130"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94.5</w:t>
            </w:r>
          </w:p>
        </w:tc>
        <w:tc>
          <w:tcPr>
            <w:tcW w:w="0" w:type="auto"/>
            <w:noWrap/>
            <w:hideMark/>
          </w:tcPr>
          <w:p w14:paraId="66811B9E"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91.3</w:t>
            </w:r>
          </w:p>
        </w:tc>
      </w:tr>
      <w:tr w:rsidR="004A6A77" w:rsidRPr="00C739A6" w14:paraId="1B7D502A" w14:textId="77777777" w:rsidTr="00C048F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0" w:type="auto"/>
            <w:noWrap/>
            <w:hideMark/>
          </w:tcPr>
          <w:p w14:paraId="57BD30C9" w14:textId="77777777" w:rsidR="004A6A77" w:rsidRPr="00C739A6" w:rsidRDefault="004A6A77" w:rsidP="0008762D">
            <w:pPr>
              <w:rPr>
                <w:rFonts w:ascii="Calibri" w:eastAsia="Times New Roman" w:hAnsi="Calibri" w:cs="Calibri"/>
                <w:color w:val="000000"/>
                <w:lang w:eastAsia="en-NZ"/>
              </w:rPr>
            </w:pPr>
            <w:r w:rsidRPr="00C739A6">
              <w:rPr>
                <w:rFonts w:ascii="Calibri" w:eastAsia="Times New Roman" w:hAnsi="Calibri" w:cs="Calibri"/>
                <w:color w:val="000000"/>
                <w:lang w:eastAsia="en-NZ"/>
              </w:rPr>
              <w:t>Aged 13-15</w:t>
            </w:r>
          </w:p>
        </w:tc>
        <w:tc>
          <w:tcPr>
            <w:tcW w:w="0" w:type="auto"/>
            <w:noWrap/>
            <w:hideMark/>
          </w:tcPr>
          <w:p w14:paraId="10056425" w14:textId="77777777" w:rsidR="004A6A77" w:rsidRPr="00C739A6" w:rsidRDefault="004A6A77" w:rsidP="000876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NZ"/>
              </w:rPr>
            </w:pPr>
            <w:r w:rsidRPr="00C739A6">
              <w:rPr>
                <w:rFonts w:ascii="Calibri" w:eastAsia="Times New Roman" w:hAnsi="Calibri" w:cs="Calibri"/>
                <w:i/>
                <w:iCs/>
                <w:color w:val="000000"/>
                <w:lang w:eastAsia="en-NZ"/>
              </w:rPr>
              <w:t>Subsequent</w:t>
            </w:r>
          </w:p>
        </w:tc>
        <w:tc>
          <w:tcPr>
            <w:tcW w:w="0" w:type="auto"/>
            <w:noWrap/>
            <w:hideMark/>
          </w:tcPr>
          <w:p w14:paraId="39DF90BF"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95.1</w:t>
            </w:r>
          </w:p>
        </w:tc>
        <w:tc>
          <w:tcPr>
            <w:tcW w:w="0" w:type="auto"/>
            <w:noWrap/>
            <w:hideMark/>
          </w:tcPr>
          <w:p w14:paraId="50C0B6CB"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92.4</w:t>
            </w:r>
          </w:p>
        </w:tc>
        <w:tc>
          <w:tcPr>
            <w:tcW w:w="0" w:type="auto"/>
            <w:noWrap/>
            <w:hideMark/>
          </w:tcPr>
          <w:p w14:paraId="0C31678F"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91.6</w:t>
            </w:r>
          </w:p>
        </w:tc>
        <w:tc>
          <w:tcPr>
            <w:tcW w:w="0" w:type="auto"/>
            <w:noWrap/>
            <w:hideMark/>
          </w:tcPr>
          <w:p w14:paraId="5E5E9C4F"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92.1</w:t>
            </w:r>
          </w:p>
        </w:tc>
        <w:tc>
          <w:tcPr>
            <w:tcW w:w="0" w:type="auto"/>
            <w:noWrap/>
            <w:hideMark/>
          </w:tcPr>
          <w:p w14:paraId="6E9F67DA"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90.0</w:t>
            </w:r>
          </w:p>
        </w:tc>
        <w:tc>
          <w:tcPr>
            <w:tcW w:w="0" w:type="auto"/>
            <w:noWrap/>
            <w:hideMark/>
          </w:tcPr>
          <w:p w14:paraId="745FF846"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91.8</w:t>
            </w:r>
          </w:p>
        </w:tc>
        <w:tc>
          <w:tcPr>
            <w:tcW w:w="0" w:type="auto"/>
            <w:noWrap/>
            <w:hideMark/>
          </w:tcPr>
          <w:p w14:paraId="20C48CCB"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89.7</w:t>
            </w:r>
          </w:p>
        </w:tc>
        <w:tc>
          <w:tcPr>
            <w:tcW w:w="0" w:type="auto"/>
            <w:noWrap/>
            <w:hideMark/>
          </w:tcPr>
          <w:p w14:paraId="2F5A08DC"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87.0</w:t>
            </w:r>
          </w:p>
        </w:tc>
        <w:tc>
          <w:tcPr>
            <w:tcW w:w="0" w:type="auto"/>
            <w:noWrap/>
            <w:hideMark/>
          </w:tcPr>
          <w:p w14:paraId="2C12B3D8"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84.8</w:t>
            </w:r>
          </w:p>
        </w:tc>
        <w:tc>
          <w:tcPr>
            <w:tcW w:w="0" w:type="auto"/>
            <w:noWrap/>
            <w:hideMark/>
          </w:tcPr>
          <w:p w14:paraId="648A29BA"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83.5</w:t>
            </w:r>
          </w:p>
        </w:tc>
        <w:tc>
          <w:tcPr>
            <w:tcW w:w="0" w:type="auto"/>
            <w:noWrap/>
            <w:hideMark/>
          </w:tcPr>
          <w:p w14:paraId="236FB09E"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81.8</w:t>
            </w:r>
          </w:p>
        </w:tc>
        <w:tc>
          <w:tcPr>
            <w:tcW w:w="0" w:type="auto"/>
            <w:noWrap/>
            <w:hideMark/>
          </w:tcPr>
          <w:p w14:paraId="0ED77465" w14:textId="2248D4F9" w:rsidR="004A6A77" w:rsidRPr="00C71CAA" w:rsidRDefault="00C71CAA"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1CAA">
              <w:rPr>
                <w:rFonts w:ascii="Calibri" w:eastAsia="Times New Roman" w:hAnsi="Calibri" w:cs="Calibri"/>
                <w:color w:val="000000"/>
                <w:lang w:eastAsia="en-NZ"/>
              </w:rPr>
              <w:t>90.9</w:t>
            </w:r>
          </w:p>
        </w:tc>
        <w:tc>
          <w:tcPr>
            <w:tcW w:w="0" w:type="auto"/>
            <w:noWrap/>
            <w:hideMark/>
          </w:tcPr>
          <w:p w14:paraId="7A98F5BE"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94.5</w:t>
            </w:r>
          </w:p>
        </w:tc>
        <w:tc>
          <w:tcPr>
            <w:tcW w:w="0" w:type="auto"/>
            <w:noWrap/>
            <w:hideMark/>
          </w:tcPr>
          <w:p w14:paraId="59187CEC"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91.3</w:t>
            </w:r>
          </w:p>
        </w:tc>
      </w:tr>
      <w:tr w:rsidR="004A6A77" w:rsidRPr="00C739A6" w14:paraId="4EA05C83" w14:textId="77777777" w:rsidTr="00C048FC">
        <w:trPr>
          <w:trHeight w:val="328"/>
        </w:trPr>
        <w:tc>
          <w:tcPr>
            <w:cnfStyle w:val="001000000000" w:firstRow="0" w:lastRow="0" w:firstColumn="1" w:lastColumn="0" w:oddVBand="0" w:evenVBand="0" w:oddHBand="0" w:evenHBand="0" w:firstRowFirstColumn="0" w:firstRowLastColumn="0" w:lastRowFirstColumn="0" w:lastRowLastColumn="0"/>
            <w:tcW w:w="0" w:type="auto"/>
            <w:noWrap/>
            <w:hideMark/>
          </w:tcPr>
          <w:p w14:paraId="31791A59" w14:textId="77777777" w:rsidR="004A6A77" w:rsidRPr="00C739A6" w:rsidRDefault="004A6A77" w:rsidP="0008762D">
            <w:pPr>
              <w:rPr>
                <w:rFonts w:ascii="Calibri" w:eastAsia="Times New Roman" w:hAnsi="Calibri" w:cs="Calibri"/>
                <w:color w:val="000000"/>
                <w:lang w:eastAsia="en-NZ"/>
              </w:rPr>
            </w:pPr>
            <w:r w:rsidRPr="00C739A6">
              <w:rPr>
                <w:rFonts w:ascii="Calibri" w:eastAsia="Times New Roman" w:hAnsi="Calibri" w:cs="Calibri"/>
                <w:color w:val="000000"/>
                <w:lang w:eastAsia="en-NZ"/>
              </w:rPr>
              <w:t>Aged 16-18</w:t>
            </w:r>
          </w:p>
        </w:tc>
        <w:tc>
          <w:tcPr>
            <w:tcW w:w="0" w:type="auto"/>
            <w:noWrap/>
            <w:hideMark/>
          </w:tcPr>
          <w:p w14:paraId="0DF49FED" w14:textId="77777777" w:rsidR="004A6A77" w:rsidRPr="00C739A6" w:rsidRDefault="004A6A77" w:rsidP="000876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NZ"/>
              </w:rPr>
            </w:pPr>
            <w:r w:rsidRPr="00C739A6">
              <w:rPr>
                <w:rFonts w:ascii="Calibri" w:eastAsia="Times New Roman" w:hAnsi="Calibri" w:cs="Calibri"/>
                <w:i/>
                <w:iCs/>
                <w:color w:val="000000"/>
                <w:lang w:eastAsia="en-NZ"/>
              </w:rPr>
              <w:t>First</w:t>
            </w:r>
          </w:p>
        </w:tc>
        <w:tc>
          <w:tcPr>
            <w:tcW w:w="0" w:type="auto"/>
            <w:noWrap/>
            <w:hideMark/>
          </w:tcPr>
          <w:p w14:paraId="7CA80788"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139.0</w:t>
            </w:r>
          </w:p>
        </w:tc>
        <w:tc>
          <w:tcPr>
            <w:tcW w:w="0" w:type="auto"/>
            <w:noWrap/>
            <w:hideMark/>
          </w:tcPr>
          <w:p w14:paraId="5535F4B3"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135.1</w:t>
            </w:r>
          </w:p>
        </w:tc>
        <w:tc>
          <w:tcPr>
            <w:tcW w:w="0" w:type="auto"/>
            <w:noWrap/>
            <w:hideMark/>
          </w:tcPr>
          <w:p w14:paraId="11F96074"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133.8</w:t>
            </w:r>
          </w:p>
        </w:tc>
        <w:tc>
          <w:tcPr>
            <w:tcW w:w="0" w:type="auto"/>
            <w:noWrap/>
            <w:hideMark/>
          </w:tcPr>
          <w:p w14:paraId="26F60B6C"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134.6</w:t>
            </w:r>
          </w:p>
        </w:tc>
        <w:tc>
          <w:tcPr>
            <w:tcW w:w="0" w:type="auto"/>
            <w:noWrap/>
            <w:hideMark/>
          </w:tcPr>
          <w:p w14:paraId="4820FA70"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131.5</w:t>
            </w:r>
          </w:p>
        </w:tc>
        <w:tc>
          <w:tcPr>
            <w:tcW w:w="0" w:type="auto"/>
            <w:noWrap/>
            <w:hideMark/>
          </w:tcPr>
          <w:p w14:paraId="34346A1D"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127.4</w:t>
            </w:r>
          </w:p>
        </w:tc>
        <w:tc>
          <w:tcPr>
            <w:tcW w:w="0" w:type="auto"/>
            <w:noWrap/>
            <w:hideMark/>
          </w:tcPr>
          <w:p w14:paraId="59D7A2B1"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124.4</w:t>
            </w:r>
          </w:p>
        </w:tc>
        <w:tc>
          <w:tcPr>
            <w:tcW w:w="0" w:type="auto"/>
            <w:noWrap/>
            <w:hideMark/>
          </w:tcPr>
          <w:p w14:paraId="40893711"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120.7</w:t>
            </w:r>
          </w:p>
        </w:tc>
        <w:tc>
          <w:tcPr>
            <w:tcW w:w="0" w:type="auto"/>
            <w:noWrap/>
            <w:hideMark/>
          </w:tcPr>
          <w:p w14:paraId="6B126E0D"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117.6</w:t>
            </w:r>
          </w:p>
        </w:tc>
        <w:tc>
          <w:tcPr>
            <w:tcW w:w="0" w:type="auto"/>
            <w:noWrap/>
            <w:hideMark/>
          </w:tcPr>
          <w:p w14:paraId="3D14D19F"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115.9</w:t>
            </w:r>
          </w:p>
        </w:tc>
        <w:tc>
          <w:tcPr>
            <w:tcW w:w="0" w:type="auto"/>
            <w:noWrap/>
            <w:hideMark/>
          </w:tcPr>
          <w:p w14:paraId="62BAA5FD"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113.5</w:t>
            </w:r>
          </w:p>
        </w:tc>
        <w:tc>
          <w:tcPr>
            <w:tcW w:w="0" w:type="auto"/>
            <w:noWrap/>
            <w:hideMark/>
          </w:tcPr>
          <w:p w14:paraId="2D7EC3F6" w14:textId="77777777" w:rsidR="004A6A77" w:rsidRPr="00C71CAA"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1CAA">
              <w:rPr>
                <w:rFonts w:ascii="Calibri" w:eastAsia="Times New Roman" w:hAnsi="Calibri" w:cs="Calibri"/>
                <w:color w:val="000000"/>
                <w:lang w:eastAsia="en-NZ"/>
              </w:rPr>
              <w:t>118.5</w:t>
            </w:r>
          </w:p>
        </w:tc>
        <w:tc>
          <w:tcPr>
            <w:tcW w:w="0" w:type="auto"/>
            <w:noWrap/>
            <w:hideMark/>
          </w:tcPr>
          <w:p w14:paraId="7330812A"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117.1</w:t>
            </w:r>
          </w:p>
        </w:tc>
        <w:tc>
          <w:tcPr>
            <w:tcW w:w="0" w:type="auto"/>
            <w:noWrap/>
            <w:hideMark/>
          </w:tcPr>
          <w:p w14:paraId="26D82F6E"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113.0</w:t>
            </w:r>
          </w:p>
        </w:tc>
      </w:tr>
      <w:tr w:rsidR="004A6A77" w:rsidRPr="00C739A6" w14:paraId="36453825" w14:textId="77777777" w:rsidTr="00C048F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0" w:type="auto"/>
            <w:noWrap/>
            <w:hideMark/>
          </w:tcPr>
          <w:p w14:paraId="7909E75A" w14:textId="77777777" w:rsidR="004A6A77" w:rsidRPr="00C739A6" w:rsidRDefault="004A6A77" w:rsidP="0008762D">
            <w:pPr>
              <w:rPr>
                <w:rFonts w:ascii="Calibri" w:eastAsia="Times New Roman" w:hAnsi="Calibri" w:cs="Calibri"/>
                <w:color w:val="000000"/>
                <w:lang w:eastAsia="en-NZ"/>
              </w:rPr>
            </w:pPr>
            <w:r w:rsidRPr="00C739A6">
              <w:rPr>
                <w:rFonts w:ascii="Calibri" w:eastAsia="Times New Roman" w:hAnsi="Calibri" w:cs="Calibri"/>
                <w:color w:val="000000"/>
                <w:lang w:eastAsia="en-NZ"/>
              </w:rPr>
              <w:t>Aged 16-18</w:t>
            </w:r>
          </w:p>
        </w:tc>
        <w:tc>
          <w:tcPr>
            <w:tcW w:w="0" w:type="auto"/>
            <w:noWrap/>
            <w:hideMark/>
          </w:tcPr>
          <w:p w14:paraId="0BFD58C4" w14:textId="77777777" w:rsidR="004A6A77" w:rsidRPr="00C739A6" w:rsidRDefault="004A6A77" w:rsidP="000876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NZ"/>
              </w:rPr>
            </w:pPr>
            <w:r w:rsidRPr="00C739A6">
              <w:rPr>
                <w:rFonts w:ascii="Calibri" w:eastAsia="Times New Roman" w:hAnsi="Calibri" w:cs="Calibri"/>
                <w:i/>
                <w:iCs/>
                <w:color w:val="000000"/>
                <w:lang w:eastAsia="en-NZ"/>
              </w:rPr>
              <w:t>Subsequent</w:t>
            </w:r>
          </w:p>
        </w:tc>
        <w:tc>
          <w:tcPr>
            <w:tcW w:w="0" w:type="auto"/>
            <w:noWrap/>
            <w:hideMark/>
          </w:tcPr>
          <w:p w14:paraId="11430E6E"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124.4</w:t>
            </w:r>
          </w:p>
        </w:tc>
        <w:tc>
          <w:tcPr>
            <w:tcW w:w="0" w:type="auto"/>
            <w:noWrap/>
            <w:hideMark/>
          </w:tcPr>
          <w:p w14:paraId="548D406A"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120.9</w:t>
            </w:r>
          </w:p>
        </w:tc>
        <w:tc>
          <w:tcPr>
            <w:tcW w:w="0" w:type="auto"/>
            <w:noWrap/>
            <w:hideMark/>
          </w:tcPr>
          <w:p w14:paraId="49ED1406"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119.8</w:t>
            </w:r>
          </w:p>
        </w:tc>
        <w:tc>
          <w:tcPr>
            <w:tcW w:w="0" w:type="auto"/>
            <w:noWrap/>
            <w:hideMark/>
          </w:tcPr>
          <w:p w14:paraId="27260B24"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120.5</w:t>
            </w:r>
          </w:p>
        </w:tc>
        <w:tc>
          <w:tcPr>
            <w:tcW w:w="0" w:type="auto"/>
            <w:noWrap/>
            <w:hideMark/>
          </w:tcPr>
          <w:p w14:paraId="79861933"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117.7</w:t>
            </w:r>
          </w:p>
        </w:tc>
        <w:tc>
          <w:tcPr>
            <w:tcW w:w="0" w:type="auto"/>
            <w:noWrap/>
            <w:hideMark/>
          </w:tcPr>
          <w:p w14:paraId="2881B16A"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114.0</w:t>
            </w:r>
          </w:p>
        </w:tc>
        <w:tc>
          <w:tcPr>
            <w:tcW w:w="0" w:type="auto"/>
            <w:noWrap/>
            <w:hideMark/>
          </w:tcPr>
          <w:p w14:paraId="127FFAF7"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111.3</w:t>
            </w:r>
          </w:p>
        </w:tc>
        <w:tc>
          <w:tcPr>
            <w:tcW w:w="0" w:type="auto"/>
            <w:noWrap/>
            <w:hideMark/>
          </w:tcPr>
          <w:p w14:paraId="52CB85D5"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108.0</w:t>
            </w:r>
          </w:p>
        </w:tc>
        <w:tc>
          <w:tcPr>
            <w:tcW w:w="0" w:type="auto"/>
            <w:noWrap/>
            <w:hideMark/>
          </w:tcPr>
          <w:p w14:paraId="64DA2DBE"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105.2</w:t>
            </w:r>
          </w:p>
        </w:tc>
        <w:tc>
          <w:tcPr>
            <w:tcW w:w="0" w:type="auto"/>
            <w:noWrap/>
            <w:hideMark/>
          </w:tcPr>
          <w:p w14:paraId="2119CB69"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103.7</w:t>
            </w:r>
          </w:p>
        </w:tc>
        <w:tc>
          <w:tcPr>
            <w:tcW w:w="0" w:type="auto"/>
            <w:noWrap/>
            <w:hideMark/>
          </w:tcPr>
          <w:p w14:paraId="759D3882"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101.5</w:t>
            </w:r>
          </w:p>
        </w:tc>
        <w:tc>
          <w:tcPr>
            <w:tcW w:w="0" w:type="auto"/>
            <w:noWrap/>
            <w:hideMark/>
          </w:tcPr>
          <w:p w14:paraId="2B8DCA5D" w14:textId="77777777" w:rsidR="004A6A77" w:rsidRPr="00C71CAA"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1CAA">
              <w:rPr>
                <w:rFonts w:ascii="Calibri" w:eastAsia="Times New Roman" w:hAnsi="Calibri" w:cs="Calibri"/>
                <w:color w:val="000000"/>
                <w:lang w:eastAsia="en-NZ"/>
              </w:rPr>
              <w:t>98.1</w:t>
            </w:r>
          </w:p>
        </w:tc>
        <w:tc>
          <w:tcPr>
            <w:tcW w:w="0" w:type="auto"/>
            <w:noWrap/>
            <w:hideMark/>
          </w:tcPr>
          <w:p w14:paraId="7999246E"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94.5</w:t>
            </w:r>
          </w:p>
        </w:tc>
        <w:tc>
          <w:tcPr>
            <w:tcW w:w="0" w:type="auto"/>
            <w:noWrap/>
            <w:hideMark/>
          </w:tcPr>
          <w:p w14:paraId="03177737"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91.3</w:t>
            </w:r>
          </w:p>
        </w:tc>
      </w:tr>
    </w:tbl>
    <w:p w14:paraId="50C9B7E1" w14:textId="77777777" w:rsidR="00946A51" w:rsidRPr="00C739A6" w:rsidRDefault="00946A51" w:rsidP="00946A51"/>
    <w:p w14:paraId="1E43A469" w14:textId="1F7CB322" w:rsidR="004A6A77" w:rsidRPr="00C739A6" w:rsidRDefault="004A6A77" w:rsidP="004A6A77">
      <w:pPr>
        <w:pStyle w:val="Caption"/>
        <w:keepNext/>
        <w:rPr>
          <w:sz w:val="24"/>
        </w:rPr>
      </w:pPr>
      <w:bookmarkStart w:id="46" w:name="_Toc70079155"/>
      <w:r w:rsidRPr="00C739A6">
        <w:rPr>
          <w:sz w:val="24"/>
        </w:rPr>
        <w:lastRenderedPageBreak/>
        <w:t xml:space="preserve">Table </w:t>
      </w:r>
      <w:r w:rsidR="007D4320">
        <w:rPr>
          <w:sz w:val="24"/>
        </w:rPr>
        <w:t>8</w:t>
      </w:r>
      <w:r w:rsidRPr="00C739A6">
        <w:rPr>
          <w:sz w:val="24"/>
        </w:rPr>
        <w:t xml:space="preserve">: </w:t>
      </w:r>
      <w:r w:rsidR="00FA19EE" w:rsidRPr="00C739A6">
        <w:rPr>
          <w:sz w:val="24"/>
        </w:rPr>
        <w:t>I</w:t>
      </w:r>
      <w:r w:rsidR="009220EF" w:rsidRPr="00C739A6">
        <w:rPr>
          <w:sz w:val="24"/>
        </w:rPr>
        <w:t>n-</w:t>
      </w:r>
      <w:r w:rsidR="00FA19EE" w:rsidRPr="00C739A6">
        <w:rPr>
          <w:sz w:val="24"/>
        </w:rPr>
        <w:t>W</w:t>
      </w:r>
      <w:r w:rsidR="009220EF" w:rsidRPr="00C739A6">
        <w:rPr>
          <w:sz w:val="24"/>
        </w:rPr>
        <w:t xml:space="preserve">ork </w:t>
      </w:r>
      <w:r w:rsidR="00FA19EE" w:rsidRPr="00C739A6">
        <w:rPr>
          <w:sz w:val="24"/>
        </w:rPr>
        <w:t>T</w:t>
      </w:r>
      <w:r w:rsidR="009220EF" w:rsidRPr="00C739A6">
        <w:rPr>
          <w:sz w:val="24"/>
        </w:rPr>
        <w:t xml:space="preserve">ax </w:t>
      </w:r>
      <w:r w:rsidR="00FA19EE" w:rsidRPr="00C739A6">
        <w:rPr>
          <w:sz w:val="24"/>
        </w:rPr>
        <w:t>C</w:t>
      </w:r>
      <w:r w:rsidR="009220EF" w:rsidRPr="00C739A6">
        <w:rPr>
          <w:sz w:val="24"/>
        </w:rPr>
        <w:t>redit</w:t>
      </w:r>
      <w:r w:rsidRPr="00C739A6">
        <w:rPr>
          <w:sz w:val="24"/>
        </w:rPr>
        <w:t xml:space="preserve"> nominal values for years ending March 2008-21</w:t>
      </w:r>
      <w:bookmarkEnd w:id="46"/>
    </w:p>
    <w:tbl>
      <w:tblPr>
        <w:tblW w:w="14590" w:type="dxa"/>
        <w:tblInd w:w="-5" w:type="dxa"/>
        <w:tblLook w:val="04A0" w:firstRow="1" w:lastRow="0" w:firstColumn="1" w:lastColumn="0" w:noHBand="0" w:noVBand="1"/>
      </w:tblPr>
      <w:tblGrid>
        <w:gridCol w:w="3237"/>
        <w:gridCol w:w="810"/>
        <w:gridCol w:w="811"/>
        <w:gridCol w:w="811"/>
        <w:gridCol w:w="811"/>
        <w:gridCol w:w="811"/>
        <w:gridCol w:w="811"/>
        <w:gridCol w:w="811"/>
        <w:gridCol w:w="811"/>
        <w:gridCol w:w="811"/>
        <w:gridCol w:w="811"/>
        <w:gridCol w:w="811"/>
        <w:gridCol w:w="811"/>
        <w:gridCol w:w="811"/>
        <w:gridCol w:w="811"/>
      </w:tblGrid>
      <w:tr w:rsidR="004A6A77" w:rsidRPr="00C739A6" w14:paraId="178D08C8" w14:textId="77777777" w:rsidTr="0008762D">
        <w:trPr>
          <w:trHeight w:val="303"/>
        </w:trPr>
        <w:tc>
          <w:tcPr>
            <w:tcW w:w="0" w:type="auto"/>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2407123C" w14:textId="77777777" w:rsidR="004A6A77" w:rsidRPr="00C739A6" w:rsidRDefault="004A6A77" w:rsidP="0008762D">
            <w:pPr>
              <w:spacing w:after="0" w:line="240" w:lineRule="auto"/>
              <w:rPr>
                <w:rFonts w:ascii="Calibri" w:eastAsia="Times New Roman" w:hAnsi="Calibri" w:cs="Calibri"/>
                <w:b/>
                <w:bCs/>
                <w:color w:val="000000"/>
                <w:lang w:eastAsia="en-NZ"/>
              </w:rPr>
            </w:pPr>
          </w:p>
        </w:tc>
        <w:tc>
          <w:tcPr>
            <w:tcW w:w="0" w:type="auto"/>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3E534337" w14:textId="77777777" w:rsidR="004A6A77" w:rsidRPr="00C739A6" w:rsidRDefault="004A6A77" w:rsidP="0008762D">
            <w:pPr>
              <w:spacing w:after="0" w:line="240" w:lineRule="auto"/>
              <w:rPr>
                <w:rFonts w:ascii="Calibri" w:eastAsia="Times New Roman" w:hAnsi="Calibri" w:cs="Calibri"/>
                <w:b/>
                <w:bCs/>
                <w:color w:val="000000"/>
                <w:lang w:eastAsia="en-NZ"/>
              </w:rPr>
            </w:pPr>
            <w:r w:rsidRPr="00C739A6">
              <w:rPr>
                <w:rFonts w:ascii="Calibri" w:eastAsia="Times New Roman" w:hAnsi="Calibri" w:cs="Calibri"/>
                <w:b/>
                <w:bCs/>
                <w:color w:val="000000"/>
                <w:lang w:eastAsia="en-NZ"/>
              </w:rPr>
              <w:t>2008</w:t>
            </w:r>
          </w:p>
        </w:tc>
        <w:tc>
          <w:tcPr>
            <w:tcW w:w="0" w:type="auto"/>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1B467065" w14:textId="77777777" w:rsidR="004A6A77" w:rsidRPr="00C739A6" w:rsidRDefault="004A6A77" w:rsidP="0008762D">
            <w:pPr>
              <w:spacing w:after="0" w:line="240" w:lineRule="auto"/>
              <w:rPr>
                <w:rFonts w:ascii="Calibri" w:eastAsia="Times New Roman" w:hAnsi="Calibri" w:cs="Calibri"/>
                <w:b/>
                <w:bCs/>
                <w:color w:val="000000"/>
                <w:lang w:eastAsia="en-NZ"/>
              </w:rPr>
            </w:pPr>
            <w:r w:rsidRPr="00C739A6">
              <w:rPr>
                <w:rFonts w:ascii="Calibri" w:eastAsia="Times New Roman" w:hAnsi="Calibri" w:cs="Calibri"/>
                <w:b/>
                <w:bCs/>
                <w:color w:val="000000"/>
                <w:lang w:eastAsia="en-NZ"/>
              </w:rPr>
              <w:t>2009</w:t>
            </w:r>
          </w:p>
        </w:tc>
        <w:tc>
          <w:tcPr>
            <w:tcW w:w="0" w:type="auto"/>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78529D3E" w14:textId="77777777" w:rsidR="004A6A77" w:rsidRPr="00C739A6" w:rsidRDefault="004A6A77" w:rsidP="0008762D">
            <w:pPr>
              <w:spacing w:after="0" w:line="240" w:lineRule="auto"/>
              <w:rPr>
                <w:rFonts w:ascii="Calibri" w:eastAsia="Times New Roman" w:hAnsi="Calibri" w:cs="Calibri"/>
                <w:b/>
                <w:bCs/>
                <w:color w:val="000000"/>
                <w:lang w:eastAsia="en-NZ"/>
              </w:rPr>
            </w:pPr>
            <w:r w:rsidRPr="00C739A6">
              <w:rPr>
                <w:rFonts w:ascii="Calibri" w:eastAsia="Times New Roman" w:hAnsi="Calibri" w:cs="Calibri"/>
                <w:b/>
                <w:bCs/>
                <w:color w:val="000000"/>
                <w:lang w:eastAsia="en-NZ"/>
              </w:rPr>
              <w:t>2010</w:t>
            </w:r>
          </w:p>
        </w:tc>
        <w:tc>
          <w:tcPr>
            <w:tcW w:w="0" w:type="auto"/>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14674977" w14:textId="77777777" w:rsidR="004A6A77" w:rsidRPr="00C739A6" w:rsidRDefault="004A6A77" w:rsidP="0008762D">
            <w:pPr>
              <w:spacing w:after="0" w:line="240" w:lineRule="auto"/>
              <w:rPr>
                <w:rFonts w:ascii="Calibri" w:eastAsia="Times New Roman" w:hAnsi="Calibri" w:cs="Calibri"/>
                <w:b/>
                <w:bCs/>
                <w:color w:val="000000"/>
                <w:lang w:eastAsia="en-NZ"/>
              </w:rPr>
            </w:pPr>
            <w:r w:rsidRPr="00C739A6">
              <w:rPr>
                <w:rFonts w:ascii="Calibri" w:eastAsia="Times New Roman" w:hAnsi="Calibri" w:cs="Calibri"/>
                <w:b/>
                <w:bCs/>
                <w:color w:val="000000"/>
                <w:lang w:eastAsia="en-NZ"/>
              </w:rPr>
              <w:t>2011</w:t>
            </w:r>
          </w:p>
        </w:tc>
        <w:tc>
          <w:tcPr>
            <w:tcW w:w="0" w:type="auto"/>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597A0A1C" w14:textId="77777777" w:rsidR="004A6A77" w:rsidRPr="00C739A6" w:rsidRDefault="004A6A77" w:rsidP="0008762D">
            <w:pPr>
              <w:spacing w:after="0" w:line="240" w:lineRule="auto"/>
              <w:rPr>
                <w:rFonts w:ascii="Calibri" w:eastAsia="Times New Roman" w:hAnsi="Calibri" w:cs="Calibri"/>
                <w:b/>
                <w:bCs/>
                <w:color w:val="000000"/>
                <w:lang w:eastAsia="en-NZ"/>
              </w:rPr>
            </w:pPr>
            <w:r w:rsidRPr="00C739A6">
              <w:rPr>
                <w:rFonts w:ascii="Calibri" w:eastAsia="Times New Roman" w:hAnsi="Calibri" w:cs="Calibri"/>
                <w:b/>
                <w:bCs/>
                <w:color w:val="000000"/>
                <w:lang w:eastAsia="en-NZ"/>
              </w:rPr>
              <w:t>2012</w:t>
            </w:r>
          </w:p>
        </w:tc>
        <w:tc>
          <w:tcPr>
            <w:tcW w:w="0" w:type="auto"/>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39E2B0A2" w14:textId="77777777" w:rsidR="004A6A77" w:rsidRPr="00C739A6" w:rsidRDefault="004A6A77" w:rsidP="0008762D">
            <w:pPr>
              <w:spacing w:after="0" w:line="240" w:lineRule="auto"/>
              <w:rPr>
                <w:rFonts w:ascii="Calibri" w:eastAsia="Times New Roman" w:hAnsi="Calibri" w:cs="Calibri"/>
                <w:b/>
                <w:bCs/>
                <w:color w:val="000000"/>
                <w:lang w:eastAsia="en-NZ"/>
              </w:rPr>
            </w:pPr>
            <w:r w:rsidRPr="00C739A6">
              <w:rPr>
                <w:rFonts w:ascii="Calibri" w:eastAsia="Times New Roman" w:hAnsi="Calibri" w:cs="Calibri"/>
                <w:b/>
                <w:bCs/>
                <w:color w:val="000000"/>
                <w:lang w:eastAsia="en-NZ"/>
              </w:rPr>
              <w:t>2013</w:t>
            </w:r>
          </w:p>
        </w:tc>
        <w:tc>
          <w:tcPr>
            <w:tcW w:w="0" w:type="auto"/>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489F163C" w14:textId="77777777" w:rsidR="004A6A77" w:rsidRPr="00C739A6" w:rsidRDefault="004A6A77" w:rsidP="0008762D">
            <w:pPr>
              <w:spacing w:after="0" w:line="240" w:lineRule="auto"/>
              <w:rPr>
                <w:rFonts w:ascii="Calibri" w:eastAsia="Times New Roman" w:hAnsi="Calibri" w:cs="Calibri"/>
                <w:b/>
                <w:bCs/>
                <w:color w:val="000000"/>
                <w:lang w:eastAsia="en-NZ"/>
              </w:rPr>
            </w:pPr>
            <w:r w:rsidRPr="00C739A6">
              <w:rPr>
                <w:rFonts w:ascii="Calibri" w:eastAsia="Times New Roman" w:hAnsi="Calibri" w:cs="Calibri"/>
                <w:b/>
                <w:bCs/>
                <w:color w:val="000000"/>
                <w:lang w:eastAsia="en-NZ"/>
              </w:rPr>
              <w:t>2014</w:t>
            </w:r>
          </w:p>
        </w:tc>
        <w:tc>
          <w:tcPr>
            <w:tcW w:w="0" w:type="auto"/>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1A24DE68" w14:textId="77777777" w:rsidR="004A6A77" w:rsidRPr="00C739A6" w:rsidRDefault="004A6A77" w:rsidP="0008762D">
            <w:pPr>
              <w:spacing w:after="0" w:line="240" w:lineRule="auto"/>
              <w:rPr>
                <w:rFonts w:ascii="Calibri" w:eastAsia="Times New Roman" w:hAnsi="Calibri" w:cs="Calibri"/>
                <w:b/>
                <w:bCs/>
                <w:color w:val="000000"/>
                <w:lang w:eastAsia="en-NZ"/>
              </w:rPr>
            </w:pPr>
            <w:r w:rsidRPr="00C739A6">
              <w:rPr>
                <w:rFonts w:ascii="Calibri" w:eastAsia="Times New Roman" w:hAnsi="Calibri" w:cs="Calibri"/>
                <w:b/>
                <w:bCs/>
                <w:color w:val="000000"/>
                <w:lang w:eastAsia="en-NZ"/>
              </w:rPr>
              <w:t>2015</w:t>
            </w:r>
          </w:p>
        </w:tc>
        <w:tc>
          <w:tcPr>
            <w:tcW w:w="0" w:type="auto"/>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1374F0C2" w14:textId="77777777" w:rsidR="004A6A77" w:rsidRPr="00C739A6" w:rsidRDefault="004A6A77" w:rsidP="0008762D">
            <w:pPr>
              <w:spacing w:after="0" w:line="240" w:lineRule="auto"/>
              <w:rPr>
                <w:rFonts w:ascii="Calibri" w:eastAsia="Times New Roman" w:hAnsi="Calibri" w:cs="Calibri"/>
                <w:b/>
                <w:bCs/>
                <w:color w:val="000000"/>
                <w:lang w:eastAsia="en-NZ"/>
              </w:rPr>
            </w:pPr>
            <w:r w:rsidRPr="00C739A6">
              <w:rPr>
                <w:rFonts w:ascii="Calibri" w:eastAsia="Times New Roman" w:hAnsi="Calibri" w:cs="Calibri"/>
                <w:b/>
                <w:bCs/>
                <w:color w:val="000000"/>
                <w:lang w:eastAsia="en-NZ"/>
              </w:rPr>
              <w:t>2016</w:t>
            </w:r>
          </w:p>
        </w:tc>
        <w:tc>
          <w:tcPr>
            <w:tcW w:w="0" w:type="auto"/>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08450611" w14:textId="77777777" w:rsidR="004A6A77" w:rsidRPr="00C739A6" w:rsidRDefault="004A6A77" w:rsidP="0008762D">
            <w:pPr>
              <w:spacing w:after="0" w:line="240" w:lineRule="auto"/>
              <w:rPr>
                <w:rFonts w:ascii="Calibri" w:eastAsia="Times New Roman" w:hAnsi="Calibri" w:cs="Calibri"/>
                <w:b/>
                <w:bCs/>
                <w:color w:val="000000"/>
                <w:lang w:eastAsia="en-NZ"/>
              </w:rPr>
            </w:pPr>
            <w:r w:rsidRPr="00C739A6">
              <w:rPr>
                <w:rFonts w:ascii="Calibri" w:eastAsia="Times New Roman" w:hAnsi="Calibri" w:cs="Calibri"/>
                <w:b/>
                <w:bCs/>
                <w:color w:val="000000"/>
                <w:lang w:eastAsia="en-NZ"/>
              </w:rPr>
              <w:t>2017</w:t>
            </w:r>
          </w:p>
        </w:tc>
        <w:tc>
          <w:tcPr>
            <w:tcW w:w="0" w:type="auto"/>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5B066782" w14:textId="77777777" w:rsidR="004A6A77" w:rsidRPr="00C739A6" w:rsidRDefault="004A6A77" w:rsidP="0008762D">
            <w:pPr>
              <w:spacing w:after="0" w:line="240" w:lineRule="auto"/>
              <w:rPr>
                <w:rFonts w:ascii="Calibri" w:eastAsia="Times New Roman" w:hAnsi="Calibri" w:cs="Calibri"/>
                <w:b/>
                <w:bCs/>
                <w:color w:val="000000"/>
                <w:lang w:eastAsia="en-NZ"/>
              </w:rPr>
            </w:pPr>
            <w:r w:rsidRPr="00C739A6">
              <w:rPr>
                <w:rFonts w:ascii="Calibri" w:eastAsia="Times New Roman" w:hAnsi="Calibri" w:cs="Calibri"/>
                <w:b/>
                <w:bCs/>
                <w:color w:val="000000"/>
                <w:lang w:eastAsia="en-NZ"/>
              </w:rPr>
              <w:t>2018</w:t>
            </w:r>
          </w:p>
        </w:tc>
        <w:tc>
          <w:tcPr>
            <w:tcW w:w="0" w:type="auto"/>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1FBDBBF2" w14:textId="77777777" w:rsidR="004A6A77" w:rsidRPr="00C739A6" w:rsidRDefault="004A6A77" w:rsidP="0008762D">
            <w:pPr>
              <w:spacing w:after="0" w:line="240" w:lineRule="auto"/>
              <w:rPr>
                <w:rFonts w:ascii="Calibri" w:eastAsia="Times New Roman" w:hAnsi="Calibri" w:cs="Calibri"/>
                <w:b/>
                <w:bCs/>
                <w:color w:val="000000"/>
                <w:lang w:eastAsia="en-NZ"/>
              </w:rPr>
            </w:pPr>
            <w:r w:rsidRPr="00C739A6">
              <w:rPr>
                <w:rFonts w:ascii="Calibri" w:eastAsia="Times New Roman" w:hAnsi="Calibri" w:cs="Calibri"/>
                <w:b/>
                <w:bCs/>
                <w:color w:val="000000"/>
                <w:lang w:eastAsia="en-NZ"/>
              </w:rPr>
              <w:t>2019</w:t>
            </w:r>
          </w:p>
        </w:tc>
        <w:tc>
          <w:tcPr>
            <w:tcW w:w="0" w:type="auto"/>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4CE004F6" w14:textId="77777777" w:rsidR="004A6A77" w:rsidRPr="00C739A6" w:rsidRDefault="004A6A77" w:rsidP="0008762D">
            <w:pPr>
              <w:spacing w:after="0" w:line="240" w:lineRule="auto"/>
              <w:rPr>
                <w:rFonts w:ascii="Calibri" w:eastAsia="Times New Roman" w:hAnsi="Calibri" w:cs="Calibri"/>
                <w:b/>
                <w:bCs/>
                <w:color w:val="000000"/>
                <w:lang w:eastAsia="en-NZ"/>
              </w:rPr>
            </w:pPr>
            <w:r w:rsidRPr="00C739A6">
              <w:rPr>
                <w:rFonts w:ascii="Calibri" w:eastAsia="Times New Roman" w:hAnsi="Calibri" w:cs="Calibri"/>
                <w:b/>
                <w:bCs/>
                <w:color w:val="000000"/>
                <w:lang w:eastAsia="en-NZ"/>
              </w:rPr>
              <w:t>2020</w:t>
            </w:r>
          </w:p>
        </w:tc>
        <w:tc>
          <w:tcPr>
            <w:tcW w:w="0" w:type="auto"/>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492B273C" w14:textId="77777777" w:rsidR="004A6A77" w:rsidRPr="00C739A6" w:rsidRDefault="004A6A77" w:rsidP="0008762D">
            <w:pPr>
              <w:spacing w:after="0" w:line="240" w:lineRule="auto"/>
              <w:rPr>
                <w:rFonts w:ascii="Calibri" w:eastAsia="Times New Roman" w:hAnsi="Calibri" w:cs="Calibri"/>
                <w:b/>
                <w:bCs/>
                <w:color w:val="000000"/>
                <w:lang w:eastAsia="en-NZ"/>
              </w:rPr>
            </w:pPr>
            <w:r w:rsidRPr="00C739A6">
              <w:rPr>
                <w:rFonts w:ascii="Calibri" w:eastAsia="Times New Roman" w:hAnsi="Calibri" w:cs="Calibri"/>
                <w:b/>
                <w:bCs/>
                <w:color w:val="000000"/>
                <w:lang w:eastAsia="en-NZ"/>
              </w:rPr>
              <w:t>2021</w:t>
            </w:r>
          </w:p>
        </w:tc>
      </w:tr>
      <w:tr w:rsidR="004A6A77" w:rsidRPr="00C739A6" w14:paraId="70F22D6A" w14:textId="77777777" w:rsidTr="0008762D">
        <w:trPr>
          <w:trHeight w:val="303"/>
        </w:trPr>
        <w:tc>
          <w:tcPr>
            <w:tcW w:w="0" w:type="auto"/>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896AE49" w14:textId="544D15F4" w:rsidR="004A6A77" w:rsidRPr="00C739A6" w:rsidRDefault="002E7C20" w:rsidP="0008762D">
            <w:pPr>
              <w:spacing w:after="0" w:line="240" w:lineRule="auto"/>
              <w:rPr>
                <w:rFonts w:ascii="Calibri" w:eastAsia="Times New Roman" w:hAnsi="Calibri" w:cs="Calibri"/>
                <w:b/>
                <w:color w:val="000000"/>
                <w:lang w:eastAsia="en-NZ"/>
              </w:rPr>
            </w:pPr>
            <w:r w:rsidRPr="00C739A6">
              <w:rPr>
                <w:rFonts w:ascii="Calibri" w:eastAsia="Times New Roman" w:hAnsi="Calibri" w:cs="Calibri"/>
                <w:b/>
                <w:color w:val="000000"/>
                <w:lang w:eastAsia="en-NZ"/>
              </w:rPr>
              <w:t xml:space="preserve">Base </w:t>
            </w:r>
            <w:r w:rsidR="004A6A77" w:rsidRPr="00C739A6">
              <w:rPr>
                <w:rFonts w:ascii="Calibri" w:eastAsia="Times New Roman" w:hAnsi="Calibri" w:cs="Calibri"/>
                <w:b/>
                <w:color w:val="000000"/>
                <w:lang w:eastAsia="en-NZ"/>
              </w:rPr>
              <w:t>rate (1-3 children)</w:t>
            </w:r>
          </w:p>
        </w:tc>
        <w:tc>
          <w:tcPr>
            <w:tcW w:w="0" w:type="auto"/>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67A8E0E3"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60</w:t>
            </w:r>
          </w:p>
        </w:tc>
        <w:tc>
          <w:tcPr>
            <w:tcW w:w="0" w:type="auto"/>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54C85169"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60</w:t>
            </w:r>
          </w:p>
        </w:tc>
        <w:tc>
          <w:tcPr>
            <w:tcW w:w="0" w:type="auto"/>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23E80708"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60</w:t>
            </w:r>
          </w:p>
        </w:tc>
        <w:tc>
          <w:tcPr>
            <w:tcW w:w="0" w:type="auto"/>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762883D"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60</w:t>
            </w:r>
          </w:p>
        </w:tc>
        <w:tc>
          <w:tcPr>
            <w:tcW w:w="0" w:type="auto"/>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A1146D4"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60</w:t>
            </w:r>
          </w:p>
        </w:tc>
        <w:tc>
          <w:tcPr>
            <w:tcW w:w="0" w:type="auto"/>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43D71579"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60</w:t>
            </w:r>
          </w:p>
        </w:tc>
        <w:tc>
          <w:tcPr>
            <w:tcW w:w="0" w:type="auto"/>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2D5F905C"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60</w:t>
            </w:r>
          </w:p>
        </w:tc>
        <w:tc>
          <w:tcPr>
            <w:tcW w:w="0" w:type="auto"/>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4631E540"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60</w:t>
            </w:r>
          </w:p>
        </w:tc>
        <w:tc>
          <w:tcPr>
            <w:tcW w:w="0" w:type="auto"/>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03349B33"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60</w:t>
            </w:r>
          </w:p>
        </w:tc>
        <w:tc>
          <w:tcPr>
            <w:tcW w:w="0" w:type="auto"/>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432A9EE"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72.5</w:t>
            </w:r>
          </w:p>
        </w:tc>
        <w:tc>
          <w:tcPr>
            <w:tcW w:w="0" w:type="auto"/>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76ADBDFE"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72.5</w:t>
            </w:r>
          </w:p>
        </w:tc>
        <w:tc>
          <w:tcPr>
            <w:tcW w:w="0" w:type="auto"/>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025EA267"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72.5</w:t>
            </w:r>
          </w:p>
        </w:tc>
        <w:tc>
          <w:tcPr>
            <w:tcW w:w="0" w:type="auto"/>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0388F6E7"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72.5</w:t>
            </w:r>
          </w:p>
        </w:tc>
        <w:tc>
          <w:tcPr>
            <w:tcW w:w="0" w:type="auto"/>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874B936"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72.5</w:t>
            </w:r>
          </w:p>
        </w:tc>
      </w:tr>
      <w:tr w:rsidR="004A6A77" w:rsidRPr="00C739A6" w14:paraId="77FCBE4E" w14:textId="77777777" w:rsidTr="0008762D">
        <w:trPr>
          <w:trHeight w:val="303"/>
        </w:trPr>
        <w:tc>
          <w:tcPr>
            <w:tcW w:w="0" w:type="auto"/>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15C52024" w14:textId="2C500E07" w:rsidR="004A6A77" w:rsidRPr="00C739A6" w:rsidRDefault="004A6A77" w:rsidP="0008762D">
            <w:pPr>
              <w:spacing w:after="0" w:line="240" w:lineRule="auto"/>
              <w:rPr>
                <w:rFonts w:ascii="Calibri" w:eastAsia="Times New Roman" w:hAnsi="Calibri" w:cs="Calibri"/>
                <w:b/>
                <w:color w:val="000000"/>
                <w:lang w:eastAsia="en-NZ"/>
              </w:rPr>
            </w:pPr>
            <w:r w:rsidRPr="00C739A6">
              <w:rPr>
                <w:rFonts w:ascii="Calibri" w:eastAsia="Times New Roman" w:hAnsi="Calibri" w:cs="Calibri"/>
                <w:b/>
                <w:color w:val="000000"/>
                <w:lang w:eastAsia="en-NZ"/>
              </w:rPr>
              <w:t>rate (4th and subsequent)</w:t>
            </w:r>
          </w:p>
        </w:tc>
        <w:tc>
          <w:tcPr>
            <w:tcW w:w="0" w:type="auto"/>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466EB675"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15</w:t>
            </w:r>
          </w:p>
        </w:tc>
        <w:tc>
          <w:tcPr>
            <w:tcW w:w="0" w:type="auto"/>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205A74E2"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15</w:t>
            </w:r>
          </w:p>
        </w:tc>
        <w:tc>
          <w:tcPr>
            <w:tcW w:w="0" w:type="auto"/>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4942B56D"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15</w:t>
            </w:r>
          </w:p>
        </w:tc>
        <w:tc>
          <w:tcPr>
            <w:tcW w:w="0" w:type="auto"/>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1F3700B3"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15</w:t>
            </w:r>
          </w:p>
        </w:tc>
        <w:tc>
          <w:tcPr>
            <w:tcW w:w="0" w:type="auto"/>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1C228E4C"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15</w:t>
            </w:r>
          </w:p>
        </w:tc>
        <w:tc>
          <w:tcPr>
            <w:tcW w:w="0" w:type="auto"/>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74B9C715"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15</w:t>
            </w:r>
          </w:p>
        </w:tc>
        <w:tc>
          <w:tcPr>
            <w:tcW w:w="0" w:type="auto"/>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161769CA"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15</w:t>
            </w:r>
          </w:p>
        </w:tc>
        <w:tc>
          <w:tcPr>
            <w:tcW w:w="0" w:type="auto"/>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1B423949"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15</w:t>
            </w:r>
          </w:p>
        </w:tc>
        <w:tc>
          <w:tcPr>
            <w:tcW w:w="0" w:type="auto"/>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69C6342"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15</w:t>
            </w:r>
          </w:p>
        </w:tc>
        <w:tc>
          <w:tcPr>
            <w:tcW w:w="0" w:type="auto"/>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4898CE97"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15</w:t>
            </w:r>
          </w:p>
        </w:tc>
        <w:tc>
          <w:tcPr>
            <w:tcW w:w="0" w:type="auto"/>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293A5B1C"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15</w:t>
            </w:r>
          </w:p>
        </w:tc>
        <w:tc>
          <w:tcPr>
            <w:tcW w:w="0" w:type="auto"/>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3EC61C5C"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15</w:t>
            </w:r>
          </w:p>
        </w:tc>
        <w:tc>
          <w:tcPr>
            <w:tcW w:w="0" w:type="auto"/>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13AD16F"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15</w:t>
            </w:r>
          </w:p>
        </w:tc>
        <w:tc>
          <w:tcPr>
            <w:tcW w:w="0" w:type="auto"/>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8816B43" w14:textId="77777777" w:rsidR="004A6A77" w:rsidRPr="00C739A6" w:rsidRDefault="004A6A77" w:rsidP="0008762D">
            <w:pPr>
              <w:spacing w:after="0" w:line="240" w:lineRule="auto"/>
              <w:jc w:val="right"/>
              <w:rPr>
                <w:rFonts w:ascii="Calibri" w:eastAsia="Times New Roman" w:hAnsi="Calibri" w:cs="Calibri"/>
                <w:color w:val="000000"/>
                <w:lang w:eastAsia="en-NZ"/>
              </w:rPr>
            </w:pPr>
            <w:r w:rsidRPr="00C739A6">
              <w:rPr>
                <w:rFonts w:ascii="Calibri" w:eastAsia="Times New Roman" w:hAnsi="Calibri" w:cs="Calibri"/>
                <w:color w:val="000000"/>
                <w:lang w:eastAsia="en-NZ"/>
              </w:rPr>
              <w:t>15</w:t>
            </w:r>
          </w:p>
        </w:tc>
      </w:tr>
    </w:tbl>
    <w:p w14:paraId="65A01112" w14:textId="77777777" w:rsidR="00946A51" w:rsidRPr="00C739A6" w:rsidRDefault="00946A51" w:rsidP="00946A51"/>
    <w:p w14:paraId="4E15AAC3" w14:textId="47E241F4" w:rsidR="004A6A77" w:rsidRPr="00C739A6" w:rsidRDefault="004A6A77" w:rsidP="004A6A77">
      <w:pPr>
        <w:pStyle w:val="Caption"/>
        <w:keepNext/>
        <w:rPr>
          <w:sz w:val="24"/>
        </w:rPr>
      </w:pPr>
      <w:bookmarkStart w:id="47" w:name="_Toc70079156"/>
      <w:r w:rsidRPr="00C739A6">
        <w:rPr>
          <w:sz w:val="24"/>
        </w:rPr>
        <w:t>Table</w:t>
      </w:r>
      <w:r w:rsidR="007D4320">
        <w:rPr>
          <w:sz w:val="24"/>
        </w:rPr>
        <w:t xml:space="preserve"> 9</w:t>
      </w:r>
      <w:r w:rsidRPr="00C739A6">
        <w:rPr>
          <w:sz w:val="24"/>
        </w:rPr>
        <w:t xml:space="preserve">: </w:t>
      </w:r>
      <w:r w:rsidR="009220EF" w:rsidRPr="00C739A6">
        <w:rPr>
          <w:sz w:val="24"/>
        </w:rPr>
        <w:t>In-Work Tax Credit</w:t>
      </w:r>
      <w:r w:rsidRPr="00C739A6">
        <w:rPr>
          <w:sz w:val="24"/>
        </w:rPr>
        <w:t xml:space="preserve"> average weekly rates for years ending March 2008-2021, indexed to wages (in Q3 2020 dollars)</w:t>
      </w:r>
      <w:bookmarkEnd w:id="47"/>
    </w:p>
    <w:tbl>
      <w:tblPr>
        <w:tblStyle w:val="PlainTable1"/>
        <w:tblW w:w="14741" w:type="dxa"/>
        <w:tblLook w:val="04A0" w:firstRow="1" w:lastRow="0" w:firstColumn="1" w:lastColumn="0" w:noHBand="0" w:noVBand="1"/>
      </w:tblPr>
      <w:tblGrid>
        <w:gridCol w:w="4185"/>
        <w:gridCol w:w="754"/>
        <w:gridCol w:w="754"/>
        <w:gridCol w:w="754"/>
        <w:gridCol w:w="754"/>
        <w:gridCol w:w="754"/>
        <w:gridCol w:w="754"/>
        <w:gridCol w:w="754"/>
        <w:gridCol w:w="754"/>
        <w:gridCol w:w="754"/>
        <w:gridCol w:w="754"/>
        <w:gridCol w:w="754"/>
        <w:gridCol w:w="754"/>
        <w:gridCol w:w="754"/>
        <w:gridCol w:w="754"/>
      </w:tblGrid>
      <w:tr w:rsidR="004A6A77" w:rsidRPr="00C739A6" w14:paraId="6FA88414" w14:textId="77777777" w:rsidTr="0008762D">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0" w:type="auto"/>
            <w:noWrap/>
            <w:hideMark/>
          </w:tcPr>
          <w:p w14:paraId="3044E517" w14:textId="77777777" w:rsidR="004A6A77" w:rsidRPr="00C739A6" w:rsidRDefault="004A6A77" w:rsidP="0008762D">
            <w:pPr>
              <w:rPr>
                <w:rFonts w:ascii="Calibri" w:eastAsia="Times New Roman" w:hAnsi="Calibri" w:cs="Calibri"/>
                <w:color w:val="000000"/>
                <w:lang w:eastAsia="en-NZ"/>
              </w:rPr>
            </w:pPr>
          </w:p>
        </w:tc>
        <w:tc>
          <w:tcPr>
            <w:tcW w:w="0" w:type="auto"/>
            <w:noWrap/>
            <w:hideMark/>
          </w:tcPr>
          <w:p w14:paraId="5E156C8F"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2008</w:t>
            </w:r>
          </w:p>
        </w:tc>
        <w:tc>
          <w:tcPr>
            <w:tcW w:w="0" w:type="auto"/>
            <w:noWrap/>
            <w:hideMark/>
          </w:tcPr>
          <w:p w14:paraId="76F2958B"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2009</w:t>
            </w:r>
          </w:p>
        </w:tc>
        <w:tc>
          <w:tcPr>
            <w:tcW w:w="0" w:type="auto"/>
            <w:noWrap/>
            <w:hideMark/>
          </w:tcPr>
          <w:p w14:paraId="535FEF67"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2010</w:t>
            </w:r>
          </w:p>
        </w:tc>
        <w:tc>
          <w:tcPr>
            <w:tcW w:w="0" w:type="auto"/>
            <w:noWrap/>
            <w:hideMark/>
          </w:tcPr>
          <w:p w14:paraId="227030A4"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2011</w:t>
            </w:r>
          </w:p>
        </w:tc>
        <w:tc>
          <w:tcPr>
            <w:tcW w:w="0" w:type="auto"/>
            <w:noWrap/>
            <w:hideMark/>
          </w:tcPr>
          <w:p w14:paraId="4506BE79"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2012</w:t>
            </w:r>
          </w:p>
        </w:tc>
        <w:tc>
          <w:tcPr>
            <w:tcW w:w="0" w:type="auto"/>
            <w:noWrap/>
            <w:hideMark/>
          </w:tcPr>
          <w:p w14:paraId="2EC5F8F5"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2013</w:t>
            </w:r>
          </w:p>
        </w:tc>
        <w:tc>
          <w:tcPr>
            <w:tcW w:w="0" w:type="auto"/>
            <w:noWrap/>
            <w:hideMark/>
          </w:tcPr>
          <w:p w14:paraId="7BEC900A"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2014</w:t>
            </w:r>
          </w:p>
        </w:tc>
        <w:tc>
          <w:tcPr>
            <w:tcW w:w="0" w:type="auto"/>
            <w:noWrap/>
            <w:hideMark/>
          </w:tcPr>
          <w:p w14:paraId="3D5EC2F3"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2015</w:t>
            </w:r>
          </w:p>
        </w:tc>
        <w:tc>
          <w:tcPr>
            <w:tcW w:w="0" w:type="auto"/>
            <w:noWrap/>
            <w:hideMark/>
          </w:tcPr>
          <w:p w14:paraId="7769ACBB"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2016</w:t>
            </w:r>
          </w:p>
        </w:tc>
        <w:tc>
          <w:tcPr>
            <w:tcW w:w="0" w:type="auto"/>
            <w:noWrap/>
            <w:hideMark/>
          </w:tcPr>
          <w:p w14:paraId="2C147493"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2017</w:t>
            </w:r>
          </w:p>
        </w:tc>
        <w:tc>
          <w:tcPr>
            <w:tcW w:w="0" w:type="auto"/>
            <w:noWrap/>
            <w:hideMark/>
          </w:tcPr>
          <w:p w14:paraId="27C901F2"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2018</w:t>
            </w:r>
          </w:p>
        </w:tc>
        <w:tc>
          <w:tcPr>
            <w:tcW w:w="0" w:type="auto"/>
            <w:noWrap/>
            <w:hideMark/>
          </w:tcPr>
          <w:p w14:paraId="655C72E2"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2019</w:t>
            </w:r>
          </w:p>
        </w:tc>
        <w:tc>
          <w:tcPr>
            <w:tcW w:w="0" w:type="auto"/>
            <w:noWrap/>
            <w:hideMark/>
          </w:tcPr>
          <w:p w14:paraId="26B03D5E"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2020</w:t>
            </w:r>
          </w:p>
        </w:tc>
        <w:tc>
          <w:tcPr>
            <w:tcW w:w="0" w:type="auto"/>
            <w:noWrap/>
            <w:hideMark/>
          </w:tcPr>
          <w:p w14:paraId="522EFCE3" w14:textId="77777777" w:rsidR="004A6A77" w:rsidRPr="00C739A6" w:rsidRDefault="004A6A77" w:rsidP="000876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2021</w:t>
            </w:r>
          </w:p>
        </w:tc>
      </w:tr>
      <w:tr w:rsidR="004A6A77" w:rsidRPr="00C739A6" w14:paraId="1486BBB9" w14:textId="77777777" w:rsidTr="0008762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0" w:type="auto"/>
            <w:noWrap/>
            <w:hideMark/>
          </w:tcPr>
          <w:p w14:paraId="2EDFD785" w14:textId="77777777" w:rsidR="004A6A77" w:rsidRPr="00C739A6" w:rsidRDefault="004A6A77" w:rsidP="0008762D">
            <w:pPr>
              <w:rPr>
                <w:rFonts w:ascii="Calibri" w:eastAsia="Times New Roman" w:hAnsi="Calibri" w:cs="Calibri"/>
                <w:color w:val="000000"/>
                <w:lang w:eastAsia="en-NZ"/>
              </w:rPr>
            </w:pPr>
            <w:r w:rsidRPr="00C739A6">
              <w:rPr>
                <w:rFonts w:ascii="Calibri" w:eastAsia="Times New Roman" w:hAnsi="Calibri" w:cs="Calibri"/>
                <w:color w:val="000000"/>
                <w:lang w:eastAsia="en-NZ"/>
              </w:rPr>
              <w:t>Primary rate (1-3 children)</w:t>
            </w:r>
          </w:p>
        </w:tc>
        <w:tc>
          <w:tcPr>
            <w:tcW w:w="0" w:type="auto"/>
            <w:noWrap/>
            <w:hideMark/>
          </w:tcPr>
          <w:p w14:paraId="5C5BE4A7"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87.8</w:t>
            </w:r>
          </w:p>
        </w:tc>
        <w:tc>
          <w:tcPr>
            <w:tcW w:w="0" w:type="auto"/>
            <w:noWrap/>
            <w:hideMark/>
          </w:tcPr>
          <w:p w14:paraId="4C5FC49E"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83.2</w:t>
            </w:r>
          </w:p>
        </w:tc>
        <w:tc>
          <w:tcPr>
            <w:tcW w:w="0" w:type="auto"/>
            <w:noWrap/>
            <w:hideMark/>
          </w:tcPr>
          <w:p w14:paraId="1106B519"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80.3</w:t>
            </w:r>
          </w:p>
        </w:tc>
        <w:tc>
          <w:tcPr>
            <w:tcW w:w="0" w:type="auto"/>
            <w:noWrap/>
            <w:hideMark/>
          </w:tcPr>
          <w:p w14:paraId="495E2F70"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80.0</w:t>
            </w:r>
          </w:p>
        </w:tc>
        <w:tc>
          <w:tcPr>
            <w:tcW w:w="0" w:type="auto"/>
            <w:noWrap/>
            <w:hideMark/>
          </w:tcPr>
          <w:p w14:paraId="3D4EADBC"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77.4</w:t>
            </w:r>
          </w:p>
        </w:tc>
        <w:tc>
          <w:tcPr>
            <w:tcW w:w="0" w:type="auto"/>
            <w:noWrap/>
            <w:hideMark/>
          </w:tcPr>
          <w:p w14:paraId="0E6BDB2B"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74.9</w:t>
            </w:r>
          </w:p>
        </w:tc>
        <w:tc>
          <w:tcPr>
            <w:tcW w:w="0" w:type="auto"/>
            <w:noWrap/>
            <w:hideMark/>
          </w:tcPr>
          <w:p w14:paraId="5AC3BA3D"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73.2</w:t>
            </w:r>
          </w:p>
        </w:tc>
        <w:tc>
          <w:tcPr>
            <w:tcW w:w="0" w:type="auto"/>
            <w:noWrap/>
            <w:hideMark/>
          </w:tcPr>
          <w:p w14:paraId="21CCAA27"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71.0</w:t>
            </w:r>
          </w:p>
        </w:tc>
        <w:tc>
          <w:tcPr>
            <w:tcW w:w="0" w:type="auto"/>
            <w:noWrap/>
            <w:hideMark/>
          </w:tcPr>
          <w:p w14:paraId="43A8548A"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69.2</w:t>
            </w:r>
          </w:p>
        </w:tc>
        <w:tc>
          <w:tcPr>
            <w:tcW w:w="0" w:type="auto"/>
            <w:noWrap/>
            <w:hideMark/>
          </w:tcPr>
          <w:p w14:paraId="2BBFF8B8"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82.4</w:t>
            </w:r>
          </w:p>
        </w:tc>
        <w:tc>
          <w:tcPr>
            <w:tcW w:w="0" w:type="auto"/>
            <w:noWrap/>
            <w:hideMark/>
          </w:tcPr>
          <w:p w14:paraId="7EB5625D"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80.7</w:t>
            </w:r>
          </w:p>
        </w:tc>
        <w:tc>
          <w:tcPr>
            <w:tcW w:w="0" w:type="auto"/>
            <w:noWrap/>
            <w:hideMark/>
          </w:tcPr>
          <w:p w14:paraId="0F8B7A7B"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77.9</w:t>
            </w:r>
          </w:p>
        </w:tc>
        <w:tc>
          <w:tcPr>
            <w:tcW w:w="0" w:type="auto"/>
            <w:noWrap/>
            <w:hideMark/>
          </w:tcPr>
          <w:p w14:paraId="74E67B59"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75.1</w:t>
            </w:r>
          </w:p>
        </w:tc>
        <w:tc>
          <w:tcPr>
            <w:tcW w:w="0" w:type="auto"/>
            <w:noWrap/>
            <w:hideMark/>
          </w:tcPr>
          <w:p w14:paraId="49170E27" w14:textId="77777777" w:rsidR="004A6A77" w:rsidRPr="00C739A6" w:rsidRDefault="004A6A77" w:rsidP="000876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72.5</w:t>
            </w:r>
          </w:p>
        </w:tc>
      </w:tr>
      <w:tr w:rsidR="004A6A77" w:rsidRPr="00C739A6" w14:paraId="70F71228" w14:textId="77777777" w:rsidTr="0008762D">
        <w:trPr>
          <w:trHeight w:val="396"/>
        </w:trPr>
        <w:tc>
          <w:tcPr>
            <w:cnfStyle w:val="001000000000" w:firstRow="0" w:lastRow="0" w:firstColumn="1" w:lastColumn="0" w:oddVBand="0" w:evenVBand="0" w:oddHBand="0" w:evenHBand="0" w:firstRowFirstColumn="0" w:firstRowLastColumn="0" w:lastRowFirstColumn="0" w:lastRowLastColumn="0"/>
            <w:tcW w:w="0" w:type="auto"/>
            <w:noWrap/>
            <w:hideMark/>
          </w:tcPr>
          <w:p w14:paraId="0FDC5B9C" w14:textId="77777777" w:rsidR="004A6A77" w:rsidRPr="00C739A6" w:rsidRDefault="004A6A77" w:rsidP="0008762D">
            <w:pPr>
              <w:rPr>
                <w:rFonts w:ascii="Calibri" w:eastAsia="Times New Roman" w:hAnsi="Calibri" w:cs="Calibri"/>
                <w:color w:val="000000"/>
                <w:lang w:eastAsia="en-NZ"/>
              </w:rPr>
            </w:pPr>
            <w:r w:rsidRPr="00C739A6">
              <w:rPr>
                <w:rFonts w:ascii="Calibri" w:eastAsia="Times New Roman" w:hAnsi="Calibri" w:cs="Calibri"/>
                <w:color w:val="000000"/>
                <w:lang w:eastAsia="en-NZ"/>
              </w:rPr>
              <w:t>Secondary rate (4th and subsequent)</w:t>
            </w:r>
          </w:p>
        </w:tc>
        <w:tc>
          <w:tcPr>
            <w:tcW w:w="0" w:type="auto"/>
            <w:noWrap/>
            <w:hideMark/>
          </w:tcPr>
          <w:p w14:paraId="13B33A61"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21.9</w:t>
            </w:r>
          </w:p>
        </w:tc>
        <w:tc>
          <w:tcPr>
            <w:tcW w:w="0" w:type="auto"/>
            <w:noWrap/>
            <w:hideMark/>
          </w:tcPr>
          <w:p w14:paraId="5DD35262"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20.8</w:t>
            </w:r>
          </w:p>
        </w:tc>
        <w:tc>
          <w:tcPr>
            <w:tcW w:w="0" w:type="auto"/>
            <w:noWrap/>
            <w:hideMark/>
          </w:tcPr>
          <w:p w14:paraId="0F0C6DD2"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20.1</w:t>
            </w:r>
          </w:p>
        </w:tc>
        <w:tc>
          <w:tcPr>
            <w:tcW w:w="0" w:type="auto"/>
            <w:noWrap/>
            <w:hideMark/>
          </w:tcPr>
          <w:p w14:paraId="6ADDBA33"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20.0</w:t>
            </w:r>
          </w:p>
        </w:tc>
        <w:tc>
          <w:tcPr>
            <w:tcW w:w="0" w:type="auto"/>
            <w:noWrap/>
            <w:hideMark/>
          </w:tcPr>
          <w:p w14:paraId="573D171C"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19.3</w:t>
            </w:r>
          </w:p>
        </w:tc>
        <w:tc>
          <w:tcPr>
            <w:tcW w:w="0" w:type="auto"/>
            <w:noWrap/>
            <w:hideMark/>
          </w:tcPr>
          <w:p w14:paraId="5DAC6C41"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18.7</w:t>
            </w:r>
          </w:p>
        </w:tc>
        <w:tc>
          <w:tcPr>
            <w:tcW w:w="0" w:type="auto"/>
            <w:noWrap/>
            <w:hideMark/>
          </w:tcPr>
          <w:p w14:paraId="3AC1E6B6"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18.3</w:t>
            </w:r>
          </w:p>
        </w:tc>
        <w:tc>
          <w:tcPr>
            <w:tcW w:w="0" w:type="auto"/>
            <w:noWrap/>
            <w:hideMark/>
          </w:tcPr>
          <w:p w14:paraId="3BBC9994"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17.8</w:t>
            </w:r>
          </w:p>
        </w:tc>
        <w:tc>
          <w:tcPr>
            <w:tcW w:w="0" w:type="auto"/>
            <w:noWrap/>
            <w:hideMark/>
          </w:tcPr>
          <w:p w14:paraId="4D5C84DA"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17.3</w:t>
            </w:r>
          </w:p>
        </w:tc>
        <w:tc>
          <w:tcPr>
            <w:tcW w:w="0" w:type="auto"/>
            <w:noWrap/>
            <w:hideMark/>
          </w:tcPr>
          <w:p w14:paraId="716180F9"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17.1</w:t>
            </w:r>
          </w:p>
        </w:tc>
        <w:tc>
          <w:tcPr>
            <w:tcW w:w="0" w:type="auto"/>
            <w:noWrap/>
            <w:hideMark/>
          </w:tcPr>
          <w:p w14:paraId="449DD23C"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16.7</w:t>
            </w:r>
          </w:p>
        </w:tc>
        <w:tc>
          <w:tcPr>
            <w:tcW w:w="0" w:type="auto"/>
            <w:noWrap/>
            <w:hideMark/>
          </w:tcPr>
          <w:p w14:paraId="75971259"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16.1</w:t>
            </w:r>
          </w:p>
        </w:tc>
        <w:tc>
          <w:tcPr>
            <w:tcW w:w="0" w:type="auto"/>
            <w:noWrap/>
            <w:hideMark/>
          </w:tcPr>
          <w:p w14:paraId="3FA7D645"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15.5</w:t>
            </w:r>
          </w:p>
        </w:tc>
        <w:tc>
          <w:tcPr>
            <w:tcW w:w="0" w:type="auto"/>
            <w:noWrap/>
            <w:hideMark/>
          </w:tcPr>
          <w:p w14:paraId="24D3EB50" w14:textId="77777777" w:rsidR="004A6A77" w:rsidRPr="00C739A6" w:rsidRDefault="004A6A77" w:rsidP="000876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C739A6">
              <w:rPr>
                <w:rFonts w:ascii="Calibri" w:eastAsia="Times New Roman" w:hAnsi="Calibri" w:cs="Calibri"/>
                <w:color w:val="000000"/>
                <w:lang w:eastAsia="en-NZ"/>
              </w:rPr>
              <w:t>15</w:t>
            </w:r>
          </w:p>
        </w:tc>
      </w:tr>
    </w:tbl>
    <w:p w14:paraId="51808E47" w14:textId="77777777" w:rsidR="004A6A77" w:rsidRPr="00C739A6" w:rsidRDefault="004A6A77" w:rsidP="004A6A77"/>
    <w:p w14:paraId="48BBD3AD" w14:textId="77777777" w:rsidR="00946A51" w:rsidRPr="00C739A6" w:rsidRDefault="00946A51" w:rsidP="00946A51"/>
    <w:p w14:paraId="68B48284" w14:textId="77777777" w:rsidR="00946A51" w:rsidRPr="00C739A6" w:rsidRDefault="00946A51" w:rsidP="00946A51"/>
    <w:p w14:paraId="6FFFE6A7" w14:textId="77777777" w:rsidR="00946A51" w:rsidRPr="00C739A6" w:rsidRDefault="00946A51" w:rsidP="00946A51"/>
    <w:p w14:paraId="474099AA" w14:textId="77777777" w:rsidR="00946A51" w:rsidRPr="00C739A6" w:rsidRDefault="00946A51" w:rsidP="00946A51"/>
    <w:p w14:paraId="47428CC9" w14:textId="77777777" w:rsidR="001F6339" w:rsidRPr="00C739A6" w:rsidRDefault="001F6339" w:rsidP="00946A51"/>
    <w:p w14:paraId="5F1FD5AE" w14:textId="77777777" w:rsidR="001F6339" w:rsidRPr="00C739A6" w:rsidRDefault="001F6339" w:rsidP="00946A51"/>
    <w:p w14:paraId="78EBAE9D" w14:textId="77777777" w:rsidR="00637D69" w:rsidRPr="00C739A6" w:rsidRDefault="00637D69" w:rsidP="00946A51">
      <w:pPr>
        <w:sectPr w:rsidR="00637D69" w:rsidRPr="00C739A6" w:rsidSect="004A6A77">
          <w:pgSz w:w="16838" w:h="11906" w:orient="landscape"/>
          <w:pgMar w:top="1440" w:right="1440" w:bottom="1440" w:left="1440" w:header="706" w:footer="706" w:gutter="0"/>
          <w:cols w:space="708"/>
          <w:docGrid w:linePitch="360"/>
        </w:sectPr>
      </w:pPr>
    </w:p>
    <w:p w14:paraId="7DAAE8AA" w14:textId="00DF690D" w:rsidR="0061475A" w:rsidRPr="00C739A6" w:rsidRDefault="00946A51" w:rsidP="00E564A2">
      <w:pPr>
        <w:pStyle w:val="Heading1"/>
      </w:pPr>
      <w:bookmarkStart w:id="48" w:name="_Toc66785678"/>
      <w:r w:rsidRPr="00C739A6">
        <w:lastRenderedPageBreak/>
        <w:t>Appendix B</w:t>
      </w:r>
      <w:r w:rsidR="0061475A" w:rsidRPr="00C739A6">
        <w:t xml:space="preserve">: Timeline </w:t>
      </w:r>
      <w:r w:rsidR="00BC4202">
        <w:t xml:space="preserve">October 2008 </w:t>
      </w:r>
      <w:r w:rsidR="0061475A" w:rsidRPr="00C739A6">
        <w:t xml:space="preserve">to present of selected changes to </w:t>
      </w:r>
      <w:r w:rsidR="001B2B88" w:rsidRPr="00C739A6">
        <w:t>WFF</w:t>
      </w:r>
      <w:r w:rsidR="0061475A" w:rsidRPr="00C739A6">
        <w:t xml:space="preserve"> </w:t>
      </w:r>
      <w:bookmarkEnd w:id="48"/>
    </w:p>
    <w:p w14:paraId="4A3CBD6B" w14:textId="77777777" w:rsidR="00B5692E" w:rsidRPr="00C739A6" w:rsidRDefault="00B5692E" w:rsidP="00B5692E"/>
    <w:tbl>
      <w:tblPr>
        <w:tblStyle w:val="TableGrid"/>
        <w:tblW w:w="0" w:type="auto"/>
        <w:tblLook w:val="04A0" w:firstRow="1" w:lastRow="0" w:firstColumn="1" w:lastColumn="0" w:noHBand="0" w:noVBand="1"/>
      </w:tblPr>
      <w:tblGrid>
        <w:gridCol w:w="1885"/>
        <w:gridCol w:w="7131"/>
      </w:tblGrid>
      <w:tr w:rsidR="0061475A" w:rsidRPr="00C739A6" w14:paraId="3E7831FD" w14:textId="77777777" w:rsidTr="0081019B">
        <w:tc>
          <w:tcPr>
            <w:tcW w:w="1885" w:type="dxa"/>
          </w:tcPr>
          <w:p w14:paraId="20ACC137" w14:textId="77777777" w:rsidR="0061475A" w:rsidRPr="00C739A6" w:rsidRDefault="0061475A" w:rsidP="002C3B03">
            <w:pPr>
              <w:rPr>
                <w:b/>
              </w:rPr>
            </w:pPr>
            <w:r w:rsidRPr="00C739A6">
              <w:rPr>
                <w:b/>
              </w:rPr>
              <w:t>Date</w:t>
            </w:r>
          </w:p>
        </w:tc>
        <w:tc>
          <w:tcPr>
            <w:tcW w:w="7131" w:type="dxa"/>
          </w:tcPr>
          <w:p w14:paraId="1E7D0D69" w14:textId="77777777" w:rsidR="0061475A" w:rsidRPr="00C739A6" w:rsidRDefault="0061475A" w:rsidP="002C3B03">
            <w:pPr>
              <w:rPr>
                <w:b/>
              </w:rPr>
            </w:pPr>
            <w:r w:rsidRPr="00C739A6">
              <w:rPr>
                <w:b/>
              </w:rPr>
              <w:t>Change</w:t>
            </w:r>
          </w:p>
        </w:tc>
      </w:tr>
      <w:tr w:rsidR="0061475A" w:rsidRPr="00C739A6" w14:paraId="3D0EB593" w14:textId="77777777" w:rsidTr="0081019B">
        <w:tc>
          <w:tcPr>
            <w:tcW w:w="1885" w:type="dxa"/>
          </w:tcPr>
          <w:p w14:paraId="24227D45" w14:textId="77777777" w:rsidR="0061475A" w:rsidRPr="00C739A6" w:rsidRDefault="0061475A" w:rsidP="002C3B03">
            <w:r w:rsidRPr="00C739A6">
              <w:t>1 October 2008</w:t>
            </w:r>
          </w:p>
        </w:tc>
        <w:tc>
          <w:tcPr>
            <w:tcW w:w="7131" w:type="dxa"/>
          </w:tcPr>
          <w:p w14:paraId="5A2C890C" w14:textId="77777777" w:rsidR="0061475A" w:rsidRPr="00C739A6" w:rsidRDefault="0061475A" w:rsidP="002C3B03">
            <w:r w:rsidRPr="00C739A6">
              <w:rPr>
                <w:u w:val="single"/>
              </w:rPr>
              <w:t>Family Tax Credit</w:t>
            </w:r>
            <w:r w:rsidRPr="00C739A6">
              <w:t xml:space="preserve"> </w:t>
            </w:r>
          </w:p>
          <w:p w14:paraId="7992680C" w14:textId="77777777" w:rsidR="0061475A" w:rsidRPr="00C739A6" w:rsidRDefault="0061475A" w:rsidP="002C3B03">
            <w:r w:rsidRPr="00C739A6">
              <w:t>Rates increase by an anticipated movement in the CPI of 5.22%. Changes are as follows:</w:t>
            </w:r>
          </w:p>
          <w:p w14:paraId="00AE9AA3" w14:textId="77777777" w:rsidR="0061475A" w:rsidRPr="00C739A6" w:rsidRDefault="0061475A" w:rsidP="0061475A">
            <w:pPr>
              <w:pStyle w:val="ListParagraph"/>
              <w:numPr>
                <w:ilvl w:val="0"/>
                <w:numId w:val="4"/>
              </w:numPr>
            </w:pPr>
            <w:r w:rsidRPr="00C739A6">
              <w:t>First child &lt;16: $82 to $86.29 p/w</w:t>
            </w:r>
          </w:p>
          <w:p w14:paraId="456EFF82" w14:textId="77777777" w:rsidR="0061475A" w:rsidRPr="00C739A6" w:rsidRDefault="0061475A" w:rsidP="0061475A">
            <w:pPr>
              <w:pStyle w:val="ListParagraph"/>
              <w:numPr>
                <w:ilvl w:val="0"/>
                <w:numId w:val="4"/>
              </w:numPr>
            </w:pPr>
            <w:r w:rsidRPr="00C739A6">
              <w:t>First child 16+: $95 to $99.96 p/w</w:t>
            </w:r>
          </w:p>
          <w:p w14:paraId="4E4D0315" w14:textId="77777777" w:rsidR="0061475A" w:rsidRPr="00C739A6" w:rsidRDefault="0061475A" w:rsidP="0061475A">
            <w:pPr>
              <w:pStyle w:val="ListParagraph"/>
              <w:numPr>
                <w:ilvl w:val="0"/>
                <w:numId w:val="4"/>
              </w:numPr>
            </w:pPr>
            <w:r w:rsidRPr="00C739A6">
              <w:t>Subs. child &lt;13: $57 to $59.98 p/w</w:t>
            </w:r>
          </w:p>
          <w:p w14:paraId="7B7C0E4C" w14:textId="77777777" w:rsidR="0061475A" w:rsidRPr="00C739A6" w:rsidRDefault="0061475A" w:rsidP="0061475A">
            <w:pPr>
              <w:pStyle w:val="ListParagraph"/>
              <w:numPr>
                <w:ilvl w:val="0"/>
                <w:numId w:val="4"/>
              </w:numPr>
            </w:pPr>
            <w:r w:rsidRPr="00C739A6">
              <w:t>Subs. child 13-15: $65 to $68.40 p/w</w:t>
            </w:r>
          </w:p>
          <w:p w14:paraId="613D795C" w14:textId="77777777" w:rsidR="0061475A" w:rsidRPr="00C739A6" w:rsidRDefault="0061475A" w:rsidP="0061475A">
            <w:pPr>
              <w:pStyle w:val="ListParagraph"/>
              <w:numPr>
                <w:ilvl w:val="0"/>
                <w:numId w:val="4"/>
              </w:numPr>
            </w:pPr>
            <w:r w:rsidRPr="00C739A6">
              <w:t>Subs. child 16+: $85 to $89.44 p/w</w:t>
            </w:r>
          </w:p>
          <w:p w14:paraId="0E65B317" w14:textId="77777777" w:rsidR="0061475A" w:rsidRPr="00C739A6" w:rsidRDefault="0061475A" w:rsidP="002C3B03"/>
          <w:p w14:paraId="6E9425B6" w14:textId="77777777" w:rsidR="0061475A" w:rsidRPr="00C739A6" w:rsidRDefault="0061475A" w:rsidP="002C3B03">
            <w:pPr>
              <w:rPr>
                <w:u w:val="single"/>
              </w:rPr>
            </w:pPr>
            <w:r w:rsidRPr="00C739A6">
              <w:rPr>
                <w:u w:val="single"/>
              </w:rPr>
              <w:t>Abatement</w:t>
            </w:r>
          </w:p>
          <w:p w14:paraId="4477A556" w14:textId="77777777" w:rsidR="0061475A" w:rsidRPr="00C739A6" w:rsidRDefault="0061475A" w:rsidP="002C3B03">
            <w:r w:rsidRPr="00C739A6">
              <w:t>Abatement threshold increases to $36,827 per annum from $35,000.</w:t>
            </w:r>
          </w:p>
        </w:tc>
      </w:tr>
      <w:tr w:rsidR="0061475A" w:rsidRPr="00C739A6" w14:paraId="1BE281A8" w14:textId="77777777" w:rsidTr="0081019B">
        <w:tc>
          <w:tcPr>
            <w:tcW w:w="1885" w:type="dxa"/>
          </w:tcPr>
          <w:p w14:paraId="7858A05D" w14:textId="77777777" w:rsidR="0061475A" w:rsidRPr="00C739A6" w:rsidRDefault="0061475A" w:rsidP="002C3B03">
            <w:r w:rsidRPr="00C739A6">
              <w:t>1 October 2010</w:t>
            </w:r>
          </w:p>
        </w:tc>
        <w:tc>
          <w:tcPr>
            <w:tcW w:w="7131" w:type="dxa"/>
          </w:tcPr>
          <w:p w14:paraId="7B0D196D" w14:textId="77777777" w:rsidR="0061475A" w:rsidRPr="00C739A6" w:rsidRDefault="0061475A" w:rsidP="002C3B03">
            <w:pPr>
              <w:rPr>
                <w:u w:val="single"/>
              </w:rPr>
            </w:pPr>
            <w:r w:rsidRPr="00C739A6">
              <w:rPr>
                <w:u w:val="single"/>
              </w:rPr>
              <w:t>Family Tax Credit</w:t>
            </w:r>
          </w:p>
          <w:p w14:paraId="40955E5D" w14:textId="77777777" w:rsidR="0061475A" w:rsidRPr="00C739A6" w:rsidRDefault="0061475A" w:rsidP="002C3B03">
            <w:r w:rsidRPr="00C739A6">
              <w:t>Rates increase 2.02% due to GST rate increase. Changes are as follows:</w:t>
            </w:r>
          </w:p>
          <w:p w14:paraId="3D51E1B0" w14:textId="77777777" w:rsidR="0061475A" w:rsidRPr="00C739A6" w:rsidRDefault="0061475A" w:rsidP="0061475A">
            <w:pPr>
              <w:pStyle w:val="ListParagraph"/>
              <w:numPr>
                <w:ilvl w:val="0"/>
                <w:numId w:val="4"/>
              </w:numPr>
              <w:spacing w:after="160" w:line="259" w:lineRule="auto"/>
            </w:pPr>
            <w:r w:rsidRPr="00C739A6">
              <w:t>First child &lt;16: $86.29 to $88.04 p/w</w:t>
            </w:r>
          </w:p>
          <w:p w14:paraId="094BF6DB" w14:textId="77777777" w:rsidR="0061475A" w:rsidRPr="00C739A6" w:rsidRDefault="0061475A" w:rsidP="0061475A">
            <w:pPr>
              <w:pStyle w:val="ListParagraph"/>
              <w:numPr>
                <w:ilvl w:val="0"/>
                <w:numId w:val="4"/>
              </w:numPr>
              <w:spacing w:after="160" w:line="259" w:lineRule="auto"/>
            </w:pPr>
            <w:r w:rsidRPr="00C739A6">
              <w:t>First child 16+: $99.96 to $101.98 p/w</w:t>
            </w:r>
          </w:p>
          <w:p w14:paraId="4249E1D6" w14:textId="77777777" w:rsidR="0061475A" w:rsidRPr="00C739A6" w:rsidRDefault="0061475A" w:rsidP="0061475A">
            <w:pPr>
              <w:pStyle w:val="ListParagraph"/>
              <w:numPr>
                <w:ilvl w:val="0"/>
                <w:numId w:val="4"/>
              </w:numPr>
              <w:spacing w:after="160" w:line="259" w:lineRule="auto"/>
            </w:pPr>
            <w:r w:rsidRPr="00C739A6">
              <w:t>Subs. child &lt;13: $59.98 to $61.19 p/w</w:t>
            </w:r>
          </w:p>
          <w:p w14:paraId="2769A403" w14:textId="77777777" w:rsidR="0061475A" w:rsidRPr="00C739A6" w:rsidRDefault="0061475A" w:rsidP="0061475A">
            <w:pPr>
              <w:pStyle w:val="ListParagraph"/>
              <w:numPr>
                <w:ilvl w:val="0"/>
                <w:numId w:val="4"/>
              </w:numPr>
              <w:spacing w:after="160" w:line="259" w:lineRule="auto"/>
            </w:pPr>
            <w:r w:rsidRPr="00C739A6">
              <w:t>Subs. child 13-15: $68.40 to $69.79 p/w</w:t>
            </w:r>
          </w:p>
          <w:p w14:paraId="1AC5D5B1" w14:textId="77777777" w:rsidR="0061475A" w:rsidRPr="00C739A6" w:rsidRDefault="0061475A" w:rsidP="0061475A">
            <w:pPr>
              <w:pStyle w:val="ListParagraph"/>
              <w:numPr>
                <w:ilvl w:val="0"/>
                <w:numId w:val="4"/>
              </w:numPr>
            </w:pPr>
            <w:r w:rsidRPr="00C739A6">
              <w:t>Subs. child 16+: $89.44 to $91.25 p/w</w:t>
            </w:r>
          </w:p>
          <w:p w14:paraId="32A3AF88" w14:textId="77777777" w:rsidR="0061475A" w:rsidRPr="00C739A6" w:rsidRDefault="0061475A" w:rsidP="002C3B03">
            <w:pPr>
              <w:pStyle w:val="ListParagraph"/>
            </w:pPr>
          </w:p>
          <w:p w14:paraId="4C91D224" w14:textId="77777777" w:rsidR="0061475A" w:rsidRPr="00C739A6" w:rsidRDefault="0061475A" w:rsidP="002C3B03">
            <w:pPr>
              <w:rPr>
                <w:u w:val="single"/>
              </w:rPr>
            </w:pPr>
            <w:r w:rsidRPr="00C739A6">
              <w:rPr>
                <w:u w:val="single"/>
              </w:rPr>
              <w:t>Abatement</w:t>
            </w:r>
          </w:p>
          <w:p w14:paraId="113791D6" w14:textId="5A4F3395" w:rsidR="0061475A" w:rsidRPr="00C739A6" w:rsidRDefault="00B172ED" w:rsidP="00B172ED">
            <w:r w:rsidRPr="00C739A6">
              <w:t xml:space="preserve">National-led government removes automatic indexation </w:t>
            </w:r>
            <w:r w:rsidR="0061475A" w:rsidRPr="00C739A6">
              <w:t>of abatement threshold</w:t>
            </w:r>
            <w:r w:rsidR="00F359BB">
              <w:t xml:space="preserve"> to CPI</w:t>
            </w:r>
            <w:r w:rsidR="0061475A" w:rsidRPr="00C739A6">
              <w:t>.</w:t>
            </w:r>
          </w:p>
        </w:tc>
      </w:tr>
      <w:tr w:rsidR="0061475A" w:rsidRPr="00C739A6" w14:paraId="26EC1A1F" w14:textId="77777777" w:rsidTr="0081019B">
        <w:tc>
          <w:tcPr>
            <w:tcW w:w="1885" w:type="dxa"/>
          </w:tcPr>
          <w:p w14:paraId="5B94C560" w14:textId="77777777" w:rsidR="0061475A" w:rsidRPr="00C739A6" w:rsidRDefault="0061475A" w:rsidP="002C3B03">
            <w:r w:rsidRPr="00C739A6">
              <w:t>1 April 2012</w:t>
            </w:r>
          </w:p>
        </w:tc>
        <w:tc>
          <w:tcPr>
            <w:tcW w:w="7131" w:type="dxa"/>
          </w:tcPr>
          <w:p w14:paraId="7564C851" w14:textId="77777777" w:rsidR="0061475A" w:rsidRPr="00C739A6" w:rsidRDefault="0061475A" w:rsidP="002C3B03">
            <w:pPr>
              <w:rPr>
                <w:u w:val="single"/>
              </w:rPr>
            </w:pPr>
            <w:r w:rsidRPr="00C739A6">
              <w:rPr>
                <w:u w:val="single"/>
              </w:rPr>
              <w:t xml:space="preserve">Family Tax Credit </w:t>
            </w:r>
          </w:p>
          <w:p w14:paraId="3665C077" w14:textId="77777777" w:rsidR="0061475A" w:rsidRPr="00C739A6" w:rsidRDefault="0061475A" w:rsidP="002C3B03">
            <w:r w:rsidRPr="00C739A6">
              <w:t xml:space="preserve">Rates for over </w:t>
            </w:r>
            <w:proofErr w:type="gramStart"/>
            <w:r w:rsidRPr="00C739A6">
              <w:t>16 year-olds</w:t>
            </w:r>
            <w:proofErr w:type="gramEnd"/>
            <w:r w:rsidRPr="00C739A6">
              <w:t xml:space="preserve"> are frozen and removed from future indexation to allow them to consequently align with other age bands.</w:t>
            </w:r>
          </w:p>
          <w:p w14:paraId="78956494" w14:textId="77777777" w:rsidR="0061475A" w:rsidRPr="00C739A6" w:rsidRDefault="0061475A" w:rsidP="002C3B03">
            <w:r w:rsidRPr="00C739A6">
              <w:t>Rates increase for under 16s as CPI exceeds 5%. Changes are as follows:</w:t>
            </w:r>
          </w:p>
          <w:p w14:paraId="16406952" w14:textId="77777777" w:rsidR="0061475A" w:rsidRPr="00C739A6" w:rsidRDefault="0061475A" w:rsidP="0061475A">
            <w:pPr>
              <w:pStyle w:val="ListParagraph"/>
              <w:numPr>
                <w:ilvl w:val="0"/>
                <w:numId w:val="4"/>
              </w:numPr>
              <w:spacing w:after="160" w:line="259" w:lineRule="auto"/>
            </w:pPr>
            <w:r w:rsidRPr="00C739A6">
              <w:t>First child &lt;16: $88.04 to $92.73 p/w</w:t>
            </w:r>
          </w:p>
          <w:p w14:paraId="40152377" w14:textId="77777777" w:rsidR="0061475A" w:rsidRPr="00C739A6" w:rsidRDefault="0061475A" w:rsidP="0061475A">
            <w:pPr>
              <w:pStyle w:val="ListParagraph"/>
              <w:numPr>
                <w:ilvl w:val="0"/>
                <w:numId w:val="4"/>
              </w:numPr>
              <w:spacing w:after="160" w:line="259" w:lineRule="auto"/>
            </w:pPr>
            <w:r w:rsidRPr="00C739A6">
              <w:t>Subs. child &lt;13: $61.19 to $64.44 p/w</w:t>
            </w:r>
          </w:p>
          <w:p w14:paraId="05FE5A4F" w14:textId="77777777" w:rsidR="0061475A" w:rsidRPr="00C739A6" w:rsidRDefault="0061475A" w:rsidP="0061475A">
            <w:pPr>
              <w:pStyle w:val="ListParagraph"/>
              <w:numPr>
                <w:ilvl w:val="0"/>
                <w:numId w:val="4"/>
              </w:numPr>
              <w:spacing w:after="160" w:line="259" w:lineRule="auto"/>
            </w:pPr>
            <w:r w:rsidRPr="00C739A6">
              <w:t>Subs. child 13-15: $69.79 to $73.50 p/w</w:t>
            </w:r>
          </w:p>
          <w:p w14:paraId="09DB4685" w14:textId="77777777" w:rsidR="0061475A" w:rsidRPr="00C739A6" w:rsidRDefault="0061475A" w:rsidP="002C3B03">
            <w:pPr>
              <w:rPr>
                <w:u w:val="single"/>
              </w:rPr>
            </w:pPr>
            <w:r w:rsidRPr="00C739A6">
              <w:rPr>
                <w:u w:val="single"/>
              </w:rPr>
              <w:t>Abatement</w:t>
            </w:r>
          </w:p>
          <w:p w14:paraId="3C2D0A2C" w14:textId="77777777" w:rsidR="0061475A" w:rsidRPr="00C739A6" w:rsidRDefault="0061475A" w:rsidP="002C3B03">
            <w:r w:rsidRPr="00C739A6">
              <w:t>Increase in abatement rate to 21.25% (from 20%) and decrease in abatement threshold to $36,350 p/a (from $36,827).</w:t>
            </w:r>
          </w:p>
        </w:tc>
      </w:tr>
      <w:tr w:rsidR="0061475A" w:rsidRPr="00C739A6" w14:paraId="3B10A841" w14:textId="77777777" w:rsidTr="0081019B">
        <w:tc>
          <w:tcPr>
            <w:tcW w:w="1885" w:type="dxa"/>
          </w:tcPr>
          <w:p w14:paraId="4AB2CC76" w14:textId="77777777" w:rsidR="0061475A" w:rsidRPr="00C739A6" w:rsidRDefault="0061475A" w:rsidP="002C3B03">
            <w:r w:rsidRPr="00C739A6">
              <w:t>1 April 2016</w:t>
            </w:r>
          </w:p>
        </w:tc>
        <w:tc>
          <w:tcPr>
            <w:tcW w:w="7131" w:type="dxa"/>
          </w:tcPr>
          <w:p w14:paraId="485AA35B" w14:textId="77777777" w:rsidR="0061475A" w:rsidRPr="00C739A6" w:rsidRDefault="0061475A" w:rsidP="002C3B03">
            <w:pPr>
              <w:rPr>
                <w:u w:val="single"/>
              </w:rPr>
            </w:pPr>
            <w:r w:rsidRPr="00C739A6">
              <w:rPr>
                <w:u w:val="single"/>
              </w:rPr>
              <w:t>In-Work Tax Credit</w:t>
            </w:r>
          </w:p>
          <w:p w14:paraId="3BB10DF5" w14:textId="1DEFEB39" w:rsidR="0061475A" w:rsidRPr="00C739A6" w:rsidRDefault="0061475A" w:rsidP="002C3B03">
            <w:r w:rsidRPr="00C739A6">
              <w:t>Primary rate (1-3 children) increases $12.50 per week (from $60 to $72.50)</w:t>
            </w:r>
          </w:p>
          <w:p w14:paraId="181FABF2" w14:textId="77777777" w:rsidR="00A47280" w:rsidRPr="00C739A6" w:rsidRDefault="00A47280" w:rsidP="002C3B03"/>
          <w:p w14:paraId="1271377D" w14:textId="2A6B1AE2" w:rsidR="0061475A" w:rsidRPr="00C739A6" w:rsidRDefault="0061475A" w:rsidP="002C3B03">
            <w:pPr>
              <w:rPr>
                <w:u w:val="single"/>
              </w:rPr>
            </w:pPr>
            <w:r w:rsidRPr="00C739A6">
              <w:rPr>
                <w:u w:val="single"/>
              </w:rPr>
              <w:t>Abatement</w:t>
            </w:r>
            <w:r w:rsidR="005D5AAC" w:rsidRPr="00C739A6">
              <w:rPr>
                <w:u w:val="single"/>
              </w:rPr>
              <w:t xml:space="preserve"> </w:t>
            </w:r>
          </w:p>
          <w:p w14:paraId="1C6A74D4" w14:textId="0AB35C7D" w:rsidR="0061475A" w:rsidRPr="00C739A6" w:rsidRDefault="0061475A" w:rsidP="00A47280">
            <w:pPr>
              <w:rPr>
                <w:b/>
              </w:rPr>
            </w:pPr>
            <w:r w:rsidRPr="00C739A6">
              <w:t>Abatement rate increases from 21.25% to 22.5%.</w:t>
            </w:r>
            <w:r w:rsidR="005D5AAC" w:rsidRPr="00C739A6">
              <w:t xml:space="preserve"> </w:t>
            </w:r>
          </w:p>
        </w:tc>
      </w:tr>
      <w:tr w:rsidR="0061475A" w:rsidRPr="00C739A6" w14:paraId="079530F4" w14:textId="77777777" w:rsidTr="0081019B">
        <w:tc>
          <w:tcPr>
            <w:tcW w:w="1885" w:type="dxa"/>
          </w:tcPr>
          <w:p w14:paraId="0913AB25" w14:textId="77777777" w:rsidR="0061475A" w:rsidRPr="0081019B" w:rsidRDefault="0061475A" w:rsidP="002C3B03">
            <w:pPr>
              <w:rPr>
                <w:i/>
                <w:iCs/>
                <w:color w:val="3B3838" w:themeColor="background2" w:themeShade="40"/>
              </w:rPr>
            </w:pPr>
            <w:r w:rsidRPr="0081019B">
              <w:rPr>
                <w:i/>
                <w:iCs/>
                <w:color w:val="3B3838" w:themeColor="background2" w:themeShade="40"/>
              </w:rPr>
              <w:lastRenderedPageBreak/>
              <w:t>1 April 2018 (repealed)</w:t>
            </w:r>
          </w:p>
        </w:tc>
        <w:tc>
          <w:tcPr>
            <w:tcW w:w="7131" w:type="dxa"/>
          </w:tcPr>
          <w:p w14:paraId="529962A3" w14:textId="77777777" w:rsidR="0061475A" w:rsidRPr="0081019B" w:rsidRDefault="0061475A" w:rsidP="002C3B03">
            <w:pPr>
              <w:rPr>
                <w:i/>
                <w:iCs/>
                <w:color w:val="3B3838" w:themeColor="background2" w:themeShade="40"/>
                <w:u w:val="single"/>
              </w:rPr>
            </w:pPr>
            <w:r w:rsidRPr="0081019B">
              <w:rPr>
                <w:i/>
                <w:iCs/>
                <w:color w:val="3B3838" w:themeColor="background2" w:themeShade="40"/>
                <w:u w:val="single"/>
              </w:rPr>
              <w:t>Family Tax Credit</w:t>
            </w:r>
          </w:p>
          <w:p w14:paraId="6169E9E5" w14:textId="77777777" w:rsidR="0061475A" w:rsidRPr="0081019B" w:rsidRDefault="0061475A" w:rsidP="002C3B03">
            <w:pPr>
              <w:rPr>
                <w:i/>
                <w:iCs/>
                <w:color w:val="3B3838" w:themeColor="background2" w:themeShade="40"/>
              </w:rPr>
            </w:pPr>
            <w:r w:rsidRPr="0081019B">
              <w:rPr>
                <w:i/>
                <w:iCs/>
                <w:color w:val="3B3838" w:themeColor="background2" w:themeShade="40"/>
              </w:rPr>
              <w:t>Rates for under 16s increase. Changes are as follows:</w:t>
            </w:r>
          </w:p>
          <w:p w14:paraId="373ED880" w14:textId="77777777" w:rsidR="0061475A" w:rsidRPr="0081019B" w:rsidRDefault="0061475A" w:rsidP="0061475A">
            <w:pPr>
              <w:pStyle w:val="ListParagraph"/>
              <w:numPr>
                <w:ilvl w:val="0"/>
                <w:numId w:val="4"/>
              </w:numPr>
              <w:spacing w:after="160" w:line="259" w:lineRule="auto"/>
              <w:rPr>
                <w:i/>
                <w:iCs/>
                <w:color w:val="3B3838" w:themeColor="background2" w:themeShade="40"/>
              </w:rPr>
            </w:pPr>
            <w:r w:rsidRPr="0081019B">
              <w:rPr>
                <w:i/>
                <w:iCs/>
                <w:color w:val="3B3838" w:themeColor="background2" w:themeShade="40"/>
              </w:rPr>
              <w:t>First child &lt;16: $92.73 to $101.98 p/w</w:t>
            </w:r>
          </w:p>
          <w:p w14:paraId="010465F8" w14:textId="77777777" w:rsidR="0061475A" w:rsidRPr="0081019B" w:rsidRDefault="0061475A" w:rsidP="0061475A">
            <w:pPr>
              <w:pStyle w:val="ListParagraph"/>
              <w:numPr>
                <w:ilvl w:val="0"/>
                <w:numId w:val="4"/>
              </w:numPr>
              <w:spacing w:after="160" w:line="259" w:lineRule="auto"/>
              <w:rPr>
                <w:i/>
                <w:iCs/>
                <w:color w:val="3B3838" w:themeColor="background2" w:themeShade="40"/>
              </w:rPr>
            </w:pPr>
            <w:r w:rsidRPr="0081019B">
              <w:rPr>
                <w:i/>
                <w:iCs/>
                <w:color w:val="3B3838" w:themeColor="background2" w:themeShade="40"/>
              </w:rPr>
              <w:t>Subs. child &lt;13: $64.44 to $91.25 p/w</w:t>
            </w:r>
          </w:p>
          <w:p w14:paraId="20C888CD" w14:textId="77777777" w:rsidR="0061475A" w:rsidRPr="0081019B" w:rsidRDefault="0061475A" w:rsidP="0061475A">
            <w:pPr>
              <w:pStyle w:val="ListParagraph"/>
              <w:numPr>
                <w:ilvl w:val="0"/>
                <w:numId w:val="4"/>
              </w:numPr>
              <w:spacing w:after="160" w:line="259" w:lineRule="auto"/>
              <w:rPr>
                <w:i/>
                <w:iCs/>
                <w:color w:val="3B3838" w:themeColor="background2" w:themeShade="40"/>
              </w:rPr>
            </w:pPr>
            <w:r w:rsidRPr="0081019B">
              <w:rPr>
                <w:i/>
                <w:iCs/>
                <w:color w:val="3B3838" w:themeColor="background2" w:themeShade="40"/>
              </w:rPr>
              <w:t>Subs. child 13-15: $73.50 to $91.25 p/w</w:t>
            </w:r>
          </w:p>
          <w:p w14:paraId="4834F2AC" w14:textId="77777777" w:rsidR="0061475A" w:rsidRPr="0081019B" w:rsidRDefault="0061475A" w:rsidP="002C3B03">
            <w:pPr>
              <w:rPr>
                <w:i/>
                <w:iCs/>
                <w:color w:val="3B3838" w:themeColor="background2" w:themeShade="40"/>
                <w:u w:val="single"/>
              </w:rPr>
            </w:pPr>
            <w:r w:rsidRPr="0081019B">
              <w:rPr>
                <w:i/>
                <w:iCs/>
                <w:color w:val="3B3838" w:themeColor="background2" w:themeShade="40"/>
                <w:u w:val="single"/>
              </w:rPr>
              <w:t>Abatement</w:t>
            </w:r>
          </w:p>
          <w:p w14:paraId="324E796E" w14:textId="77777777" w:rsidR="0061475A" w:rsidRPr="0081019B" w:rsidRDefault="0061475A" w:rsidP="002C3B03">
            <w:pPr>
              <w:rPr>
                <w:i/>
                <w:iCs/>
                <w:color w:val="3B3838" w:themeColor="background2" w:themeShade="40"/>
              </w:rPr>
            </w:pPr>
            <w:r w:rsidRPr="0081019B">
              <w:rPr>
                <w:i/>
                <w:iCs/>
                <w:color w:val="3B3838" w:themeColor="background2" w:themeShade="40"/>
              </w:rPr>
              <w:t>Abatement rate increases from 22.5% to 25%. Abatement threshold decreases from $36,3500 to $35,000.</w:t>
            </w:r>
          </w:p>
        </w:tc>
      </w:tr>
      <w:tr w:rsidR="0061475A" w:rsidRPr="00C739A6" w14:paraId="5A84343A" w14:textId="77777777" w:rsidTr="0081019B">
        <w:tc>
          <w:tcPr>
            <w:tcW w:w="1885" w:type="dxa"/>
          </w:tcPr>
          <w:p w14:paraId="0183B8C4" w14:textId="77777777" w:rsidR="0061475A" w:rsidRPr="00C739A6" w:rsidRDefault="0061475A" w:rsidP="002C3B03">
            <w:r w:rsidRPr="00C739A6">
              <w:t>1 July 2018</w:t>
            </w:r>
          </w:p>
        </w:tc>
        <w:tc>
          <w:tcPr>
            <w:tcW w:w="7131" w:type="dxa"/>
          </w:tcPr>
          <w:p w14:paraId="3553EC8E" w14:textId="77777777" w:rsidR="0061475A" w:rsidRPr="00C739A6" w:rsidRDefault="0061475A" w:rsidP="002C3B03">
            <w:pPr>
              <w:rPr>
                <w:u w:val="single"/>
              </w:rPr>
            </w:pPr>
            <w:r w:rsidRPr="00C739A6">
              <w:rPr>
                <w:u w:val="single"/>
              </w:rPr>
              <w:t>Family Tax Credit</w:t>
            </w:r>
          </w:p>
          <w:p w14:paraId="6FA6C3A6" w14:textId="77777777" w:rsidR="0061475A" w:rsidRPr="00C739A6" w:rsidRDefault="0061475A" w:rsidP="002C3B03">
            <w:r w:rsidRPr="00C739A6">
              <w:t xml:space="preserve">Rates increase as follows: </w:t>
            </w:r>
          </w:p>
          <w:p w14:paraId="6BACA842" w14:textId="77777777" w:rsidR="0061475A" w:rsidRPr="00C739A6" w:rsidRDefault="0061475A" w:rsidP="0061475A">
            <w:pPr>
              <w:pStyle w:val="ListParagraph"/>
              <w:numPr>
                <w:ilvl w:val="0"/>
                <w:numId w:val="4"/>
              </w:numPr>
            </w:pPr>
            <w:r w:rsidRPr="00C739A6">
              <w:t>Eldest child: $113.04 p/w</w:t>
            </w:r>
          </w:p>
          <w:p w14:paraId="59BFD241" w14:textId="77777777" w:rsidR="0061475A" w:rsidRPr="00C739A6" w:rsidRDefault="0061475A" w:rsidP="0061475A">
            <w:pPr>
              <w:pStyle w:val="ListParagraph"/>
              <w:numPr>
                <w:ilvl w:val="0"/>
                <w:numId w:val="4"/>
              </w:numPr>
            </w:pPr>
            <w:r w:rsidRPr="00C739A6">
              <w:t>Subsequent children: $91.25 p/w</w:t>
            </w:r>
          </w:p>
          <w:p w14:paraId="2EF1DF35" w14:textId="77777777" w:rsidR="0061475A" w:rsidRPr="00C739A6" w:rsidRDefault="0061475A" w:rsidP="002C3B03">
            <w:pPr>
              <w:rPr>
                <w:u w:val="single"/>
              </w:rPr>
            </w:pPr>
          </w:p>
          <w:p w14:paraId="100CB4B2" w14:textId="77777777" w:rsidR="0061475A" w:rsidRPr="00C739A6" w:rsidRDefault="0061475A" w:rsidP="002C3B03">
            <w:pPr>
              <w:rPr>
                <w:u w:val="single"/>
              </w:rPr>
            </w:pPr>
            <w:r w:rsidRPr="00C739A6">
              <w:rPr>
                <w:u w:val="single"/>
              </w:rPr>
              <w:t>Best Start</w:t>
            </w:r>
          </w:p>
          <w:p w14:paraId="527CCC3B" w14:textId="7CEE5C1B" w:rsidR="0061475A" w:rsidRPr="00C739A6" w:rsidRDefault="0061475A" w:rsidP="002C3B03">
            <w:r w:rsidRPr="00C739A6">
              <w:t xml:space="preserve">Best Start tax credit introduced for children born on or after 1 July 2018 at $60 p/w for children under 1. Best Start in the child’s second and third years – threshold set at $79,000 and </w:t>
            </w:r>
            <w:r w:rsidR="00323923" w:rsidRPr="00C739A6">
              <w:t xml:space="preserve">abatement rate </w:t>
            </w:r>
            <w:r w:rsidRPr="00C739A6">
              <w:t>21%.</w:t>
            </w:r>
          </w:p>
          <w:p w14:paraId="18B3DCC9" w14:textId="77777777" w:rsidR="0061475A" w:rsidRPr="00C739A6" w:rsidRDefault="0061475A" w:rsidP="002C3B03"/>
          <w:p w14:paraId="4729CD55" w14:textId="77777777" w:rsidR="0061475A" w:rsidRPr="00C739A6" w:rsidRDefault="0061475A" w:rsidP="002C3B03">
            <w:pPr>
              <w:rPr>
                <w:u w:val="single"/>
              </w:rPr>
            </w:pPr>
            <w:r w:rsidRPr="00C739A6">
              <w:rPr>
                <w:u w:val="single"/>
              </w:rPr>
              <w:t>Abatement</w:t>
            </w:r>
          </w:p>
          <w:p w14:paraId="29B70634" w14:textId="77777777" w:rsidR="0061475A" w:rsidRPr="00C739A6" w:rsidRDefault="0061475A" w:rsidP="002C3B03">
            <w:r w:rsidRPr="00C739A6">
              <w:t>Abatement rate increases from 22.5% to 25%. Abatement threshold increases from $36,350 to $42,700.</w:t>
            </w:r>
          </w:p>
          <w:p w14:paraId="6D75C7F0" w14:textId="77777777" w:rsidR="0061475A" w:rsidRPr="00C739A6" w:rsidRDefault="0061475A" w:rsidP="002C3B03"/>
        </w:tc>
      </w:tr>
      <w:tr w:rsidR="000F3CB1" w:rsidRPr="00C739A6" w14:paraId="3D5E5E01" w14:textId="77777777" w:rsidTr="0081019B">
        <w:tc>
          <w:tcPr>
            <w:tcW w:w="1885" w:type="dxa"/>
          </w:tcPr>
          <w:p w14:paraId="1CD48098" w14:textId="77777777" w:rsidR="000F3CB1" w:rsidRPr="00C739A6" w:rsidRDefault="000F3CB1" w:rsidP="002C3B03">
            <w:r w:rsidRPr="00C739A6">
              <w:t>1 July 2020</w:t>
            </w:r>
          </w:p>
        </w:tc>
        <w:tc>
          <w:tcPr>
            <w:tcW w:w="7131" w:type="dxa"/>
          </w:tcPr>
          <w:p w14:paraId="1F5613CC" w14:textId="77777777" w:rsidR="000F3CB1" w:rsidRPr="00C739A6" w:rsidRDefault="000F3CB1" w:rsidP="002C3B03">
            <w:pPr>
              <w:rPr>
                <w:u w:val="single"/>
              </w:rPr>
            </w:pPr>
            <w:r w:rsidRPr="00C739A6">
              <w:rPr>
                <w:u w:val="single"/>
              </w:rPr>
              <w:t>In-Work Tax Credit</w:t>
            </w:r>
          </w:p>
          <w:p w14:paraId="44424503" w14:textId="21CA72AD" w:rsidR="000F3CB1" w:rsidRPr="00C739A6" w:rsidRDefault="000F3CB1" w:rsidP="002C3B03">
            <w:r w:rsidRPr="00C739A6">
              <w:t>Minimum work hours requirement removed (previously at least 30 hours combined for couples, and 20 hours for single parents). Families still must have some i</w:t>
            </w:r>
            <w:r w:rsidR="001F676C" w:rsidRPr="00C739A6">
              <w:t xml:space="preserve">ncome from paid work each </w:t>
            </w:r>
            <w:proofErr w:type="gramStart"/>
            <w:r w:rsidR="001F676C" w:rsidRPr="00C739A6">
              <w:t>week,</w:t>
            </w:r>
            <w:r w:rsidR="00323923" w:rsidRPr="00C739A6">
              <w:t xml:space="preserve"> </w:t>
            </w:r>
            <w:r w:rsidRPr="00C739A6">
              <w:t>and</w:t>
            </w:r>
            <w:proofErr w:type="gramEnd"/>
            <w:r w:rsidRPr="00C739A6">
              <w:t xml:space="preserve"> must not be on an income-tested benefit. </w:t>
            </w:r>
          </w:p>
        </w:tc>
      </w:tr>
    </w:tbl>
    <w:p w14:paraId="68492500" w14:textId="77777777" w:rsidR="0061475A" w:rsidRPr="00C739A6" w:rsidRDefault="0061475A" w:rsidP="0061475A"/>
    <w:p w14:paraId="591D6CA1" w14:textId="77777777" w:rsidR="0061475A" w:rsidRPr="00C739A6" w:rsidRDefault="0061475A" w:rsidP="0061475A"/>
    <w:p w14:paraId="58DD5173" w14:textId="77777777" w:rsidR="0061475A" w:rsidRPr="00C739A6" w:rsidRDefault="0061475A" w:rsidP="0061475A">
      <w:pPr>
        <w:tabs>
          <w:tab w:val="left" w:pos="6495"/>
        </w:tabs>
      </w:pPr>
      <w:r w:rsidRPr="00C739A6">
        <w:tab/>
      </w:r>
    </w:p>
    <w:p w14:paraId="3D8A975F" w14:textId="77777777" w:rsidR="0061475A" w:rsidRPr="00C739A6" w:rsidRDefault="0061475A" w:rsidP="00950DFC"/>
    <w:p w14:paraId="08DDF540" w14:textId="77777777" w:rsidR="001B2B88" w:rsidRPr="00C739A6" w:rsidRDefault="001B2B88" w:rsidP="00950DFC"/>
    <w:p w14:paraId="461654A4" w14:textId="77777777" w:rsidR="001B2B88" w:rsidRPr="00C739A6" w:rsidRDefault="001B2B88" w:rsidP="00950DFC"/>
    <w:p w14:paraId="61BA00DA" w14:textId="77777777" w:rsidR="001B2B88" w:rsidRPr="00C739A6" w:rsidRDefault="001B2B88" w:rsidP="00950DFC"/>
    <w:p w14:paraId="20DFE155" w14:textId="77777777" w:rsidR="001B2B88" w:rsidRPr="00C739A6" w:rsidRDefault="001B2B88" w:rsidP="001B2B88"/>
    <w:sectPr w:rsidR="001B2B88" w:rsidRPr="00C739A6" w:rsidSect="00637D6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62E8" w14:textId="77777777" w:rsidR="007B7456" w:rsidRDefault="007B7456" w:rsidP="00C725F3">
      <w:pPr>
        <w:spacing w:after="0" w:line="240" w:lineRule="auto"/>
      </w:pPr>
      <w:r>
        <w:separator/>
      </w:r>
    </w:p>
  </w:endnote>
  <w:endnote w:type="continuationSeparator" w:id="0">
    <w:p w14:paraId="21D495CE" w14:textId="77777777" w:rsidR="007B7456" w:rsidRDefault="007B7456" w:rsidP="00C7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472836"/>
      <w:docPartObj>
        <w:docPartGallery w:val="Page Numbers (Bottom of Page)"/>
        <w:docPartUnique/>
      </w:docPartObj>
    </w:sdtPr>
    <w:sdtEndPr>
      <w:rPr>
        <w:noProof/>
      </w:rPr>
    </w:sdtEndPr>
    <w:sdtContent>
      <w:p w14:paraId="06BCDCC4" w14:textId="13D61623" w:rsidR="000718E0" w:rsidRDefault="000718E0">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40C04315" w14:textId="77777777" w:rsidR="000718E0" w:rsidRDefault="00071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C914" w14:textId="77777777" w:rsidR="007B7456" w:rsidRDefault="007B7456" w:rsidP="00C725F3">
      <w:pPr>
        <w:spacing w:after="0" w:line="240" w:lineRule="auto"/>
      </w:pPr>
      <w:r>
        <w:separator/>
      </w:r>
    </w:p>
  </w:footnote>
  <w:footnote w:type="continuationSeparator" w:id="0">
    <w:p w14:paraId="5C165F45" w14:textId="77777777" w:rsidR="007B7456" w:rsidRDefault="007B7456" w:rsidP="00C725F3">
      <w:pPr>
        <w:spacing w:after="0" w:line="240" w:lineRule="auto"/>
      </w:pPr>
      <w:r>
        <w:continuationSeparator/>
      </w:r>
    </w:p>
  </w:footnote>
  <w:footnote w:id="1">
    <w:p w14:paraId="4AD02F13" w14:textId="0A9237A6" w:rsidR="000718E0" w:rsidRPr="00A25D6A" w:rsidRDefault="000718E0">
      <w:pPr>
        <w:pStyle w:val="FootnoteText"/>
        <w:rPr>
          <w:lang w:val="en-US"/>
        </w:rPr>
      </w:pPr>
      <w:r>
        <w:rPr>
          <w:rStyle w:val="FootnoteReference"/>
        </w:rPr>
        <w:footnoteRef/>
      </w:r>
      <w:r>
        <w:t xml:space="preserve"> </w:t>
      </w:r>
      <w:r>
        <w:rPr>
          <w:lang w:val="en-US"/>
        </w:rPr>
        <w:t xml:space="preserve">Wage index figures are taken from the Reserve Bank Inflation Calculator. </w:t>
      </w:r>
      <w:hyperlink r:id="rId1" w:history="1">
        <w:r w:rsidRPr="003E72D1">
          <w:rPr>
            <w:rStyle w:val="Hyperlink"/>
            <w:lang w:val="en-US"/>
          </w:rPr>
          <w:t>https://www.rbnz.govt.nz/monetary-policy/inflation-calculator</w:t>
        </w:r>
      </w:hyperlink>
      <w:r>
        <w:rPr>
          <w:lang w:val="en-US"/>
        </w:rPr>
        <w:t xml:space="preserve"> </w:t>
      </w:r>
    </w:p>
  </w:footnote>
  <w:footnote w:id="2">
    <w:p w14:paraId="5ED118D6" w14:textId="14C9D4B3" w:rsidR="000718E0" w:rsidRPr="00BF4AD7" w:rsidRDefault="000718E0">
      <w:pPr>
        <w:pStyle w:val="FootnoteText"/>
        <w:rPr>
          <w:lang w:val="en-US"/>
        </w:rPr>
      </w:pPr>
      <w:r>
        <w:rPr>
          <w:rStyle w:val="FootnoteReference"/>
        </w:rPr>
        <w:footnoteRef/>
      </w:r>
      <w:r>
        <w:t xml:space="preserve"> </w:t>
      </w:r>
      <w:r>
        <w:rPr>
          <w:lang w:val="en-US"/>
        </w:rPr>
        <w:t xml:space="preserve">These figures are for total WFF spending, inclusive of the FTC, the IWTC, the MFTC, the Parental Tax Credit (a smaller </w:t>
      </w:r>
      <w:proofErr w:type="spellStart"/>
      <w:r>
        <w:rPr>
          <w:lang w:val="en-US"/>
        </w:rPr>
        <w:t>programme</w:t>
      </w:r>
      <w:proofErr w:type="spellEnd"/>
      <w:r>
        <w:rPr>
          <w:lang w:val="en-US"/>
        </w:rPr>
        <w:t>, predating the Best Start Tax Credit), and the Best Start Tax Credit.</w:t>
      </w:r>
    </w:p>
  </w:footnote>
  <w:footnote w:id="3">
    <w:p w14:paraId="6963D7D0" w14:textId="3320CF74" w:rsidR="000718E0" w:rsidRDefault="000718E0" w:rsidP="00F5171D">
      <w:pPr>
        <w:pStyle w:val="FootnoteText"/>
      </w:pPr>
      <w:r>
        <w:rPr>
          <w:rStyle w:val="FootnoteReference"/>
        </w:rPr>
        <w:footnoteRef/>
      </w:r>
      <w:r>
        <w:t xml:space="preserve"> The forecast was published in May 2020, but it is unclear whether it takes COVID19 into account. Given the forecast decreases, perhaps not; but the point remains, that the effect of the Families Package is eroding due to lack of wage indexation. </w:t>
      </w:r>
    </w:p>
  </w:footnote>
  <w:footnote w:id="4">
    <w:p w14:paraId="203BBFD2" w14:textId="094A9991" w:rsidR="000718E0" w:rsidRDefault="000718E0">
      <w:pPr>
        <w:pStyle w:val="FootnoteText"/>
      </w:pPr>
      <w:r>
        <w:rPr>
          <w:rStyle w:val="FootnoteReference"/>
        </w:rPr>
        <w:footnoteRef/>
      </w:r>
      <w:r>
        <w:t xml:space="preserve"> This threshold is still very low when compared to the Australian system, where the base threshold at the time of writing is $55,626 (Australian Government, 2021; see </w:t>
      </w:r>
      <w:proofErr w:type="spellStart"/>
      <w:r>
        <w:t>Neuwelt</w:t>
      </w:r>
      <w:proofErr w:type="spellEnd"/>
      <w:r>
        <w:t xml:space="preserve">-Kearns and St John, 2020 for a full comparison of the Australian and New Zealand systems). </w:t>
      </w:r>
    </w:p>
  </w:footnote>
  <w:footnote w:id="5">
    <w:p w14:paraId="178D6FED" w14:textId="7E5D640B" w:rsidR="000718E0" w:rsidRPr="002713AA" w:rsidRDefault="000718E0">
      <w:pPr>
        <w:pStyle w:val="FootnoteText"/>
        <w:rPr>
          <w:lang w:val="en-US"/>
        </w:rPr>
      </w:pPr>
      <w:r>
        <w:rPr>
          <w:rStyle w:val="FootnoteReference"/>
        </w:rPr>
        <w:footnoteRef/>
      </w:r>
      <w:r>
        <w:t xml:space="preserve"> </w:t>
      </w:r>
      <w:r w:rsidRPr="00555574">
        <w:t xml:space="preserve">If </w:t>
      </w:r>
      <w:r>
        <w:t xml:space="preserve">a </w:t>
      </w:r>
      <w:r w:rsidRPr="00555574">
        <w:t xml:space="preserve">child is still at school or in tertiary study when they turn 18 </w:t>
      </w:r>
      <w:r>
        <w:t xml:space="preserve">their family </w:t>
      </w:r>
      <w:r w:rsidRPr="00555574">
        <w:t xml:space="preserve">can </w:t>
      </w:r>
      <w:r>
        <w:t xml:space="preserve">receive </w:t>
      </w:r>
      <w:r w:rsidRPr="00555574">
        <w:t>payments until 31 December of that year</w:t>
      </w:r>
      <w:r>
        <w:t>.</w:t>
      </w:r>
    </w:p>
  </w:footnote>
  <w:footnote w:id="6">
    <w:p w14:paraId="500122E1" w14:textId="2BFB799B" w:rsidR="000718E0" w:rsidRPr="002E2221" w:rsidRDefault="000718E0">
      <w:pPr>
        <w:pStyle w:val="FootnoteText"/>
        <w:rPr>
          <w:lang w:val="en-US"/>
        </w:rPr>
      </w:pPr>
      <w:r>
        <w:rPr>
          <w:rStyle w:val="FootnoteReference"/>
        </w:rPr>
        <w:footnoteRef/>
      </w:r>
      <w:r>
        <w:t xml:space="preserve"> </w:t>
      </w:r>
      <w:r>
        <w:rPr>
          <w:lang w:val="en-US"/>
        </w:rPr>
        <w:t>Modelling has been done on a separate spreadsheet that will be updated as a living document, available upon request. The wage index used is taken from the Reserve Bank Calculator. Calculated rates are maximum rates, and thus assume that these representative families fall below the abatement thresholds listed in Appendix A, Table 5. These</w:t>
      </w:r>
      <w:r w:rsidRPr="0003574B">
        <w:rPr>
          <w:lang w:val="en-US"/>
        </w:rPr>
        <w:t xml:space="preserve"> </w:t>
      </w:r>
      <w:r>
        <w:rPr>
          <w:lang w:val="en-US"/>
        </w:rPr>
        <w:t>rates</w:t>
      </w:r>
      <w:r w:rsidRPr="0003574B">
        <w:rPr>
          <w:lang w:val="en-US"/>
        </w:rPr>
        <w:t xml:space="preserve"> are inclusive of the two biggest WFF tax credits, the Family Tax </w:t>
      </w:r>
      <w:proofErr w:type="gramStart"/>
      <w:r w:rsidRPr="0003574B">
        <w:rPr>
          <w:lang w:val="en-US"/>
        </w:rPr>
        <w:t>Credit</w:t>
      </w:r>
      <w:proofErr w:type="gramEnd"/>
      <w:r w:rsidRPr="0003574B">
        <w:rPr>
          <w:lang w:val="en-US"/>
        </w:rPr>
        <w:t xml:space="preserve"> and the In-Work Tax Credit. The Best Start payment is not considered, as it</w:t>
      </w:r>
      <w:r>
        <w:rPr>
          <w:lang w:val="en-US"/>
        </w:rPr>
        <w:t xml:space="preserve"> only available for children under 3, and </w:t>
      </w:r>
      <w:r w:rsidRPr="0003574B">
        <w:rPr>
          <w:lang w:val="en-US"/>
        </w:rPr>
        <w:t>requires a separate analysis to a</w:t>
      </w:r>
      <w:r>
        <w:rPr>
          <w:lang w:val="en-US"/>
        </w:rPr>
        <w:t>ccount</w:t>
      </w:r>
      <w:r w:rsidRPr="0003574B">
        <w:rPr>
          <w:lang w:val="en-US"/>
        </w:rPr>
        <w:t xml:space="preserve"> for the l</w:t>
      </w:r>
      <w:r>
        <w:rPr>
          <w:lang w:val="en-US"/>
        </w:rPr>
        <w:t>oss of the Parental Tax Credit, i</w:t>
      </w:r>
      <w:r w:rsidRPr="0003574B">
        <w:rPr>
          <w:lang w:val="en-US"/>
        </w:rPr>
        <w:t>ts predecessor.</w:t>
      </w:r>
    </w:p>
  </w:footnote>
  <w:footnote w:id="7">
    <w:p w14:paraId="7BA039B6" w14:textId="44354683" w:rsidR="000718E0" w:rsidRPr="00D20962" w:rsidRDefault="000718E0" w:rsidP="00D20962">
      <w:pPr>
        <w:rPr>
          <w:lang w:val="mi-NZ"/>
        </w:rPr>
      </w:pPr>
      <w:r>
        <w:rPr>
          <w:rStyle w:val="FootnoteReference"/>
        </w:rPr>
        <w:footnoteRef/>
      </w:r>
      <w:r>
        <w:t xml:space="preserve"> </w:t>
      </w:r>
      <w:proofErr w:type="spellStart"/>
      <w:r w:rsidRPr="00D20962">
        <w:rPr>
          <w:sz w:val="18"/>
          <w:lang w:val="mi-NZ"/>
        </w:rPr>
        <w:t>Forecasted</w:t>
      </w:r>
      <w:proofErr w:type="spellEnd"/>
      <w:r w:rsidRPr="00D20962">
        <w:rPr>
          <w:sz w:val="18"/>
          <w:lang w:val="mi-NZ"/>
        </w:rPr>
        <w:t xml:space="preserve"> </w:t>
      </w:r>
      <w:r>
        <w:rPr>
          <w:sz w:val="18"/>
          <w:lang w:val="mi-NZ"/>
        </w:rPr>
        <w:t xml:space="preserve">WFF </w:t>
      </w:r>
      <w:proofErr w:type="spellStart"/>
      <w:r w:rsidRPr="00D20962">
        <w:rPr>
          <w:sz w:val="18"/>
          <w:lang w:val="mi-NZ"/>
        </w:rPr>
        <w:t>spend</w:t>
      </w:r>
      <w:proofErr w:type="spellEnd"/>
      <w:r w:rsidRPr="00D20962">
        <w:rPr>
          <w:sz w:val="18"/>
          <w:lang w:val="mi-NZ"/>
        </w:rPr>
        <w:t xml:space="preserve"> for </w:t>
      </w:r>
      <w:proofErr w:type="spellStart"/>
      <w:r w:rsidRPr="00D20962">
        <w:rPr>
          <w:sz w:val="18"/>
          <w:lang w:val="mi-NZ"/>
        </w:rPr>
        <w:t>year</w:t>
      </w:r>
      <w:proofErr w:type="spellEnd"/>
      <w:r w:rsidRPr="00D20962">
        <w:rPr>
          <w:sz w:val="18"/>
          <w:lang w:val="mi-NZ"/>
        </w:rPr>
        <w:t xml:space="preserve"> </w:t>
      </w:r>
      <w:proofErr w:type="spellStart"/>
      <w:r w:rsidRPr="00D20962">
        <w:rPr>
          <w:sz w:val="18"/>
          <w:lang w:val="mi-NZ"/>
        </w:rPr>
        <w:t>ending</w:t>
      </w:r>
      <w:proofErr w:type="spellEnd"/>
      <w:r w:rsidRPr="00D20962">
        <w:rPr>
          <w:sz w:val="18"/>
          <w:lang w:val="mi-NZ"/>
        </w:rPr>
        <w:t xml:space="preserve"> </w:t>
      </w:r>
      <w:proofErr w:type="spellStart"/>
      <w:r w:rsidRPr="00D20962">
        <w:rPr>
          <w:sz w:val="18"/>
          <w:lang w:val="mi-NZ"/>
        </w:rPr>
        <w:t>June</w:t>
      </w:r>
      <w:proofErr w:type="spellEnd"/>
      <w:r w:rsidRPr="00D20962">
        <w:rPr>
          <w:sz w:val="18"/>
          <w:lang w:val="mi-NZ"/>
        </w:rPr>
        <w:t xml:space="preserve"> 2022 </w:t>
      </w:r>
      <w:proofErr w:type="spellStart"/>
      <w:r w:rsidRPr="00D20962">
        <w:rPr>
          <w:sz w:val="18"/>
          <w:lang w:val="mi-NZ"/>
        </w:rPr>
        <w:t>is</w:t>
      </w:r>
      <w:proofErr w:type="spellEnd"/>
      <w:r w:rsidRPr="00D20962">
        <w:rPr>
          <w:sz w:val="18"/>
          <w:lang w:val="mi-NZ"/>
        </w:rPr>
        <w:t xml:space="preserve"> </w:t>
      </w:r>
      <w:proofErr w:type="spellStart"/>
      <w:r w:rsidRPr="00D20962">
        <w:rPr>
          <w:sz w:val="18"/>
          <w:lang w:val="mi-NZ"/>
        </w:rPr>
        <w:t>roughly</w:t>
      </w:r>
      <w:proofErr w:type="spellEnd"/>
      <w:r w:rsidRPr="00D20962">
        <w:rPr>
          <w:sz w:val="18"/>
          <w:lang w:val="mi-NZ"/>
        </w:rPr>
        <w:t xml:space="preserve"> $3 </w:t>
      </w:r>
      <w:proofErr w:type="spellStart"/>
      <w:r w:rsidRPr="00D20962">
        <w:rPr>
          <w:sz w:val="18"/>
          <w:lang w:val="mi-NZ"/>
        </w:rPr>
        <w:t>billion</w:t>
      </w:r>
      <w:proofErr w:type="spellEnd"/>
      <w:r w:rsidRPr="00D20962">
        <w:rPr>
          <w:sz w:val="18"/>
          <w:lang w:val="mi-NZ"/>
        </w:rPr>
        <w:t xml:space="preserve"> (</w:t>
      </w:r>
      <w:proofErr w:type="spellStart"/>
      <w:r w:rsidRPr="00D20962">
        <w:rPr>
          <w:sz w:val="18"/>
          <w:lang w:val="mi-NZ"/>
        </w:rPr>
        <w:t>New</w:t>
      </w:r>
      <w:proofErr w:type="spellEnd"/>
      <w:r w:rsidRPr="00D20962">
        <w:rPr>
          <w:sz w:val="18"/>
          <w:lang w:val="mi-NZ"/>
        </w:rPr>
        <w:t xml:space="preserve"> </w:t>
      </w:r>
      <w:proofErr w:type="spellStart"/>
      <w:r w:rsidRPr="00D20962">
        <w:rPr>
          <w:sz w:val="18"/>
          <w:lang w:val="mi-NZ"/>
        </w:rPr>
        <w:t>Zealand</w:t>
      </w:r>
      <w:proofErr w:type="spellEnd"/>
      <w:r w:rsidRPr="00D20962">
        <w:rPr>
          <w:sz w:val="18"/>
          <w:lang w:val="mi-NZ"/>
        </w:rPr>
        <w:t xml:space="preserve"> </w:t>
      </w:r>
      <w:proofErr w:type="spellStart"/>
      <w:r w:rsidRPr="00D20962">
        <w:rPr>
          <w:sz w:val="18"/>
          <w:lang w:val="mi-NZ"/>
        </w:rPr>
        <w:t>Treasury</w:t>
      </w:r>
      <w:proofErr w:type="spellEnd"/>
      <w:r w:rsidRPr="00D20962">
        <w:rPr>
          <w:sz w:val="18"/>
          <w:lang w:val="mi-NZ"/>
        </w:rPr>
        <w:t xml:space="preserve">, 2020), </w:t>
      </w:r>
      <w:proofErr w:type="spellStart"/>
      <w:r w:rsidRPr="00D20962">
        <w:rPr>
          <w:sz w:val="18"/>
          <w:lang w:val="mi-NZ"/>
        </w:rPr>
        <w:t>while</w:t>
      </w:r>
      <w:proofErr w:type="spellEnd"/>
      <w:r w:rsidRPr="00D20962">
        <w:rPr>
          <w:sz w:val="18"/>
          <w:lang w:val="mi-NZ"/>
        </w:rPr>
        <w:t xml:space="preserve"> </w:t>
      </w:r>
      <w:proofErr w:type="spellStart"/>
      <w:r w:rsidRPr="00D20962">
        <w:rPr>
          <w:sz w:val="18"/>
          <w:lang w:val="mi-NZ"/>
        </w:rPr>
        <w:t>Treasury’s</w:t>
      </w:r>
      <w:proofErr w:type="spellEnd"/>
      <w:r w:rsidRPr="00D20962">
        <w:rPr>
          <w:sz w:val="18"/>
          <w:lang w:val="mi-NZ"/>
        </w:rPr>
        <w:t xml:space="preserve"> </w:t>
      </w:r>
      <w:proofErr w:type="spellStart"/>
      <w:r w:rsidRPr="00D20962">
        <w:rPr>
          <w:sz w:val="18"/>
          <w:lang w:val="mi-NZ"/>
        </w:rPr>
        <w:t>forecasted</w:t>
      </w:r>
      <w:proofErr w:type="spellEnd"/>
      <w:r w:rsidRPr="00D20962">
        <w:rPr>
          <w:sz w:val="18"/>
          <w:lang w:val="mi-NZ"/>
        </w:rPr>
        <w:t xml:space="preserve"> </w:t>
      </w:r>
      <w:proofErr w:type="spellStart"/>
      <w:r w:rsidRPr="00D20962">
        <w:rPr>
          <w:sz w:val="18"/>
          <w:lang w:val="mi-NZ"/>
        </w:rPr>
        <w:t>wage</w:t>
      </w:r>
      <w:proofErr w:type="spellEnd"/>
      <w:r w:rsidRPr="00D20962">
        <w:rPr>
          <w:sz w:val="18"/>
          <w:lang w:val="mi-NZ"/>
        </w:rPr>
        <w:t xml:space="preserve"> </w:t>
      </w:r>
      <w:proofErr w:type="spellStart"/>
      <w:r w:rsidRPr="00D20962">
        <w:rPr>
          <w:sz w:val="18"/>
          <w:lang w:val="mi-NZ"/>
        </w:rPr>
        <w:t>growth</w:t>
      </w:r>
      <w:proofErr w:type="spellEnd"/>
      <w:r w:rsidRPr="00D20962">
        <w:rPr>
          <w:sz w:val="18"/>
          <w:lang w:val="mi-NZ"/>
        </w:rPr>
        <w:t xml:space="preserve"> </w:t>
      </w:r>
      <w:proofErr w:type="spellStart"/>
      <w:r w:rsidRPr="00D20962">
        <w:rPr>
          <w:sz w:val="18"/>
          <w:lang w:val="mi-NZ"/>
        </w:rPr>
        <w:t>in</w:t>
      </w:r>
      <w:proofErr w:type="spellEnd"/>
      <w:r w:rsidRPr="00D20962">
        <w:rPr>
          <w:sz w:val="18"/>
          <w:lang w:val="mi-NZ"/>
        </w:rPr>
        <w:t xml:space="preserve"> </w:t>
      </w:r>
      <w:proofErr w:type="spellStart"/>
      <w:r w:rsidRPr="00D20962">
        <w:rPr>
          <w:sz w:val="18"/>
          <w:lang w:val="mi-NZ"/>
        </w:rPr>
        <w:t>the</w:t>
      </w:r>
      <w:proofErr w:type="spellEnd"/>
      <w:r w:rsidRPr="00D20962">
        <w:rPr>
          <w:sz w:val="18"/>
          <w:lang w:val="mi-NZ"/>
        </w:rPr>
        <w:t xml:space="preserve"> </w:t>
      </w:r>
      <w:proofErr w:type="spellStart"/>
      <w:r w:rsidRPr="00D20962">
        <w:rPr>
          <w:sz w:val="18"/>
          <w:lang w:val="mi-NZ"/>
        </w:rPr>
        <w:t>year</w:t>
      </w:r>
      <w:proofErr w:type="spellEnd"/>
      <w:r w:rsidRPr="00D20962">
        <w:rPr>
          <w:sz w:val="18"/>
          <w:lang w:val="mi-NZ"/>
        </w:rPr>
        <w:t xml:space="preserve"> to </w:t>
      </w:r>
      <w:proofErr w:type="spellStart"/>
      <w:r w:rsidRPr="00D20962">
        <w:rPr>
          <w:sz w:val="18"/>
          <w:lang w:val="mi-NZ"/>
        </w:rPr>
        <w:t>June</w:t>
      </w:r>
      <w:proofErr w:type="spellEnd"/>
      <w:r w:rsidRPr="00D20962">
        <w:rPr>
          <w:sz w:val="18"/>
          <w:lang w:val="mi-NZ"/>
        </w:rPr>
        <w:t xml:space="preserve"> 2022 </w:t>
      </w:r>
      <w:proofErr w:type="spellStart"/>
      <w:r w:rsidRPr="00D20962">
        <w:rPr>
          <w:sz w:val="18"/>
          <w:lang w:val="mi-NZ"/>
        </w:rPr>
        <w:t>is</w:t>
      </w:r>
      <w:proofErr w:type="spellEnd"/>
      <w:r w:rsidRPr="00D20962">
        <w:rPr>
          <w:sz w:val="18"/>
          <w:lang w:val="mi-NZ"/>
        </w:rPr>
        <w:t xml:space="preserve"> 2.5 </w:t>
      </w:r>
      <w:proofErr w:type="spellStart"/>
      <w:r w:rsidRPr="00D20962">
        <w:rPr>
          <w:sz w:val="18"/>
          <w:lang w:val="mi-NZ"/>
        </w:rPr>
        <w:t>percent</w:t>
      </w:r>
      <w:proofErr w:type="spellEnd"/>
      <w:r w:rsidRPr="00D20962">
        <w:rPr>
          <w:sz w:val="18"/>
          <w:lang w:val="mi-NZ"/>
        </w:rPr>
        <w:t xml:space="preserve"> (MBIE, 2020). </w:t>
      </w:r>
      <w:proofErr w:type="spellStart"/>
      <w:r w:rsidRPr="00D20962">
        <w:rPr>
          <w:sz w:val="18"/>
          <w:lang w:val="mi-NZ"/>
        </w:rPr>
        <w:t>The</w:t>
      </w:r>
      <w:proofErr w:type="spellEnd"/>
      <w:r w:rsidRPr="00D20962">
        <w:rPr>
          <w:sz w:val="18"/>
          <w:lang w:val="mi-NZ"/>
        </w:rPr>
        <w:t xml:space="preserve"> </w:t>
      </w:r>
      <w:proofErr w:type="spellStart"/>
      <w:r w:rsidRPr="00D20962">
        <w:rPr>
          <w:sz w:val="18"/>
          <w:lang w:val="mi-NZ"/>
        </w:rPr>
        <w:t>Family</w:t>
      </w:r>
      <w:proofErr w:type="spellEnd"/>
      <w:r w:rsidRPr="00D20962">
        <w:rPr>
          <w:sz w:val="18"/>
          <w:lang w:val="mi-NZ"/>
        </w:rPr>
        <w:t xml:space="preserve"> </w:t>
      </w:r>
      <w:proofErr w:type="spellStart"/>
      <w:r w:rsidRPr="00D20962">
        <w:rPr>
          <w:sz w:val="18"/>
          <w:lang w:val="mi-NZ"/>
        </w:rPr>
        <w:t>Tax</w:t>
      </w:r>
      <w:proofErr w:type="spellEnd"/>
      <w:r w:rsidRPr="00D20962">
        <w:rPr>
          <w:sz w:val="18"/>
          <w:lang w:val="mi-NZ"/>
        </w:rPr>
        <w:t xml:space="preserve"> </w:t>
      </w:r>
      <w:proofErr w:type="spellStart"/>
      <w:r w:rsidRPr="00D20962">
        <w:rPr>
          <w:sz w:val="18"/>
          <w:lang w:val="mi-NZ"/>
        </w:rPr>
        <w:t>Credit</w:t>
      </w:r>
      <w:proofErr w:type="spellEnd"/>
      <w:r w:rsidRPr="00D20962">
        <w:rPr>
          <w:sz w:val="18"/>
          <w:lang w:val="mi-NZ"/>
        </w:rPr>
        <w:t xml:space="preserve"> </w:t>
      </w:r>
      <w:proofErr w:type="spellStart"/>
      <w:r w:rsidRPr="00D20962">
        <w:rPr>
          <w:sz w:val="18"/>
          <w:lang w:val="mi-NZ"/>
        </w:rPr>
        <w:t>is</w:t>
      </w:r>
      <w:proofErr w:type="spellEnd"/>
      <w:r w:rsidRPr="00D20962">
        <w:rPr>
          <w:sz w:val="18"/>
          <w:lang w:val="mi-NZ"/>
        </w:rPr>
        <w:t xml:space="preserve"> </w:t>
      </w:r>
      <w:proofErr w:type="spellStart"/>
      <w:r w:rsidRPr="00D20962">
        <w:rPr>
          <w:sz w:val="18"/>
          <w:lang w:val="mi-NZ"/>
        </w:rPr>
        <w:t>forecasted</w:t>
      </w:r>
      <w:proofErr w:type="spellEnd"/>
      <w:r w:rsidRPr="00D20962">
        <w:rPr>
          <w:sz w:val="18"/>
          <w:lang w:val="mi-NZ"/>
        </w:rPr>
        <w:t xml:space="preserve"> to </w:t>
      </w:r>
      <w:proofErr w:type="spellStart"/>
      <w:r w:rsidRPr="00D20962">
        <w:rPr>
          <w:sz w:val="18"/>
          <w:lang w:val="mi-NZ"/>
        </w:rPr>
        <w:t>be</w:t>
      </w:r>
      <w:proofErr w:type="spellEnd"/>
      <w:r w:rsidRPr="00D20962">
        <w:rPr>
          <w:sz w:val="18"/>
          <w:lang w:val="mi-NZ"/>
        </w:rPr>
        <w:t xml:space="preserve"> $2 </w:t>
      </w:r>
      <w:proofErr w:type="spellStart"/>
      <w:r w:rsidRPr="00D20962">
        <w:rPr>
          <w:sz w:val="18"/>
          <w:lang w:val="mi-NZ"/>
        </w:rPr>
        <w:t>billion</w:t>
      </w:r>
      <w:proofErr w:type="spellEnd"/>
      <w:r w:rsidRPr="00D20962">
        <w:rPr>
          <w:sz w:val="18"/>
          <w:lang w:val="mi-NZ"/>
        </w:rPr>
        <w:t xml:space="preserve"> </w:t>
      </w:r>
      <w:proofErr w:type="spellStart"/>
      <w:r w:rsidRPr="00D20962">
        <w:rPr>
          <w:sz w:val="18"/>
          <w:lang w:val="mi-NZ"/>
        </w:rPr>
        <w:t>of</w:t>
      </w:r>
      <w:proofErr w:type="spellEnd"/>
      <w:r w:rsidRPr="00D20962">
        <w:rPr>
          <w:sz w:val="18"/>
          <w:lang w:val="mi-NZ"/>
        </w:rPr>
        <w:t xml:space="preserve"> </w:t>
      </w:r>
      <w:proofErr w:type="spellStart"/>
      <w:r w:rsidRPr="00D20962">
        <w:rPr>
          <w:sz w:val="18"/>
          <w:lang w:val="mi-NZ"/>
        </w:rPr>
        <w:t>this</w:t>
      </w:r>
      <w:proofErr w:type="spellEnd"/>
      <w:r w:rsidRPr="00D20962">
        <w:rPr>
          <w:sz w:val="18"/>
          <w:lang w:val="mi-NZ"/>
        </w:rPr>
        <w:t xml:space="preserve"> $3 </w:t>
      </w:r>
      <w:proofErr w:type="spellStart"/>
      <w:r w:rsidRPr="00D20962">
        <w:rPr>
          <w:sz w:val="18"/>
          <w:lang w:val="mi-NZ"/>
        </w:rPr>
        <w:t>billion</w:t>
      </w:r>
      <w:proofErr w:type="spellEnd"/>
      <w:r w:rsidRPr="00D20962">
        <w:rPr>
          <w:sz w:val="18"/>
          <w:lang w:val="mi-NZ"/>
        </w:rPr>
        <w:t xml:space="preserve"> </w:t>
      </w:r>
      <w:proofErr w:type="spellStart"/>
      <w:r w:rsidRPr="00D20962">
        <w:rPr>
          <w:sz w:val="18"/>
          <w:lang w:val="mi-NZ"/>
        </w:rPr>
        <w:t>spending</w:t>
      </w:r>
      <w:proofErr w:type="spellEnd"/>
      <w:r w:rsidRPr="00D20962">
        <w:rPr>
          <w:sz w:val="18"/>
          <w:lang w:val="mi-NZ"/>
        </w:rPr>
        <w:t xml:space="preserve">. </w:t>
      </w:r>
      <w:proofErr w:type="spellStart"/>
      <w:r w:rsidRPr="00D20962">
        <w:rPr>
          <w:sz w:val="18"/>
          <w:lang w:val="mi-NZ"/>
        </w:rPr>
        <w:t>The</w:t>
      </w:r>
      <w:proofErr w:type="spellEnd"/>
      <w:r w:rsidRPr="00D20962">
        <w:rPr>
          <w:sz w:val="18"/>
          <w:lang w:val="mi-NZ"/>
        </w:rPr>
        <w:t xml:space="preserve"> </w:t>
      </w:r>
      <w:proofErr w:type="spellStart"/>
      <w:r w:rsidRPr="00D20962">
        <w:rPr>
          <w:sz w:val="18"/>
          <w:lang w:val="mi-NZ"/>
        </w:rPr>
        <w:t>Family</w:t>
      </w:r>
      <w:proofErr w:type="spellEnd"/>
      <w:r w:rsidRPr="00D20962">
        <w:rPr>
          <w:sz w:val="18"/>
          <w:lang w:val="mi-NZ"/>
        </w:rPr>
        <w:t xml:space="preserve"> </w:t>
      </w:r>
      <w:proofErr w:type="spellStart"/>
      <w:r w:rsidRPr="00D20962">
        <w:rPr>
          <w:sz w:val="18"/>
          <w:lang w:val="mi-NZ"/>
        </w:rPr>
        <w:t>Tax</w:t>
      </w:r>
      <w:proofErr w:type="spellEnd"/>
      <w:r w:rsidRPr="00D20962">
        <w:rPr>
          <w:sz w:val="18"/>
          <w:lang w:val="mi-NZ"/>
        </w:rPr>
        <w:t xml:space="preserve"> </w:t>
      </w:r>
      <w:proofErr w:type="spellStart"/>
      <w:r w:rsidRPr="00D20962">
        <w:rPr>
          <w:sz w:val="18"/>
          <w:lang w:val="mi-NZ"/>
        </w:rPr>
        <w:t>Credit</w:t>
      </w:r>
      <w:proofErr w:type="spellEnd"/>
      <w:r w:rsidRPr="00D20962">
        <w:rPr>
          <w:sz w:val="18"/>
          <w:lang w:val="mi-NZ"/>
        </w:rPr>
        <w:t xml:space="preserve"> </w:t>
      </w:r>
      <w:proofErr w:type="spellStart"/>
      <w:r w:rsidRPr="00D20962">
        <w:rPr>
          <w:sz w:val="18"/>
          <w:lang w:val="mi-NZ"/>
        </w:rPr>
        <w:t>is</w:t>
      </w:r>
      <w:proofErr w:type="spellEnd"/>
      <w:r w:rsidRPr="00D20962">
        <w:rPr>
          <w:sz w:val="18"/>
          <w:lang w:val="mi-NZ"/>
        </w:rPr>
        <w:t xml:space="preserve"> </w:t>
      </w:r>
      <w:proofErr w:type="spellStart"/>
      <w:r w:rsidRPr="00D20962">
        <w:rPr>
          <w:sz w:val="18"/>
          <w:lang w:val="mi-NZ"/>
        </w:rPr>
        <w:t>roughly</w:t>
      </w:r>
      <w:proofErr w:type="spellEnd"/>
      <w:r w:rsidRPr="00D20962">
        <w:rPr>
          <w:sz w:val="18"/>
          <w:lang w:val="mi-NZ"/>
        </w:rPr>
        <w:t xml:space="preserve"> </w:t>
      </w:r>
      <w:proofErr w:type="spellStart"/>
      <w:r w:rsidRPr="00D20962">
        <w:rPr>
          <w:sz w:val="18"/>
          <w:lang w:val="mi-NZ"/>
        </w:rPr>
        <w:t>indexed</w:t>
      </w:r>
      <w:proofErr w:type="spellEnd"/>
      <w:r w:rsidRPr="00D20962">
        <w:rPr>
          <w:sz w:val="18"/>
          <w:lang w:val="mi-NZ"/>
        </w:rPr>
        <w:t xml:space="preserve"> to CPI</w:t>
      </w:r>
      <w:r>
        <w:rPr>
          <w:sz w:val="18"/>
          <w:lang w:val="mi-NZ"/>
        </w:rPr>
        <w:t xml:space="preserve"> (</w:t>
      </w:r>
      <w:proofErr w:type="spellStart"/>
      <w:r>
        <w:rPr>
          <w:sz w:val="18"/>
          <w:lang w:val="mi-NZ"/>
        </w:rPr>
        <w:t>albeit</w:t>
      </w:r>
      <w:proofErr w:type="spellEnd"/>
      <w:r>
        <w:rPr>
          <w:sz w:val="18"/>
          <w:lang w:val="mi-NZ"/>
        </w:rPr>
        <w:t xml:space="preserve"> </w:t>
      </w:r>
      <w:proofErr w:type="spellStart"/>
      <w:r>
        <w:rPr>
          <w:sz w:val="18"/>
          <w:lang w:val="mi-NZ"/>
        </w:rPr>
        <w:t>only</w:t>
      </w:r>
      <w:proofErr w:type="spellEnd"/>
      <w:r>
        <w:rPr>
          <w:sz w:val="18"/>
          <w:lang w:val="mi-NZ"/>
        </w:rPr>
        <w:t xml:space="preserve"> </w:t>
      </w:r>
      <w:proofErr w:type="spellStart"/>
      <w:r>
        <w:rPr>
          <w:sz w:val="18"/>
          <w:lang w:val="mi-NZ"/>
        </w:rPr>
        <w:t>when</w:t>
      </w:r>
      <w:proofErr w:type="spellEnd"/>
      <w:r>
        <w:rPr>
          <w:sz w:val="18"/>
          <w:lang w:val="mi-NZ"/>
        </w:rPr>
        <w:t xml:space="preserve"> </w:t>
      </w:r>
      <w:proofErr w:type="spellStart"/>
      <w:r>
        <w:rPr>
          <w:sz w:val="18"/>
          <w:lang w:val="mi-NZ"/>
        </w:rPr>
        <w:t>threshold</w:t>
      </w:r>
      <w:proofErr w:type="spellEnd"/>
      <w:r>
        <w:rPr>
          <w:sz w:val="18"/>
          <w:lang w:val="mi-NZ"/>
        </w:rPr>
        <w:t xml:space="preserve"> </w:t>
      </w:r>
      <w:proofErr w:type="spellStart"/>
      <w:r>
        <w:rPr>
          <w:sz w:val="18"/>
          <w:lang w:val="mi-NZ"/>
        </w:rPr>
        <w:t>exceeds</w:t>
      </w:r>
      <w:proofErr w:type="spellEnd"/>
      <w:r>
        <w:rPr>
          <w:sz w:val="18"/>
          <w:lang w:val="mi-NZ"/>
        </w:rPr>
        <w:t xml:space="preserve"> 5%)</w:t>
      </w:r>
      <w:r w:rsidRPr="00D20962">
        <w:rPr>
          <w:sz w:val="18"/>
          <w:lang w:val="mi-NZ"/>
        </w:rPr>
        <w:t xml:space="preserve">, </w:t>
      </w:r>
      <w:proofErr w:type="spellStart"/>
      <w:r w:rsidRPr="00D20962">
        <w:rPr>
          <w:sz w:val="18"/>
          <w:lang w:val="mi-NZ"/>
        </w:rPr>
        <w:t>which</w:t>
      </w:r>
      <w:proofErr w:type="spellEnd"/>
      <w:r w:rsidRPr="00D20962">
        <w:rPr>
          <w:sz w:val="18"/>
          <w:lang w:val="mi-NZ"/>
        </w:rPr>
        <w:t xml:space="preserve"> </w:t>
      </w:r>
      <w:proofErr w:type="spellStart"/>
      <w:r w:rsidRPr="00D20962">
        <w:rPr>
          <w:sz w:val="18"/>
          <w:lang w:val="mi-NZ"/>
        </w:rPr>
        <w:t>is</w:t>
      </w:r>
      <w:proofErr w:type="spellEnd"/>
      <w:r w:rsidRPr="00D20962">
        <w:rPr>
          <w:sz w:val="18"/>
          <w:lang w:val="mi-NZ"/>
        </w:rPr>
        <w:t xml:space="preserve"> </w:t>
      </w:r>
      <w:proofErr w:type="spellStart"/>
      <w:r w:rsidRPr="00D20962">
        <w:rPr>
          <w:sz w:val="18"/>
          <w:lang w:val="mi-NZ"/>
        </w:rPr>
        <w:t>expected</w:t>
      </w:r>
      <w:proofErr w:type="spellEnd"/>
      <w:r w:rsidRPr="00D20962">
        <w:rPr>
          <w:sz w:val="18"/>
          <w:lang w:val="mi-NZ"/>
        </w:rPr>
        <w:t xml:space="preserve"> to </w:t>
      </w:r>
      <w:proofErr w:type="spellStart"/>
      <w:r w:rsidRPr="00D20962">
        <w:rPr>
          <w:sz w:val="18"/>
          <w:lang w:val="mi-NZ"/>
        </w:rPr>
        <w:t>grow</w:t>
      </w:r>
      <w:proofErr w:type="spellEnd"/>
      <w:r w:rsidRPr="00D20962">
        <w:rPr>
          <w:sz w:val="18"/>
          <w:lang w:val="mi-NZ"/>
        </w:rPr>
        <w:t xml:space="preserve"> 1.2 </w:t>
      </w:r>
      <w:proofErr w:type="spellStart"/>
      <w:r w:rsidRPr="00D20962">
        <w:rPr>
          <w:sz w:val="18"/>
          <w:lang w:val="mi-NZ"/>
        </w:rPr>
        <w:t>percent</w:t>
      </w:r>
      <w:proofErr w:type="spellEnd"/>
      <w:r w:rsidRPr="00D20962">
        <w:rPr>
          <w:sz w:val="18"/>
          <w:lang w:val="mi-NZ"/>
        </w:rPr>
        <w:t xml:space="preserve"> </w:t>
      </w:r>
      <w:proofErr w:type="spellStart"/>
      <w:r w:rsidRPr="00D20962">
        <w:rPr>
          <w:sz w:val="18"/>
          <w:lang w:val="mi-NZ"/>
        </w:rPr>
        <w:t>in</w:t>
      </w:r>
      <w:proofErr w:type="spellEnd"/>
      <w:r w:rsidRPr="00D20962">
        <w:rPr>
          <w:sz w:val="18"/>
          <w:lang w:val="mi-NZ"/>
        </w:rPr>
        <w:t xml:space="preserve"> </w:t>
      </w:r>
      <w:proofErr w:type="spellStart"/>
      <w:r w:rsidRPr="00D20962">
        <w:rPr>
          <w:sz w:val="18"/>
          <w:lang w:val="mi-NZ"/>
        </w:rPr>
        <w:t>the</w:t>
      </w:r>
      <w:proofErr w:type="spellEnd"/>
      <w:r w:rsidRPr="00D20962">
        <w:rPr>
          <w:sz w:val="18"/>
          <w:lang w:val="mi-NZ"/>
        </w:rPr>
        <w:t xml:space="preserve"> </w:t>
      </w:r>
      <w:proofErr w:type="spellStart"/>
      <w:r w:rsidRPr="00D20962">
        <w:rPr>
          <w:sz w:val="18"/>
          <w:lang w:val="mi-NZ"/>
        </w:rPr>
        <w:t>year</w:t>
      </w:r>
      <w:proofErr w:type="spellEnd"/>
      <w:r w:rsidRPr="00D20962">
        <w:rPr>
          <w:sz w:val="18"/>
          <w:lang w:val="mi-NZ"/>
        </w:rPr>
        <w:t xml:space="preserve"> to </w:t>
      </w:r>
      <w:proofErr w:type="spellStart"/>
      <w:r w:rsidRPr="00D20962">
        <w:rPr>
          <w:sz w:val="18"/>
          <w:lang w:val="mi-NZ"/>
        </w:rPr>
        <w:t>June</w:t>
      </w:r>
      <w:proofErr w:type="spellEnd"/>
      <w:r w:rsidRPr="00D20962">
        <w:rPr>
          <w:sz w:val="18"/>
          <w:lang w:val="mi-NZ"/>
        </w:rPr>
        <w:t xml:space="preserve"> 2022 (MBIE, 2020). </w:t>
      </w:r>
      <w:proofErr w:type="spellStart"/>
      <w:r w:rsidRPr="00D20962">
        <w:rPr>
          <w:sz w:val="18"/>
          <w:lang w:val="mi-NZ"/>
        </w:rPr>
        <w:t>This</w:t>
      </w:r>
      <w:proofErr w:type="spellEnd"/>
      <w:r w:rsidRPr="00D20962">
        <w:rPr>
          <w:sz w:val="18"/>
          <w:lang w:val="mi-NZ"/>
        </w:rPr>
        <w:t xml:space="preserve"> </w:t>
      </w:r>
      <w:proofErr w:type="spellStart"/>
      <w:r w:rsidRPr="00D20962">
        <w:rPr>
          <w:sz w:val="18"/>
          <w:lang w:val="mi-NZ"/>
        </w:rPr>
        <w:t>costed</w:t>
      </w:r>
      <w:proofErr w:type="spellEnd"/>
      <w:r w:rsidRPr="00D20962">
        <w:rPr>
          <w:sz w:val="18"/>
          <w:lang w:val="mi-NZ"/>
        </w:rPr>
        <w:t xml:space="preserve"> </w:t>
      </w:r>
      <w:proofErr w:type="spellStart"/>
      <w:r w:rsidRPr="00D20962">
        <w:rPr>
          <w:sz w:val="18"/>
          <w:lang w:val="mi-NZ"/>
        </w:rPr>
        <w:t>figure</w:t>
      </w:r>
      <w:proofErr w:type="spellEnd"/>
      <w:r w:rsidRPr="00D20962">
        <w:rPr>
          <w:sz w:val="18"/>
          <w:lang w:val="mi-NZ"/>
        </w:rPr>
        <w:t xml:space="preserve"> </w:t>
      </w:r>
      <w:proofErr w:type="spellStart"/>
      <w:r w:rsidRPr="00D20962">
        <w:rPr>
          <w:sz w:val="18"/>
          <w:lang w:val="mi-NZ"/>
        </w:rPr>
        <w:t>therefore</w:t>
      </w:r>
      <w:proofErr w:type="spellEnd"/>
      <w:r w:rsidRPr="00D20962">
        <w:rPr>
          <w:sz w:val="18"/>
          <w:lang w:val="mi-NZ"/>
        </w:rPr>
        <w:t xml:space="preserve"> </w:t>
      </w:r>
      <w:proofErr w:type="spellStart"/>
      <w:r w:rsidRPr="00D20962">
        <w:rPr>
          <w:sz w:val="18"/>
          <w:lang w:val="mi-NZ"/>
        </w:rPr>
        <w:t>reflects</w:t>
      </w:r>
      <w:proofErr w:type="spellEnd"/>
      <w:r w:rsidRPr="00D20962">
        <w:rPr>
          <w:sz w:val="18"/>
          <w:lang w:val="mi-NZ"/>
        </w:rPr>
        <w:t xml:space="preserve"> </w:t>
      </w:r>
      <w:proofErr w:type="spellStart"/>
      <w:r w:rsidRPr="00D20962">
        <w:rPr>
          <w:sz w:val="18"/>
          <w:lang w:val="mi-NZ"/>
        </w:rPr>
        <w:t>the</w:t>
      </w:r>
      <w:proofErr w:type="spellEnd"/>
      <w:r w:rsidRPr="00D20962">
        <w:rPr>
          <w:sz w:val="18"/>
          <w:lang w:val="mi-NZ"/>
        </w:rPr>
        <w:t xml:space="preserve"> </w:t>
      </w:r>
      <w:proofErr w:type="spellStart"/>
      <w:r w:rsidRPr="00D20962">
        <w:rPr>
          <w:sz w:val="18"/>
          <w:lang w:val="mi-NZ"/>
        </w:rPr>
        <w:t>extra</w:t>
      </w:r>
      <w:proofErr w:type="spellEnd"/>
      <w:r w:rsidRPr="00D20962">
        <w:rPr>
          <w:sz w:val="18"/>
          <w:lang w:val="mi-NZ"/>
        </w:rPr>
        <w:t xml:space="preserve"> </w:t>
      </w:r>
      <w:proofErr w:type="spellStart"/>
      <w:r w:rsidRPr="00D20962">
        <w:rPr>
          <w:sz w:val="18"/>
          <w:lang w:val="mi-NZ"/>
        </w:rPr>
        <w:t>spending</w:t>
      </w:r>
      <w:proofErr w:type="spellEnd"/>
      <w:r w:rsidRPr="00D20962">
        <w:rPr>
          <w:sz w:val="18"/>
          <w:lang w:val="mi-NZ"/>
        </w:rPr>
        <w:t xml:space="preserve"> </w:t>
      </w:r>
      <w:proofErr w:type="spellStart"/>
      <w:r w:rsidRPr="00D20962">
        <w:rPr>
          <w:sz w:val="18"/>
          <w:lang w:val="mi-NZ"/>
        </w:rPr>
        <w:t>required</w:t>
      </w:r>
      <w:proofErr w:type="spellEnd"/>
      <w:r w:rsidRPr="00D20962">
        <w:rPr>
          <w:sz w:val="18"/>
          <w:lang w:val="mi-NZ"/>
        </w:rPr>
        <w:t xml:space="preserve"> </w:t>
      </w:r>
      <w:proofErr w:type="spellStart"/>
      <w:r w:rsidRPr="00D20962">
        <w:rPr>
          <w:sz w:val="18"/>
          <w:lang w:val="mi-NZ"/>
        </w:rPr>
        <w:t>over</w:t>
      </w:r>
      <w:proofErr w:type="spellEnd"/>
      <w:r w:rsidRPr="00D20962">
        <w:rPr>
          <w:sz w:val="18"/>
          <w:lang w:val="mi-NZ"/>
        </w:rPr>
        <w:t xml:space="preserve"> and </w:t>
      </w:r>
      <w:proofErr w:type="spellStart"/>
      <w:r w:rsidRPr="00D20962">
        <w:rPr>
          <w:sz w:val="18"/>
          <w:lang w:val="mi-NZ"/>
        </w:rPr>
        <w:t>above</w:t>
      </w:r>
      <w:proofErr w:type="spellEnd"/>
      <w:r w:rsidRPr="00D20962">
        <w:rPr>
          <w:sz w:val="18"/>
          <w:lang w:val="mi-NZ"/>
        </w:rPr>
        <w:t xml:space="preserve"> CPI </w:t>
      </w:r>
      <w:proofErr w:type="spellStart"/>
      <w:r w:rsidRPr="00D20962">
        <w:rPr>
          <w:sz w:val="18"/>
          <w:lang w:val="mi-NZ"/>
        </w:rPr>
        <w:t>indexation</w:t>
      </w:r>
      <w:proofErr w:type="spellEnd"/>
      <w:r w:rsidRPr="00D20962">
        <w:rPr>
          <w:sz w:val="18"/>
          <w:lang w:val="mi-NZ"/>
        </w:rPr>
        <w:t xml:space="preserve"> for </w:t>
      </w:r>
      <w:proofErr w:type="spellStart"/>
      <w:r w:rsidRPr="00D20962">
        <w:rPr>
          <w:sz w:val="18"/>
          <w:lang w:val="mi-NZ"/>
        </w:rPr>
        <w:t>the</w:t>
      </w:r>
      <w:proofErr w:type="spellEnd"/>
      <w:r w:rsidRPr="00D20962">
        <w:rPr>
          <w:sz w:val="18"/>
          <w:lang w:val="mi-NZ"/>
        </w:rPr>
        <w:t xml:space="preserve"> </w:t>
      </w:r>
      <w:proofErr w:type="spellStart"/>
      <w:r w:rsidRPr="00D20962">
        <w:rPr>
          <w:sz w:val="18"/>
          <w:lang w:val="mi-NZ"/>
        </w:rPr>
        <w:t>Family</w:t>
      </w:r>
      <w:proofErr w:type="spellEnd"/>
      <w:r w:rsidRPr="00D20962">
        <w:rPr>
          <w:sz w:val="18"/>
          <w:lang w:val="mi-NZ"/>
        </w:rPr>
        <w:t xml:space="preserve"> </w:t>
      </w:r>
      <w:proofErr w:type="spellStart"/>
      <w:r w:rsidRPr="00D20962">
        <w:rPr>
          <w:sz w:val="18"/>
          <w:lang w:val="mi-NZ"/>
        </w:rPr>
        <w:t>Tax</w:t>
      </w:r>
      <w:proofErr w:type="spellEnd"/>
      <w:r w:rsidRPr="00D20962">
        <w:rPr>
          <w:sz w:val="18"/>
          <w:lang w:val="mi-NZ"/>
        </w:rPr>
        <w:t xml:space="preserve"> </w:t>
      </w:r>
      <w:proofErr w:type="spellStart"/>
      <w:r w:rsidRPr="00D20962">
        <w:rPr>
          <w:sz w:val="18"/>
          <w:lang w:val="mi-NZ"/>
        </w:rPr>
        <w:t>Credit</w:t>
      </w:r>
      <w:proofErr w:type="spellEnd"/>
      <w:r w:rsidRPr="00D20962">
        <w:rPr>
          <w:sz w:val="18"/>
          <w:lang w:val="mi-NZ"/>
        </w:rPr>
        <w:t xml:space="preserve"> to </w:t>
      </w:r>
      <w:proofErr w:type="spellStart"/>
      <w:r w:rsidRPr="00D20962">
        <w:rPr>
          <w:sz w:val="18"/>
          <w:lang w:val="mi-NZ"/>
        </w:rPr>
        <w:t>be</w:t>
      </w:r>
      <w:proofErr w:type="spellEnd"/>
      <w:r w:rsidRPr="00D20962">
        <w:rPr>
          <w:sz w:val="18"/>
          <w:lang w:val="mi-NZ"/>
        </w:rPr>
        <w:t xml:space="preserve"> </w:t>
      </w:r>
      <w:proofErr w:type="spellStart"/>
      <w:r w:rsidRPr="00D20962">
        <w:rPr>
          <w:sz w:val="18"/>
          <w:lang w:val="mi-NZ"/>
        </w:rPr>
        <w:t>indexed</w:t>
      </w:r>
      <w:proofErr w:type="spellEnd"/>
      <w:r w:rsidRPr="00D20962">
        <w:rPr>
          <w:sz w:val="18"/>
          <w:lang w:val="mi-NZ"/>
        </w:rPr>
        <w:t xml:space="preserve"> to </w:t>
      </w:r>
      <w:proofErr w:type="spellStart"/>
      <w:r w:rsidRPr="00D20962">
        <w:rPr>
          <w:sz w:val="18"/>
          <w:lang w:val="mi-NZ"/>
        </w:rPr>
        <w:t>wages</w:t>
      </w:r>
      <w:proofErr w:type="spellEnd"/>
      <w:r w:rsidRPr="00D20962">
        <w:rPr>
          <w:sz w:val="18"/>
          <w:lang w:val="mi-NZ"/>
        </w:rPr>
        <w:t xml:space="preserve">, </w:t>
      </w:r>
      <w:proofErr w:type="spellStart"/>
      <w:r w:rsidRPr="00D20962">
        <w:rPr>
          <w:sz w:val="18"/>
          <w:lang w:val="mi-NZ"/>
        </w:rPr>
        <w:t>as</w:t>
      </w:r>
      <w:proofErr w:type="spellEnd"/>
      <w:r w:rsidRPr="00D20962">
        <w:rPr>
          <w:sz w:val="18"/>
          <w:lang w:val="mi-NZ"/>
        </w:rPr>
        <w:t xml:space="preserve"> </w:t>
      </w:r>
      <w:proofErr w:type="spellStart"/>
      <w:r w:rsidRPr="00D20962">
        <w:rPr>
          <w:sz w:val="18"/>
          <w:lang w:val="mi-NZ"/>
        </w:rPr>
        <w:t>well</w:t>
      </w:r>
      <w:proofErr w:type="spellEnd"/>
      <w:r w:rsidRPr="00D20962">
        <w:rPr>
          <w:sz w:val="18"/>
          <w:lang w:val="mi-NZ"/>
        </w:rPr>
        <w:t xml:space="preserve"> </w:t>
      </w:r>
      <w:proofErr w:type="spellStart"/>
      <w:r w:rsidRPr="00D20962">
        <w:rPr>
          <w:sz w:val="18"/>
          <w:lang w:val="mi-NZ"/>
        </w:rPr>
        <w:t>as</w:t>
      </w:r>
      <w:proofErr w:type="spellEnd"/>
      <w:r w:rsidRPr="00D20962">
        <w:rPr>
          <w:sz w:val="18"/>
          <w:lang w:val="mi-NZ"/>
        </w:rPr>
        <w:t xml:space="preserve"> </w:t>
      </w:r>
      <w:proofErr w:type="spellStart"/>
      <w:r w:rsidRPr="00D20962">
        <w:rPr>
          <w:sz w:val="18"/>
          <w:lang w:val="mi-NZ"/>
        </w:rPr>
        <w:t>wage</w:t>
      </w:r>
      <w:proofErr w:type="spellEnd"/>
      <w:r w:rsidRPr="00D20962">
        <w:rPr>
          <w:sz w:val="18"/>
          <w:lang w:val="mi-NZ"/>
        </w:rPr>
        <w:t xml:space="preserve"> </w:t>
      </w:r>
      <w:proofErr w:type="spellStart"/>
      <w:r w:rsidRPr="00D20962">
        <w:rPr>
          <w:sz w:val="18"/>
          <w:lang w:val="mi-NZ"/>
        </w:rPr>
        <w:t>indexation</w:t>
      </w:r>
      <w:proofErr w:type="spellEnd"/>
      <w:r w:rsidRPr="00D20962">
        <w:rPr>
          <w:sz w:val="18"/>
          <w:lang w:val="mi-NZ"/>
        </w:rPr>
        <w:t xml:space="preserve"> </w:t>
      </w:r>
      <w:proofErr w:type="spellStart"/>
      <w:r w:rsidRPr="00D20962">
        <w:rPr>
          <w:sz w:val="18"/>
          <w:lang w:val="mi-NZ"/>
        </w:rPr>
        <w:t>of</w:t>
      </w:r>
      <w:proofErr w:type="spellEnd"/>
      <w:r w:rsidRPr="00D20962">
        <w:rPr>
          <w:sz w:val="18"/>
          <w:lang w:val="mi-NZ"/>
        </w:rPr>
        <w:t xml:space="preserve"> </w:t>
      </w:r>
      <w:proofErr w:type="spellStart"/>
      <w:r w:rsidRPr="00D20962">
        <w:rPr>
          <w:sz w:val="18"/>
          <w:lang w:val="mi-NZ"/>
        </w:rPr>
        <w:t>the</w:t>
      </w:r>
      <w:proofErr w:type="spellEnd"/>
      <w:r w:rsidRPr="00D20962">
        <w:rPr>
          <w:sz w:val="18"/>
          <w:lang w:val="mi-NZ"/>
        </w:rPr>
        <w:t xml:space="preserve"> </w:t>
      </w:r>
      <w:proofErr w:type="spellStart"/>
      <w:r>
        <w:rPr>
          <w:sz w:val="18"/>
          <w:lang w:val="mi-NZ"/>
        </w:rPr>
        <w:t>additional</w:t>
      </w:r>
      <w:proofErr w:type="spellEnd"/>
      <w:r>
        <w:rPr>
          <w:sz w:val="18"/>
          <w:lang w:val="mi-NZ"/>
        </w:rPr>
        <w:t xml:space="preserve"> (</w:t>
      </w:r>
      <w:proofErr w:type="spellStart"/>
      <w:r>
        <w:rPr>
          <w:sz w:val="18"/>
          <w:lang w:val="mi-NZ"/>
        </w:rPr>
        <w:t>non</w:t>
      </w:r>
      <w:proofErr w:type="spellEnd"/>
      <w:r>
        <w:rPr>
          <w:sz w:val="18"/>
          <w:lang w:val="mi-NZ"/>
        </w:rPr>
        <w:t>-FTC)</w:t>
      </w:r>
      <w:r w:rsidRPr="00D20962">
        <w:rPr>
          <w:sz w:val="18"/>
          <w:lang w:val="mi-NZ"/>
        </w:rPr>
        <w:t xml:space="preserve"> $1 </w:t>
      </w:r>
      <w:proofErr w:type="spellStart"/>
      <w:r w:rsidRPr="00D20962">
        <w:rPr>
          <w:sz w:val="18"/>
          <w:lang w:val="mi-NZ"/>
        </w:rPr>
        <w:t>billion</w:t>
      </w:r>
      <w:proofErr w:type="spellEnd"/>
      <w:r w:rsidRPr="00D20962">
        <w:rPr>
          <w:sz w:val="18"/>
          <w:lang w:val="mi-NZ"/>
        </w:rPr>
        <w:t xml:space="preserve"> </w:t>
      </w:r>
      <w:proofErr w:type="spellStart"/>
      <w:r w:rsidRPr="00D20962">
        <w:rPr>
          <w:sz w:val="18"/>
          <w:lang w:val="mi-NZ"/>
        </w:rPr>
        <w:t>of</w:t>
      </w:r>
      <w:proofErr w:type="spellEnd"/>
      <w:r w:rsidRPr="00D20962">
        <w:rPr>
          <w:sz w:val="18"/>
          <w:lang w:val="mi-NZ"/>
        </w:rPr>
        <w:t xml:space="preserve"> WFF </w:t>
      </w:r>
      <w:proofErr w:type="spellStart"/>
      <w:r w:rsidRPr="00D20962">
        <w:rPr>
          <w:sz w:val="18"/>
          <w:lang w:val="mi-NZ"/>
        </w:rPr>
        <w:t>spending</w:t>
      </w:r>
      <w:proofErr w:type="spellEnd"/>
      <w:r w:rsidRPr="00D20962">
        <w:rPr>
          <w:sz w:val="18"/>
          <w:lang w:val="mi-N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AA9C" w14:textId="16CD4CEF" w:rsidR="000718E0" w:rsidRPr="000718E0" w:rsidRDefault="0081019B" w:rsidP="00A53486">
    <w:pPr>
      <w:pStyle w:val="Header"/>
      <w:rPr>
        <w:i/>
        <w:iCs/>
        <w:sz w:val="20"/>
        <w:szCs w:val="18"/>
      </w:rPr>
    </w:pPr>
    <w:r>
      <w:rPr>
        <w:i/>
        <w:iCs/>
        <w:sz w:val="20"/>
        <w:szCs w:val="18"/>
      </w:rPr>
      <w:tab/>
    </w:r>
    <w:r>
      <w:rPr>
        <w:i/>
        <w:iCs/>
        <w:sz w:val="20"/>
        <w:szCs w:val="18"/>
      </w:rPr>
      <w:tab/>
      <w:t>WFF</w:t>
    </w:r>
    <w:r w:rsidR="000718E0" w:rsidRPr="000718E0">
      <w:rPr>
        <w:i/>
        <w:iCs/>
        <w:sz w:val="20"/>
        <w:szCs w:val="18"/>
      </w:rPr>
      <w:t xml:space="preserve"> Adequate Indexation</w:t>
    </w:r>
    <w:r>
      <w:rPr>
        <w:i/>
        <w:iCs/>
        <w:sz w:val="20"/>
        <w:szCs w:val="18"/>
      </w:rPr>
      <w:t>,</w:t>
    </w:r>
    <w:r w:rsidR="000718E0" w:rsidRPr="000718E0">
      <w:rPr>
        <w:i/>
        <w:iCs/>
        <w:sz w:val="20"/>
        <w:szCs w:val="18"/>
      </w:rPr>
      <w:t xml:space="preserve"> CPAG,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70F"/>
    <w:multiLevelType w:val="hybridMultilevel"/>
    <w:tmpl w:val="43EACC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11312E"/>
    <w:multiLevelType w:val="hybridMultilevel"/>
    <w:tmpl w:val="077EBC8E"/>
    <w:lvl w:ilvl="0" w:tplc="FB8E1CFA">
      <w:start w:val="5"/>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C544DC"/>
    <w:multiLevelType w:val="hybridMultilevel"/>
    <w:tmpl w:val="CF48B0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1167A6"/>
    <w:multiLevelType w:val="hybridMultilevel"/>
    <w:tmpl w:val="98D470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8E282B"/>
    <w:multiLevelType w:val="hybridMultilevel"/>
    <w:tmpl w:val="E3EC67B2"/>
    <w:lvl w:ilvl="0" w:tplc="FCE0D398">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E70511"/>
    <w:multiLevelType w:val="hybridMultilevel"/>
    <w:tmpl w:val="81FAC8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8B1A12"/>
    <w:multiLevelType w:val="hybridMultilevel"/>
    <w:tmpl w:val="43EACC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DB019D3"/>
    <w:multiLevelType w:val="hybridMultilevel"/>
    <w:tmpl w:val="B8288C24"/>
    <w:lvl w:ilvl="0" w:tplc="BF1C1758">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2B72B6"/>
    <w:multiLevelType w:val="hybridMultilevel"/>
    <w:tmpl w:val="CCE0690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5FC77D2"/>
    <w:multiLevelType w:val="hybridMultilevel"/>
    <w:tmpl w:val="AFE8EC14"/>
    <w:lvl w:ilvl="0" w:tplc="41A23E1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FA0980"/>
    <w:multiLevelType w:val="hybridMultilevel"/>
    <w:tmpl w:val="CF1CE55A"/>
    <w:lvl w:ilvl="0" w:tplc="C1684D82">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353270D3"/>
    <w:multiLevelType w:val="hybridMultilevel"/>
    <w:tmpl w:val="02BEB57C"/>
    <w:lvl w:ilvl="0" w:tplc="29343AE0">
      <w:numFmt w:val="bullet"/>
      <w:lvlText w:val="-"/>
      <w:lvlJc w:val="left"/>
      <w:pPr>
        <w:ind w:left="720" w:hanging="360"/>
      </w:pPr>
      <w:rPr>
        <w:rFonts w:ascii="Calibri Light" w:eastAsiaTheme="majorEastAsia"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726A63"/>
    <w:multiLevelType w:val="hybridMultilevel"/>
    <w:tmpl w:val="4AC615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1A4C53"/>
    <w:multiLevelType w:val="hybridMultilevel"/>
    <w:tmpl w:val="EA7E8DB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7943AB9"/>
    <w:multiLevelType w:val="hybridMultilevel"/>
    <w:tmpl w:val="039A9788"/>
    <w:lvl w:ilvl="0" w:tplc="EC22712C">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51432CE9"/>
    <w:multiLevelType w:val="hybridMultilevel"/>
    <w:tmpl w:val="350A0722"/>
    <w:lvl w:ilvl="0" w:tplc="BF1C1758">
      <w:numFmt w:val="bullet"/>
      <w:lvlText w:val="-"/>
      <w:lvlJc w:val="left"/>
      <w:pPr>
        <w:ind w:left="720" w:hanging="360"/>
      </w:pPr>
      <w:rPr>
        <w:rFonts w:ascii="Calibri" w:eastAsiaTheme="minorHAnsi" w:hAnsi="Calibri" w:cs="Calibri" w:hint="default"/>
      </w:rPr>
    </w:lvl>
    <w:lvl w:ilvl="1" w:tplc="BF1C1758">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1E6EBE"/>
    <w:multiLevelType w:val="hybridMultilevel"/>
    <w:tmpl w:val="98D470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9B36B17"/>
    <w:multiLevelType w:val="hybridMultilevel"/>
    <w:tmpl w:val="15B2BA98"/>
    <w:lvl w:ilvl="0" w:tplc="3B7C805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DB56FA"/>
    <w:multiLevelType w:val="hybridMultilevel"/>
    <w:tmpl w:val="98D470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1F95C58"/>
    <w:multiLevelType w:val="hybridMultilevel"/>
    <w:tmpl w:val="CEE47BA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6C13693E"/>
    <w:multiLevelType w:val="hybridMultilevel"/>
    <w:tmpl w:val="D5E427C2"/>
    <w:lvl w:ilvl="0" w:tplc="13C0EFC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6DAE786A"/>
    <w:multiLevelType w:val="hybridMultilevel"/>
    <w:tmpl w:val="EDA43696"/>
    <w:lvl w:ilvl="0" w:tplc="BF1C1758">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E003DF6"/>
    <w:multiLevelType w:val="hybridMultilevel"/>
    <w:tmpl w:val="32FC5386"/>
    <w:lvl w:ilvl="0" w:tplc="EC22712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A746C6"/>
    <w:multiLevelType w:val="hybridMultilevel"/>
    <w:tmpl w:val="43EACC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5B73389"/>
    <w:multiLevelType w:val="hybridMultilevel"/>
    <w:tmpl w:val="7174E7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1"/>
  </w:num>
  <w:num w:numId="2">
    <w:abstractNumId w:val="15"/>
  </w:num>
  <w:num w:numId="3">
    <w:abstractNumId w:val="7"/>
  </w:num>
  <w:num w:numId="4">
    <w:abstractNumId w:val="17"/>
  </w:num>
  <w:num w:numId="5">
    <w:abstractNumId w:val="22"/>
  </w:num>
  <w:num w:numId="6">
    <w:abstractNumId w:val="14"/>
  </w:num>
  <w:num w:numId="7">
    <w:abstractNumId w:val="19"/>
  </w:num>
  <w:num w:numId="8">
    <w:abstractNumId w:val="11"/>
  </w:num>
  <w:num w:numId="9">
    <w:abstractNumId w:val="9"/>
  </w:num>
  <w:num w:numId="10">
    <w:abstractNumId w:val="8"/>
  </w:num>
  <w:num w:numId="11">
    <w:abstractNumId w:val="6"/>
  </w:num>
  <w:num w:numId="12">
    <w:abstractNumId w:val="1"/>
  </w:num>
  <w:num w:numId="13">
    <w:abstractNumId w:val="5"/>
  </w:num>
  <w:num w:numId="14">
    <w:abstractNumId w:val="2"/>
  </w:num>
  <w:num w:numId="15">
    <w:abstractNumId w:val="24"/>
  </w:num>
  <w:num w:numId="16">
    <w:abstractNumId w:val="20"/>
  </w:num>
  <w:num w:numId="17">
    <w:abstractNumId w:val="10"/>
  </w:num>
  <w:num w:numId="18">
    <w:abstractNumId w:val="16"/>
  </w:num>
  <w:num w:numId="19">
    <w:abstractNumId w:val="3"/>
  </w:num>
  <w:num w:numId="20">
    <w:abstractNumId w:val="18"/>
  </w:num>
  <w:num w:numId="21">
    <w:abstractNumId w:val="23"/>
  </w:num>
  <w:num w:numId="22">
    <w:abstractNumId w:val="12"/>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286"/>
    <w:rsid w:val="0000124F"/>
    <w:rsid w:val="00001E89"/>
    <w:rsid w:val="00004182"/>
    <w:rsid w:val="00004461"/>
    <w:rsid w:val="00007AEC"/>
    <w:rsid w:val="0001026F"/>
    <w:rsid w:val="000126B6"/>
    <w:rsid w:val="00013010"/>
    <w:rsid w:val="00013207"/>
    <w:rsid w:val="0001430B"/>
    <w:rsid w:val="00014B88"/>
    <w:rsid w:val="00017E59"/>
    <w:rsid w:val="0002130B"/>
    <w:rsid w:val="00023CFA"/>
    <w:rsid w:val="00023E07"/>
    <w:rsid w:val="00025E0F"/>
    <w:rsid w:val="000305F0"/>
    <w:rsid w:val="00034143"/>
    <w:rsid w:val="000353AC"/>
    <w:rsid w:val="0003574B"/>
    <w:rsid w:val="00037712"/>
    <w:rsid w:val="000408F3"/>
    <w:rsid w:val="0004324E"/>
    <w:rsid w:val="00047E9A"/>
    <w:rsid w:val="00050B0E"/>
    <w:rsid w:val="00054983"/>
    <w:rsid w:val="00055109"/>
    <w:rsid w:val="00056874"/>
    <w:rsid w:val="000573DA"/>
    <w:rsid w:val="0006052D"/>
    <w:rsid w:val="00066A26"/>
    <w:rsid w:val="0007091F"/>
    <w:rsid w:val="000718E0"/>
    <w:rsid w:val="00072C41"/>
    <w:rsid w:val="00073825"/>
    <w:rsid w:val="00073A62"/>
    <w:rsid w:val="00074408"/>
    <w:rsid w:val="000766EE"/>
    <w:rsid w:val="000778C4"/>
    <w:rsid w:val="000779D0"/>
    <w:rsid w:val="000801A8"/>
    <w:rsid w:val="0008762D"/>
    <w:rsid w:val="00087C93"/>
    <w:rsid w:val="000A21EC"/>
    <w:rsid w:val="000A30D5"/>
    <w:rsid w:val="000A49E9"/>
    <w:rsid w:val="000A5F7A"/>
    <w:rsid w:val="000A753A"/>
    <w:rsid w:val="000A79A9"/>
    <w:rsid w:val="000B5A3E"/>
    <w:rsid w:val="000B7F59"/>
    <w:rsid w:val="000C1A80"/>
    <w:rsid w:val="000C38A2"/>
    <w:rsid w:val="000C4466"/>
    <w:rsid w:val="000C7019"/>
    <w:rsid w:val="000D1CA2"/>
    <w:rsid w:val="000D1DD5"/>
    <w:rsid w:val="000D1E10"/>
    <w:rsid w:val="000D5FF0"/>
    <w:rsid w:val="000E18A1"/>
    <w:rsid w:val="000E217A"/>
    <w:rsid w:val="000E2930"/>
    <w:rsid w:val="000E320C"/>
    <w:rsid w:val="000E4AE0"/>
    <w:rsid w:val="000E59BF"/>
    <w:rsid w:val="000F0ADE"/>
    <w:rsid w:val="000F11EF"/>
    <w:rsid w:val="000F27DC"/>
    <w:rsid w:val="000F3CB1"/>
    <w:rsid w:val="001013AD"/>
    <w:rsid w:val="00106A85"/>
    <w:rsid w:val="00110243"/>
    <w:rsid w:val="00113952"/>
    <w:rsid w:val="00115E45"/>
    <w:rsid w:val="001162B9"/>
    <w:rsid w:val="001202FB"/>
    <w:rsid w:val="00123F42"/>
    <w:rsid w:val="00131200"/>
    <w:rsid w:val="00131727"/>
    <w:rsid w:val="00131932"/>
    <w:rsid w:val="00132A83"/>
    <w:rsid w:val="001331AE"/>
    <w:rsid w:val="001337CD"/>
    <w:rsid w:val="00140AE9"/>
    <w:rsid w:val="00142A6F"/>
    <w:rsid w:val="00142BDB"/>
    <w:rsid w:val="00145654"/>
    <w:rsid w:val="0014791A"/>
    <w:rsid w:val="00150AE8"/>
    <w:rsid w:val="00150AED"/>
    <w:rsid w:val="00150E40"/>
    <w:rsid w:val="0015165D"/>
    <w:rsid w:val="00151738"/>
    <w:rsid w:val="00152099"/>
    <w:rsid w:val="00157AFD"/>
    <w:rsid w:val="00162044"/>
    <w:rsid w:val="00165730"/>
    <w:rsid w:val="001666E6"/>
    <w:rsid w:val="001671CD"/>
    <w:rsid w:val="001674B9"/>
    <w:rsid w:val="00170259"/>
    <w:rsid w:val="0017282C"/>
    <w:rsid w:val="00173817"/>
    <w:rsid w:val="0017435A"/>
    <w:rsid w:val="00174BA1"/>
    <w:rsid w:val="001760C5"/>
    <w:rsid w:val="00176B20"/>
    <w:rsid w:val="0017766B"/>
    <w:rsid w:val="001816D0"/>
    <w:rsid w:val="001845B6"/>
    <w:rsid w:val="0018524B"/>
    <w:rsid w:val="001878C0"/>
    <w:rsid w:val="00194365"/>
    <w:rsid w:val="00194916"/>
    <w:rsid w:val="001A1F6D"/>
    <w:rsid w:val="001A4422"/>
    <w:rsid w:val="001A5DD3"/>
    <w:rsid w:val="001A7E66"/>
    <w:rsid w:val="001B0669"/>
    <w:rsid w:val="001B0EC4"/>
    <w:rsid w:val="001B148A"/>
    <w:rsid w:val="001B2B88"/>
    <w:rsid w:val="001B3AB9"/>
    <w:rsid w:val="001B4341"/>
    <w:rsid w:val="001B7966"/>
    <w:rsid w:val="001C04F0"/>
    <w:rsid w:val="001C0F22"/>
    <w:rsid w:val="001C14AE"/>
    <w:rsid w:val="001C266F"/>
    <w:rsid w:val="001C6D58"/>
    <w:rsid w:val="001D1E81"/>
    <w:rsid w:val="001D2558"/>
    <w:rsid w:val="001D3518"/>
    <w:rsid w:val="001D50D5"/>
    <w:rsid w:val="001D533A"/>
    <w:rsid w:val="001D59D4"/>
    <w:rsid w:val="001D6C15"/>
    <w:rsid w:val="001D7302"/>
    <w:rsid w:val="001D7BF3"/>
    <w:rsid w:val="001D7D64"/>
    <w:rsid w:val="001E06F8"/>
    <w:rsid w:val="001E129D"/>
    <w:rsid w:val="001E354D"/>
    <w:rsid w:val="001E3676"/>
    <w:rsid w:val="001E3B53"/>
    <w:rsid w:val="001E3CD7"/>
    <w:rsid w:val="001E4D5D"/>
    <w:rsid w:val="001E4DBB"/>
    <w:rsid w:val="001E5637"/>
    <w:rsid w:val="001E58FC"/>
    <w:rsid w:val="001E5CD0"/>
    <w:rsid w:val="001E644B"/>
    <w:rsid w:val="001E79B4"/>
    <w:rsid w:val="001F4AE9"/>
    <w:rsid w:val="001F5CF3"/>
    <w:rsid w:val="001F6339"/>
    <w:rsid w:val="001F649F"/>
    <w:rsid w:val="001F676C"/>
    <w:rsid w:val="001F7B9C"/>
    <w:rsid w:val="00204721"/>
    <w:rsid w:val="002065D8"/>
    <w:rsid w:val="00206C63"/>
    <w:rsid w:val="0020739C"/>
    <w:rsid w:val="00210453"/>
    <w:rsid w:val="002109C7"/>
    <w:rsid w:val="00211568"/>
    <w:rsid w:val="002135BA"/>
    <w:rsid w:val="0021622D"/>
    <w:rsid w:val="0022175B"/>
    <w:rsid w:val="002248F3"/>
    <w:rsid w:val="00224929"/>
    <w:rsid w:val="002263AF"/>
    <w:rsid w:val="00237025"/>
    <w:rsid w:val="00246823"/>
    <w:rsid w:val="00246FF3"/>
    <w:rsid w:val="00250E0E"/>
    <w:rsid w:val="00250E10"/>
    <w:rsid w:val="0025331E"/>
    <w:rsid w:val="00254AB7"/>
    <w:rsid w:val="00254C50"/>
    <w:rsid w:val="002579C7"/>
    <w:rsid w:val="00257A86"/>
    <w:rsid w:val="00266445"/>
    <w:rsid w:val="00267A82"/>
    <w:rsid w:val="002713AA"/>
    <w:rsid w:val="00272DEF"/>
    <w:rsid w:val="00274484"/>
    <w:rsid w:val="00280716"/>
    <w:rsid w:val="00281382"/>
    <w:rsid w:val="00281690"/>
    <w:rsid w:val="0028383C"/>
    <w:rsid w:val="002917CF"/>
    <w:rsid w:val="00292717"/>
    <w:rsid w:val="00296546"/>
    <w:rsid w:val="00297309"/>
    <w:rsid w:val="002A2627"/>
    <w:rsid w:val="002A4AB2"/>
    <w:rsid w:val="002A58BE"/>
    <w:rsid w:val="002A5D7C"/>
    <w:rsid w:val="002A6880"/>
    <w:rsid w:val="002A72F5"/>
    <w:rsid w:val="002B1166"/>
    <w:rsid w:val="002B28DA"/>
    <w:rsid w:val="002B2E4D"/>
    <w:rsid w:val="002B36C1"/>
    <w:rsid w:val="002B3D15"/>
    <w:rsid w:val="002B58AE"/>
    <w:rsid w:val="002B5E13"/>
    <w:rsid w:val="002B68D1"/>
    <w:rsid w:val="002C0FEB"/>
    <w:rsid w:val="002C151F"/>
    <w:rsid w:val="002C2328"/>
    <w:rsid w:val="002C3B03"/>
    <w:rsid w:val="002C3FDF"/>
    <w:rsid w:val="002C401C"/>
    <w:rsid w:val="002C4A93"/>
    <w:rsid w:val="002D0963"/>
    <w:rsid w:val="002D1A7D"/>
    <w:rsid w:val="002D1DAF"/>
    <w:rsid w:val="002D25DE"/>
    <w:rsid w:val="002D4281"/>
    <w:rsid w:val="002D4ABD"/>
    <w:rsid w:val="002E2221"/>
    <w:rsid w:val="002E5646"/>
    <w:rsid w:val="002E6254"/>
    <w:rsid w:val="002E7C20"/>
    <w:rsid w:val="002F1130"/>
    <w:rsid w:val="002F30FA"/>
    <w:rsid w:val="002F5807"/>
    <w:rsid w:val="002F7031"/>
    <w:rsid w:val="00303D91"/>
    <w:rsid w:val="003056A9"/>
    <w:rsid w:val="003058D0"/>
    <w:rsid w:val="003063AF"/>
    <w:rsid w:val="00311110"/>
    <w:rsid w:val="003125C0"/>
    <w:rsid w:val="00314148"/>
    <w:rsid w:val="00314F6B"/>
    <w:rsid w:val="003169F9"/>
    <w:rsid w:val="003227BA"/>
    <w:rsid w:val="00322D73"/>
    <w:rsid w:val="00323923"/>
    <w:rsid w:val="00326D50"/>
    <w:rsid w:val="00330A35"/>
    <w:rsid w:val="00330FC5"/>
    <w:rsid w:val="00333AD3"/>
    <w:rsid w:val="00341364"/>
    <w:rsid w:val="00343A3C"/>
    <w:rsid w:val="00343F01"/>
    <w:rsid w:val="00346215"/>
    <w:rsid w:val="00346506"/>
    <w:rsid w:val="003465CC"/>
    <w:rsid w:val="0035117A"/>
    <w:rsid w:val="003535EB"/>
    <w:rsid w:val="00354DB8"/>
    <w:rsid w:val="0035767E"/>
    <w:rsid w:val="00362C14"/>
    <w:rsid w:val="00365A70"/>
    <w:rsid w:val="003713C0"/>
    <w:rsid w:val="00373F17"/>
    <w:rsid w:val="0037722D"/>
    <w:rsid w:val="00377A8D"/>
    <w:rsid w:val="00380E73"/>
    <w:rsid w:val="00385D70"/>
    <w:rsid w:val="003872A1"/>
    <w:rsid w:val="0039070B"/>
    <w:rsid w:val="00390769"/>
    <w:rsid w:val="003926E5"/>
    <w:rsid w:val="003950A5"/>
    <w:rsid w:val="00395349"/>
    <w:rsid w:val="00397EB0"/>
    <w:rsid w:val="003A1732"/>
    <w:rsid w:val="003A181D"/>
    <w:rsid w:val="003A3343"/>
    <w:rsid w:val="003A6B57"/>
    <w:rsid w:val="003B0B56"/>
    <w:rsid w:val="003B2ABF"/>
    <w:rsid w:val="003B30A8"/>
    <w:rsid w:val="003B32A5"/>
    <w:rsid w:val="003B342F"/>
    <w:rsid w:val="003B3EBF"/>
    <w:rsid w:val="003B7F56"/>
    <w:rsid w:val="003C2758"/>
    <w:rsid w:val="003C4269"/>
    <w:rsid w:val="003C4DF7"/>
    <w:rsid w:val="003D271D"/>
    <w:rsid w:val="003D2AC1"/>
    <w:rsid w:val="003D3940"/>
    <w:rsid w:val="003D4111"/>
    <w:rsid w:val="003E533A"/>
    <w:rsid w:val="003E57CD"/>
    <w:rsid w:val="003F01E8"/>
    <w:rsid w:val="003F1BE2"/>
    <w:rsid w:val="003F413D"/>
    <w:rsid w:val="003F62EF"/>
    <w:rsid w:val="00402596"/>
    <w:rsid w:val="00402BCD"/>
    <w:rsid w:val="00403527"/>
    <w:rsid w:val="00405219"/>
    <w:rsid w:val="00406D21"/>
    <w:rsid w:val="00407312"/>
    <w:rsid w:val="00410AF5"/>
    <w:rsid w:val="00410C1C"/>
    <w:rsid w:val="00411A20"/>
    <w:rsid w:val="004125D1"/>
    <w:rsid w:val="004135A9"/>
    <w:rsid w:val="0041369F"/>
    <w:rsid w:val="0041506D"/>
    <w:rsid w:val="00415238"/>
    <w:rsid w:val="00415DF1"/>
    <w:rsid w:val="00420B1A"/>
    <w:rsid w:val="00422246"/>
    <w:rsid w:val="004236BA"/>
    <w:rsid w:val="00425304"/>
    <w:rsid w:val="004257E3"/>
    <w:rsid w:val="0042701A"/>
    <w:rsid w:val="00427F95"/>
    <w:rsid w:val="00430EC7"/>
    <w:rsid w:val="00435D88"/>
    <w:rsid w:val="004412DF"/>
    <w:rsid w:val="00445685"/>
    <w:rsid w:val="00446B51"/>
    <w:rsid w:val="004471FD"/>
    <w:rsid w:val="00450A4D"/>
    <w:rsid w:val="00450F86"/>
    <w:rsid w:val="004552B1"/>
    <w:rsid w:val="0045592E"/>
    <w:rsid w:val="00463D96"/>
    <w:rsid w:val="004643FC"/>
    <w:rsid w:val="00467A94"/>
    <w:rsid w:val="00470C6B"/>
    <w:rsid w:val="00471849"/>
    <w:rsid w:val="004719AC"/>
    <w:rsid w:val="00472B9C"/>
    <w:rsid w:val="00474F6A"/>
    <w:rsid w:val="00475E0B"/>
    <w:rsid w:val="004763CD"/>
    <w:rsid w:val="00476BF5"/>
    <w:rsid w:val="00476F51"/>
    <w:rsid w:val="004813B8"/>
    <w:rsid w:val="004834C0"/>
    <w:rsid w:val="004858FB"/>
    <w:rsid w:val="00487B89"/>
    <w:rsid w:val="00487E47"/>
    <w:rsid w:val="00490473"/>
    <w:rsid w:val="0049048E"/>
    <w:rsid w:val="00492BBD"/>
    <w:rsid w:val="00497B2B"/>
    <w:rsid w:val="00497DD5"/>
    <w:rsid w:val="004A2109"/>
    <w:rsid w:val="004A30AA"/>
    <w:rsid w:val="004A590C"/>
    <w:rsid w:val="004A655F"/>
    <w:rsid w:val="004A6A77"/>
    <w:rsid w:val="004A7126"/>
    <w:rsid w:val="004B107F"/>
    <w:rsid w:val="004B2142"/>
    <w:rsid w:val="004B6657"/>
    <w:rsid w:val="004B7197"/>
    <w:rsid w:val="004B7FED"/>
    <w:rsid w:val="004C18E8"/>
    <w:rsid w:val="004C1E9F"/>
    <w:rsid w:val="004C364F"/>
    <w:rsid w:val="004C41E7"/>
    <w:rsid w:val="004C4EB7"/>
    <w:rsid w:val="004C5A30"/>
    <w:rsid w:val="004C5D94"/>
    <w:rsid w:val="004D0251"/>
    <w:rsid w:val="004D1DB8"/>
    <w:rsid w:val="004D1FA0"/>
    <w:rsid w:val="004D2655"/>
    <w:rsid w:val="004D34E4"/>
    <w:rsid w:val="004D57AC"/>
    <w:rsid w:val="004D68AE"/>
    <w:rsid w:val="004E02C4"/>
    <w:rsid w:val="004E2865"/>
    <w:rsid w:val="004E3FB4"/>
    <w:rsid w:val="004E5D82"/>
    <w:rsid w:val="004F0598"/>
    <w:rsid w:val="004F1C44"/>
    <w:rsid w:val="004F68AE"/>
    <w:rsid w:val="004F7B2F"/>
    <w:rsid w:val="0050294C"/>
    <w:rsid w:val="00510DB0"/>
    <w:rsid w:val="005150D2"/>
    <w:rsid w:val="00521D49"/>
    <w:rsid w:val="005220F2"/>
    <w:rsid w:val="00523ADD"/>
    <w:rsid w:val="0052548A"/>
    <w:rsid w:val="00531443"/>
    <w:rsid w:val="00531520"/>
    <w:rsid w:val="00533ECE"/>
    <w:rsid w:val="00536C9C"/>
    <w:rsid w:val="005420AD"/>
    <w:rsid w:val="005424B7"/>
    <w:rsid w:val="005461B2"/>
    <w:rsid w:val="00546A16"/>
    <w:rsid w:val="0055354D"/>
    <w:rsid w:val="005538EF"/>
    <w:rsid w:val="00554C3B"/>
    <w:rsid w:val="00554DAB"/>
    <w:rsid w:val="00555574"/>
    <w:rsid w:val="00557B16"/>
    <w:rsid w:val="00557E84"/>
    <w:rsid w:val="00561CA4"/>
    <w:rsid w:val="00563DC5"/>
    <w:rsid w:val="005670DC"/>
    <w:rsid w:val="00573F7C"/>
    <w:rsid w:val="0057443F"/>
    <w:rsid w:val="00577089"/>
    <w:rsid w:val="0057732C"/>
    <w:rsid w:val="0058078A"/>
    <w:rsid w:val="00581AC8"/>
    <w:rsid w:val="00582961"/>
    <w:rsid w:val="00584418"/>
    <w:rsid w:val="00585839"/>
    <w:rsid w:val="00585CE4"/>
    <w:rsid w:val="00590638"/>
    <w:rsid w:val="00590805"/>
    <w:rsid w:val="00591E4B"/>
    <w:rsid w:val="00593398"/>
    <w:rsid w:val="0059724D"/>
    <w:rsid w:val="00597354"/>
    <w:rsid w:val="005A0146"/>
    <w:rsid w:val="005A017D"/>
    <w:rsid w:val="005A113F"/>
    <w:rsid w:val="005A4A5C"/>
    <w:rsid w:val="005A505E"/>
    <w:rsid w:val="005B154E"/>
    <w:rsid w:val="005B2164"/>
    <w:rsid w:val="005B2BF6"/>
    <w:rsid w:val="005B33D4"/>
    <w:rsid w:val="005B69EB"/>
    <w:rsid w:val="005C442E"/>
    <w:rsid w:val="005C562F"/>
    <w:rsid w:val="005C56DF"/>
    <w:rsid w:val="005C7E6D"/>
    <w:rsid w:val="005D0408"/>
    <w:rsid w:val="005D4B57"/>
    <w:rsid w:val="005D5AAC"/>
    <w:rsid w:val="005D69DB"/>
    <w:rsid w:val="005D7200"/>
    <w:rsid w:val="005E0442"/>
    <w:rsid w:val="005E4400"/>
    <w:rsid w:val="005E654C"/>
    <w:rsid w:val="005E70F2"/>
    <w:rsid w:val="005E7383"/>
    <w:rsid w:val="005F2CFA"/>
    <w:rsid w:val="005F5EF0"/>
    <w:rsid w:val="005F6CF6"/>
    <w:rsid w:val="00601A8A"/>
    <w:rsid w:val="0060592D"/>
    <w:rsid w:val="006062EC"/>
    <w:rsid w:val="00611BB0"/>
    <w:rsid w:val="006125A6"/>
    <w:rsid w:val="006125C9"/>
    <w:rsid w:val="00613EEC"/>
    <w:rsid w:val="0061475A"/>
    <w:rsid w:val="00622EB5"/>
    <w:rsid w:val="00624181"/>
    <w:rsid w:val="00626901"/>
    <w:rsid w:val="00626D1A"/>
    <w:rsid w:val="006276B2"/>
    <w:rsid w:val="00630A4B"/>
    <w:rsid w:val="00634829"/>
    <w:rsid w:val="0063523A"/>
    <w:rsid w:val="006360AB"/>
    <w:rsid w:val="00636477"/>
    <w:rsid w:val="00637D19"/>
    <w:rsid w:val="00637D69"/>
    <w:rsid w:val="00640158"/>
    <w:rsid w:val="0064042A"/>
    <w:rsid w:val="00640616"/>
    <w:rsid w:val="0064312E"/>
    <w:rsid w:val="00645263"/>
    <w:rsid w:val="0064588D"/>
    <w:rsid w:val="0064676D"/>
    <w:rsid w:val="00650257"/>
    <w:rsid w:val="00651034"/>
    <w:rsid w:val="006550B2"/>
    <w:rsid w:val="00655AFB"/>
    <w:rsid w:val="00655D34"/>
    <w:rsid w:val="0066478F"/>
    <w:rsid w:val="00664AA5"/>
    <w:rsid w:val="00664EC0"/>
    <w:rsid w:val="00666663"/>
    <w:rsid w:val="00667966"/>
    <w:rsid w:val="00670326"/>
    <w:rsid w:val="00671E91"/>
    <w:rsid w:val="00671F0E"/>
    <w:rsid w:val="00672116"/>
    <w:rsid w:val="006726C0"/>
    <w:rsid w:val="00677F7B"/>
    <w:rsid w:val="006821DF"/>
    <w:rsid w:val="00682EA4"/>
    <w:rsid w:val="00683F35"/>
    <w:rsid w:val="00692C77"/>
    <w:rsid w:val="00696AC8"/>
    <w:rsid w:val="006A4751"/>
    <w:rsid w:val="006A7D72"/>
    <w:rsid w:val="006B1549"/>
    <w:rsid w:val="006B1CE7"/>
    <w:rsid w:val="006B2412"/>
    <w:rsid w:val="006B24E8"/>
    <w:rsid w:val="006B2F5D"/>
    <w:rsid w:val="006B44FB"/>
    <w:rsid w:val="006B599E"/>
    <w:rsid w:val="006B5A09"/>
    <w:rsid w:val="006B5C2D"/>
    <w:rsid w:val="006C085E"/>
    <w:rsid w:val="006C130D"/>
    <w:rsid w:val="006C72D7"/>
    <w:rsid w:val="006D1828"/>
    <w:rsid w:val="006D1AE6"/>
    <w:rsid w:val="006D3390"/>
    <w:rsid w:val="006D7283"/>
    <w:rsid w:val="006D745A"/>
    <w:rsid w:val="006D7B98"/>
    <w:rsid w:val="006E431D"/>
    <w:rsid w:val="006E5940"/>
    <w:rsid w:val="006F013D"/>
    <w:rsid w:val="006F17E1"/>
    <w:rsid w:val="006F348F"/>
    <w:rsid w:val="006F427F"/>
    <w:rsid w:val="006F6EDC"/>
    <w:rsid w:val="0070164A"/>
    <w:rsid w:val="0070230B"/>
    <w:rsid w:val="00702327"/>
    <w:rsid w:val="007044C2"/>
    <w:rsid w:val="007050B3"/>
    <w:rsid w:val="00706045"/>
    <w:rsid w:val="00706F6B"/>
    <w:rsid w:val="007077F9"/>
    <w:rsid w:val="00713257"/>
    <w:rsid w:val="00713A4B"/>
    <w:rsid w:val="007148AF"/>
    <w:rsid w:val="00715558"/>
    <w:rsid w:val="00715E95"/>
    <w:rsid w:val="007238BA"/>
    <w:rsid w:val="007257F7"/>
    <w:rsid w:val="00727546"/>
    <w:rsid w:val="0073044F"/>
    <w:rsid w:val="0073048F"/>
    <w:rsid w:val="007308EE"/>
    <w:rsid w:val="00731B84"/>
    <w:rsid w:val="00731E35"/>
    <w:rsid w:val="00732C84"/>
    <w:rsid w:val="0073427C"/>
    <w:rsid w:val="00735434"/>
    <w:rsid w:val="00735D0B"/>
    <w:rsid w:val="0073622F"/>
    <w:rsid w:val="00740F99"/>
    <w:rsid w:val="00744D9F"/>
    <w:rsid w:val="007466C7"/>
    <w:rsid w:val="00750878"/>
    <w:rsid w:val="007512E9"/>
    <w:rsid w:val="007562CB"/>
    <w:rsid w:val="007573F5"/>
    <w:rsid w:val="007618E5"/>
    <w:rsid w:val="0076203B"/>
    <w:rsid w:val="0076276F"/>
    <w:rsid w:val="00762E89"/>
    <w:rsid w:val="00767AF7"/>
    <w:rsid w:val="00770227"/>
    <w:rsid w:val="00772ABD"/>
    <w:rsid w:val="00776E67"/>
    <w:rsid w:val="00777F74"/>
    <w:rsid w:val="00781996"/>
    <w:rsid w:val="0078297E"/>
    <w:rsid w:val="00783B90"/>
    <w:rsid w:val="00785677"/>
    <w:rsid w:val="00785E6A"/>
    <w:rsid w:val="007906A6"/>
    <w:rsid w:val="00793FE0"/>
    <w:rsid w:val="007951ED"/>
    <w:rsid w:val="00795380"/>
    <w:rsid w:val="007957F5"/>
    <w:rsid w:val="007A2D8C"/>
    <w:rsid w:val="007A38F4"/>
    <w:rsid w:val="007A441D"/>
    <w:rsid w:val="007A453D"/>
    <w:rsid w:val="007A6F42"/>
    <w:rsid w:val="007B7272"/>
    <w:rsid w:val="007B7456"/>
    <w:rsid w:val="007C01FE"/>
    <w:rsid w:val="007C557E"/>
    <w:rsid w:val="007C7775"/>
    <w:rsid w:val="007C7E8F"/>
    <w:rsid w:val="007D1349"/>
    <w:rsid w:val="007D153D"/>
    <w:rsid w:val="007D24D1"/>
    <w:rsid w:val="007D269F"/>
    <w:rsid w:val="007D4320"/>
    <w:rsid w:val="007D5577"/>
    <w:rsid w:val="007D74DF"/>
    <w:rsid w:val="007E19DD"/>
    <w:rsid w:val="007E3DE7"/>
    <w:rsid w:val="007E73F1"/>
    <w:rsid w:val="007E7F41"/>
    <w:rsid w:val="007F16EB"/>
    <w:rsid w:val="007F4762"/>
    <w:rsid w:val="007F4CFC"/>
    <w:rsid w:val="007F57BA"/>
    <w:rsid w:val="007F68F1"/>
    <w:rsid w:val="007F6EBE"/>
    <w:rsid w:val="00800F45"/>
    <w:rsid w:val="0081019B"/>
    <w:rsid w:val="008110ED"/>
    <w:rsid w:val="008124DD"/>
    <w:rsid w:val="00815FEA"/>
    <w:rsid w:val="0081782D"/>
    <w:rsid w:val="008206B2"/>
    <w:rsid w:val="00820DC8"/>
    <w:rsid w:val="008213A5"/>
    <w:rsid w:val="00822640"/>
    <w:rsid w:val="00822F5E"/>
    <w:rsid w:val="00823ACC"/>
    <w:rsid w:val="0082420A"/>
    <w:rsid w:val="00824D95"/>
    <w:rsid w:val="00825429"/>
    <w:rsid w:val="00825FDF"/>
    <w:rsid w:val="00826593"/>
    <w:rsid w:val="0082747E"/>
    <w:rsid w:val="00832DEC"/>
    <w:rsid w:val="0083610C"/>
    <w:rsid w:val="0084175B"/>
    <w:rsid w:val="00850EC0"/>
    <w:rsid w:val="00851C06"/>
    <w:rsid w:val="00853C82"/>
    <w:rsid w:val="00854FFF"/>
    <w:rsid w:val="008556B0"/>
    <w:rsid w:val="008571DD"/>
    <w:rsid w:val="0085740C"/>
    <w:rsid w:val="00857781"/>
    <w:rsid w:val="00857A6D"/>
    <w:rsid w:val="00860760"/>
    <w:rsid w:val="008632DF"/>
    <w:rsid w:val="00864520"/>
    <w:rsid w:val="00866361"/>
    <w:rsid w:val="00870598"/>
    <w:rsid w:val="008728A3"/>
    <w:rsid w:val="008740D3"/>
    <w:rsid w:val="00875188"/>
    <w:rsid w:val="00877756"/>
    <w:rsid w:val="008841D3"/>
    <w:rsid w:val="008846BA"/>
    <w:rsid w:val="008846F7"/>
    <w:rsid w:val="008855B3"/>
    <w:rsid w:val="00886912"/>
    <w:rsid w:val="0089197F"/>
    <w:rsid w:val="008932A2"/>
    <w:rsid w:val="00893668"/>
    <w:rsid w:val="00896B8E"/>
    <w:rsid w:val="008970A3"/>
    <w:rsid w:val="00897645"/>
    <w:rsid w:val="008A1393"/>
    <w:rsid w:val="008A3CCA"/>
    <w:rsid w:val="008A5059"/>
    <w:rsid w:val="008A7006"/>
    <w:rsid w:val="008B10C3"/>
    <w:rsid w:val="008B137C"/>
    <w:rsid w:val="008B14E6"/>
    <w:rsid w:val="008B540E"/>
    <w:rsid w:val="008B5CF0"/>
    <w:rsid w:val="008C358C"/>
    <w:rsid w:val="008C429C"/>
    <w:rsid w:val="008C5161"/>
    <w:rsid w:val="008D0706"/>
    <w:rsid w:val="008D1A49"/>
    <w:rsid w:val="008D22B6"/>
    <w:rsid w:val="008D34AE"/>
    <w:rsid w:val="008D7FA8"/>
    <w:rsid w:val="008E00F2"/>
    <w:rsid w:val="008E2EDF"/>
    <w:rsid w:val="008E5098"/>
    <w:rsid w:val="008F0E1D"/>
    <w:rsid w:val="008F0F86"/>
    <w:rsid w:val="008F4AF4"/>
    <w:rsid w:val="008F75D8"/>
    <w:rsid w:val="00902AA5"/>
    <w:rsid w:val="0091114B"/>
    <w:rsid w:val="00912A14"/>
    <w:rsid w:val="00912C05"/>
    <w:rsid w:val="00916C53"/>
    <w:rsid w:val="009220EF"/>
    <w:rsid w:val="00923303"/>
    <w:rsid w:val="00924125"/>
    <w:rsid w:val="00924250"/>
    <w:rsid w:val="0093021D"/>
    <w:rsid w:val="00932032"/>
    <w:rsid w:val="00934A65"/>
    <w:rsid w:val="00940AB0"/>
    <w:rsid w:val="009439D3"/>
    <w:rsid w:val="00944A58"/>
    <w:rsid w:val="00946A51"/>
    <w:rsid w:val="00950DFC"/>
    <w:rsid w:val="009527AF"/>
    <w:rsid w:val="00952ACC"/>
    <w:rsid w:val="00953199"/>
    <w:rsid w:val="009539DB"/>
    <w:rsid w:val="009578A7"/>
    <w:rsid w:val="0096217E"/>
    <w:rsid w:val="009638DC"/>
    <w:rsid w:val="00964876"/>
    <w:rsid w:val="00971F84"/>
    <w:rsid w:val="00981A45"/>
    <w:rsid w:val="00984A2A"/>
    <w:rsid w:val="009873D1"/>
    <w:rsid w:val="00991883"/>
    <w:rsid w:val="00993DBB"/>
    <w:rsid w:val="009960AF"/>
    <w:rsid w:val="009A0A9A"/>
    <w:rsid w:val="009A215A"/>
    <w:rsid w:val="009A4582"/>
    <w:rsid w:val="009B060C"/>
    <w:rsid w:val="009B2A5E"/>
    <w:rsid w:val="009B2D39"/>
    <w:rsid w:val="009B64ED"/>
    <w:rsid w:val="009C13B7"/>
    <w:rsid w:val="009C3080"/>
    <w:rsid w:val="009C694E"/>
    <w:rsid w:val="009D012D"/>
    <w:rsid w:val="009D2819"/>
    <w:rsid w:val="009D2B7B"/>
    <w:rsid w:val="009D3755"/>
    <w:rsid w:val="009D633E"/>
    <w:rsid w:val="009D7238"/>
    <w:rsid w:val="009E1E4E"/>
    <w:rsid w:val="009E3954"/>
    <w:rsid w:val="009F167C"/>
    <w:rsid w:val="009F39C0"/>
    <w:rsid w:val="009F4D12"/>
    <w:rsid w:val="00A0495A"/>
    <w:rsid w:val="00A0744E"/>
    <w:rsid w:val="00A07508"/>
    <w:rsid w:val="00A1065E"/>
    <w:rsid w:val="00A12788"/>
    <w:rsid w:val="00A143E7"/>
    <w:rsid w:val="00A17D54"/>
    <w:rsid w:val="00A245A5"/>
    <w:rsid w:val="00A254D9"/>
    <w:rsid w:val="00A258EC"/>
    <w:rsid w:val="00A25D6A"/>
    <w:rsid w:val="00A265FA"/>
    <w:rsid w:val="00A311BB"/>
    <w:rsid w:val="00A31553"/>
    <w:rsid w:val="00A33C55"/>
    <w:rsid w:val="00A3535A"/>
    <w:rsid w:val="00A358DF"/>
    <w:rsid w:val="00A42F56"/>
    <w:rsid w:val="00A45254"/>
    <w:rsid w:val="00A47280"/>
    <w:rsid w:val="00A5294E"/>
    <w:rsid w:val="00A53486"/>
    <w:rsid w:val="00A56BE4"/>
    <w:rsid w:val="00A57195"/>
    <w:rsid w:val="00A6104B"/>
    <w:rsid w:val="00A63B24"/>
    <w:rsid w:val="00A64033"/>
    <w:rsid w:val="00A649D4"/>
    <w:rsid w:val="00A65989"/>
    <w:rsid w:val="00A665A1"/>
    <w:rsid w:val="00A67A52"/>
    <w:rsid w:val="00A67B3B"/>
    <w:rsid w:val="00A7154D"/>
    <w:rsid w:val="00A74A52"/>
    <w:rsid w:val="00A75462"/>
    <w:rsid w:val="00A7671F"/>
    <w:rsid w:val="00A76991"/>
    <w:rsid w:val="00A77327"/>
    <w:rsid w:val="00A80C7A"/>
    <w:rsid w:val="00A81404"/>
    <w:rsid w:val="00A81BF3"/>
    <w:rsid w:val="00A822EE"/>
    <w:rsid w:val="00A853A0"/>
    <w:rsid w:val="00A901D0"/>
    <w:rsid w:val="00A90A8C"/>
    <w:rsid w:val="00A92260"/>
    <w:rsid w:val="00A935F3"/>
    <w:rsid w:val="00A96A60"/>
    <w:rsid w:val="00AA0879"/>
    <w:rsid w:val="00AA2B95"/>
    <w:rsid w:val="00AA34B5"/>
    <w:rsid w:val="00AA4358"/>
    <w:rsid w:val="00AA4397"/>
    <w:rsid w:val="00AA591F"/>
    <w:rsid w:val="00AA5F5A"/>
    <w:rsid w:val="00AB0838"/>
    <w:rsid w:val="00AB12DC"/>
    <w:rsid w:val="00AB15A4"/>
    <w:rsid w:val="00AB4377"/>
    <w:rsid w:val="00AB5E24"/>
    <w:rsid w:val="00AB63BA"/>
    <w:rsid w:val="00AC220B"/>
    <w:rsid w:val="00AC3A44"/>
    <w:rsid w:val="00AC5022"/>
    <w:rsid w:val="00AC670B"/>
    <w:rsid w:val="00AC6E29"/>
    <w:rsid w:val="00AD0A2E"/>
    <w:rsid w:val="00AD2311"/>
    <w:rsid w:val="00AD3464"/>
    <w:rsid w:val="00AD3A0A"/>
    <w:rsid w:val="00AE0593"/>
    <w:rsid w:val="00AE0B6C"/>
    <w:rsid w:val="00AE1056"/>
    <w:rsid w:val="00AE1866"/>
    <w:rsid w:val="00AE53A3"/>
    <w:rsid w:val="00AE5414"/>
    <w:rsid w:val="00AE6020"/>
    <w:rsid w:val="00AE729C"/>
    <w:rsid w:val="00AF53C6"/>
    <w:rsid w:val="00B076E7"/>
    <w:rsid w:val="00B10470"/>
    <w:rsid w:val="00B12808"/>
    <w:rsid w:val="00B172ED"/>
    <w:rsid w:val="00B172F3"/>
    <w:rsid w:val="00B2301E"/>
    <w:rsid w:val="00B25C8E"/>
    <w:rsid w:val="00B26986"/>
    <w:rsid w:val="00B312C0"/>
    <w:rsid w:val="00B3157E"/>
    <w:rsid w:val="00B3511E"/>
    <w:rsid w:val="00B3547F"/>
    <w:rsid w:val="00B377EA"/>
    <w:rsid w:val="00B379AA"/>
    <w:rsid w:val="00B40736"/>
    <w:rsid w:val="00B42B75"/>
    <w:rsid w:val="00B44BE9"/>
    <w:rsid w:val="00B44CEE"/>
    <w:rsid w:val="00B47B7B"/>
    <w:rsid w:val="00B5121C"/>
    <w:rsid w:val="00B52202"/>
    <w:rsid w:val="00B52DF0"/>
    <w:rsid w:val="00B53DF1"/>
    <w:rsid w:val="00B5511B"/>
    <w:rsid w:val="00B5692E"/>
    <w:rsid w:val="00B629E1"/>
    <w:rsid w:val="00B62DCC"/>
    <w:rsid w:val="00B65FA5"/>
    <w:rsid w:val="00B70A02"/>
    <w:rsid w:val="00B70D2F"/>
    <w:rsid w:val="00B716CF"/>
    <w:rsid w:val="00B73B34"/>
    <w:rsid w:val="00B75C07"/>
    <w:rsid w:val="00B81D6E"/>
    <w:rsid w:val="00B829D8"/>
    <w:rsid w:val="00B839D8"/>
    <w:rsid w:val="00B84306"/>
    <w:rsid w:val="00B8468F"/>
    <w:rsid w:val="00B84BD1"/>
    <w:rsid w:val="00B87855"/>
    <w:rsid w:val="00B9170A"/>
    <w:rsid w:val="00B9185F"/>
    <w:rsid w:val="00B928AA"/>
    <w:rsid w:val="00B92B68"/>
    <w:rsid w:val="00B932B0"/>
    <w:rsid w:val="00B9592B"/>
    <w:rsid w:val="00B95E09"/>
    <w:rsid w:val="00B95E23"/>
    <w:rsid w:val="00B96A97"/>
    <w:rsid w:val="00BA0354"/>
    <w:rsid w:val="00BA06AB"/>
    <w:rsid w:val="00BA1306"/>
    <w:rsid w:val="00BA28CC"/>
    <w:rsid w:val="00BA337A"/>
    <w:rsid w:val="00BA3C49"/>
    <w:rsid w:val="00BA46D5"/>
    <w:rsid w:val="00BA5FB0"/>
    <w:rsid w:val="00BA649F"/>
    <w:rsid w:val="00BB03FE"/>
    <w:rsid w:val="00BB1673"/>
    <w:rsid w:val="00BB45B5"/>
    <w:rsid w:val="00BB5021"/>
    <w:rsid w:val="00BB598D"/>
    <w:rsid w:val="00BB6286"/>
    <w:rsid w:val="00BC15C9"/>
    <w:rsid w:val="00BC4202"/>
    <w:rsid w:val="00BC46AB"/>
    <w:rsid w:val="00BC535D"/>
    <w:rsid w:val="00BC7B68"/>
    <w:rsid w:val="00BD3D52"/>
    <w:rsid w:val="00BD4CE6"/>
    <w:rsid w:val="00BD5557"/>
    <w:rsid w:val="00BD5C9C"/>
    <w:rsid w:val="00BD668A"/>
    <w:rsid w:val="00BD7A7C"/>
    <w:rsid w:val="00BD7C3C"/>
    <w:rsid w:val="00BE39F2"/>
    <w:rsid w:val="00BE6141"/>
    <w:rsid w:val="00BF03A8"/>
    <w:rsid w:val="00BF31B4"/>
    <w:rsid w:val="00BF3F8C"/>
    <w:rsid w:val="00BF4305"/>
    <w:rsid w:val="00BF4AD7"/>
    <w:rsid w:val="00BF7D74"/>
    <w:rsid w:val="00C048FC"/>
    <w:rsid w:val="00C074F8"/>
    <w:rsid w:val="00C07B28"/>
    <w:rsid w:val="00C112D4"/>
    <w:rsid w:val="00C11C37"/>
    <w:rsid w:val="00C129CD"/>
    <w:rsid w:val="00C13977"/>
    <w:rsid w:val="00C14336"/>
    <w:rsid w:val="00C14A0F"/>
    <w:rsid w:val="00C15E9B"/>
    <w:rsid w:val="00C16609"/>
    <w:rsid w:val="00C21513"/>
    <w:rsid w:val="00C22811"/>
    <w:rsid w:val="00C27864"/>
    <w:rsid w:val="00C302B2"/>
    <w:rsid w:val="00C312CE"/>
    <w:rsid w:val="00C32DD1"/>
    <w:rsid w:val="00C33BC2"/>
    <w:rsid w:val="00C34D4A"/>
    <w:rsid w:val="00C35978"/>
    <w:rsid w:val="00C368A4"/>
    <w:rsid w:val="00C36ABA"/>
    <w:rsid w:val="00C36F17"/>
    <w:rsid w:val="00C40CE0"/>
    <w:rsid w:val="00C418B8"/>
    <w:rsid w:val="00C44056"/>
    <w:rsid w:val="00C4488D"/>
    <w:rsid w:val="00C461F5"/>
    <w:rsid w:val="00C4717E"/>
    <w:rsid w:val="00C51A88"/>
    <w:rsid w:val="00C522FD"/>
    <w:rsid w:val="00C52449"/>
    <w:rsid w:val="00C528AC"/>
    <w:rsid w:val="00C53265"/>
    <w:rsid w:val="00C5444A"/>
    <w:rsid w:val="00C54E1B"/>
    <w:rsid w:val="00C55EF2"/>
    <w:rsid w:val="00C57BD1"/>
    <w:rsid w:val="00C605B4"/>
    <w:rsid w:val="00C629EC"/>
    <w:rsid w:val="00C65245"/>
    <w:rsid w:val="00C65E12"/>
    <w:rsid w:val="00C663EF"/>
    <w:rsid w:val="00C67A9A"/>
    <w:rsid w:val="00C71546"/>
    <w:rsid w:val="00C71CAA"/>
    <w:rsid w:val="00C71E67"/>
    <w:rsid w:val="00C725F3"/>
    <w:rsid w:val="00C731B0"/>
    <w:rsid w:val="00C73912"/>
    <w:rsid w:val="00C739A6"/>
    <w:rsid w:val="00C73D57"/>
    <w:rsid w:val="00C74E36"/>
    <w:rsid w:val="00C81316"/>
    <w:rsid w:val="00C918AC"/>
    <w:rsid w:val="00C954E1"/>
    <w:rsid w:val="00CA1A5E"/>
    <w:rsid w:val="00CA7AA9"/>
    <w:rsid w:val="00CB1B5E"/>
    <w:rsid w:val="00CB1D59"/>
    <w:rsid w:val="00CB3FFD"/>
    <w:rsid w:val="00CB6561"/>
    <w:rsid w:val="00CB6BFF"/>
    <w:rsid w:val="00CC0A98"/>
    <w:rsid w:val="00CC52C4"/>
    <w:rsid w:val="00CC5609"/>
    <w:rsid w:val="00CC5AA4"/>
    <w:rsid w:val="00CC5AF9"/>
    <w:rsid w:val="00CC6100"/>
    <w:rsid w:val="00CC6E4C"/>
    <w:rsid w:val="00CC6FA1"/>
    <w:rsid w:val="00CC7064"/>
    <w:rsid w:val="00CD0647"/>
    <w:rsid w:val="00CD14F1"/>
    <w:rsid w:val="00CD2392"/>
    <w:rsid w:val="00CD6F0C"/>
    <w:rsid w:val="00CD6FF8"/>
    <w:rsid w:val="00CD7844"/>
    <w:rsid w:val="00CE02DF"/>
    <w:rsid w:val="00CE0B16"/>
    <w:rsid w:val="00CE5A50"/>
    <w:rsid w:val="00CF0666"/>
    <w:rsid w:val="00CF0AB3"/>
    <w:rsid w:val="00CF3AA8"/>
    <w:rsid w:val="00CF4831"/>
    <w:rsid w:val="00D0058F"/>
    <w:rsid w:val="00D02EB6"/>
    <w:rsid w:val="00D062C2"/>
    <w:rsid w:val="00D06D1D"/>
    <w:rsid w:val="00D101A1"/>
    <w:rsid w:val="00D102E7"/>
    <w:rsid w:val="00D1184D"/>
    <w:rsid w:val="00D130B0"/>
    <w:rsid w:val="00D13A96"/>
    <w:rsid w:val="00D1446F"/>
    <w:rsid w:val="00D145EA"/>
    <w:rsid w:val="00D146CC"/>
    <w:rsid w:val="00D153E9"/>
    <w:rsid w:val="00D1606E"/>
    <w:rsid w:val="00D1608C"/>
    <w:rsid w:val="00D20962"/>
    <w:rsid w:val="00D227C6"/>
    <w:rsid w:val="00D23144"/>
    <w:rsid w:val="00D24925"/>
    <w:rsid w:val="00D250B3"/>
    <w:rsid w:val="00D256D5"/>
    <w:rsid w:val="00D271AE"/>
    <w:rsid w:val="00D30320"/>
    <w:rsid w:val="00D309D5"/>
    <w:rsid w:val="00D30F70"/>
    <w:rsid w:val="00D31508"/>
    <w:rsid w:val="00D31E4C"/>
    <w:rsid w:val="00D327F0"/>
    <w:rsid w:val="00D371B9"/>
    <w:rsid w:val="00D3732F"/>
    <w:rsid w:val="00D41515"/>
    <w:rsid w:val="00D424A1"/>
    <w:rsid w:val="00D42AA9"/>
    <w:rsid w:val="00D43C01"/>
    <w:rsid w:val="00D4413A"/>
    <w:rsid w:val="00D44321"/>
    <w:rsid w:val="00D4635B"/>
    <w:rsid w:val="00D4766D"/>
    <w:rsid w:val="00D47803"/>
    <w:rsid w:val="00D51D34"/>
    <w:rsid w:val="00D535F8"/>
    <w:rsid w:val="00D54576"/>
    <w:rsid w:val="00D57EAC"/>
    <w:rsid w:val="00D6213A"/>
    <w:rsid w:val="00D623EC"/>
    <w:rsid w:val="00D64F50"/>
    <w:rsid w:val="00D6605C"/>
    <w:rsid w:val="00D67A85"/>
    <w:rsid w:val="00D70118"/>
    <w:rsid w:val="00D71FC8"/>
    <w:rsid w:val="00D727BB"/>
    <w:rsid w:val="00D743B0"/>
    <w:rsid w:val="00D7530D"/>
    <w:rsid w:val="00D75A29"/>
    <w:rsid w:val="00D7649A"/>
    <w:rsid w:val="00D81950"/>
    <w:rsid w:val="00D83404"/>
    <w:rsid w:val="00D84428"/>
    <w:rsid w:val="00D845C7"/>
    <w:rsid w:val="00D90687"/>
    <w:rsid w:val="00D9119D"/>
    <w:rsid w:val="00D9169C"/>
    <w:rsid w:val="00D916C5"/>
    <w:rsid w:val="00DA188A"/>
    <w:rsid w:val="00DA4339"/>
    <w:rsid w:val="00DA78DE"/>
    <w:rsid w:val="00DB1F9A"/>
    <w:rsid w:val="00DB3287"/>
    <w:rsid w:val="00DB330F"/>
    <w:rsid w:val="00DC082D"/>
    <w:rsid w:val="00DC0F8F"/>
    <w:rsid w:val="00DC1BB1"/>
    <w:rsid w:val="00DC1CA2"/>
    <w:rsid w:val="00DC29EC"/>
    <w:rsid w:val="00DC4A52"/>
    <w:rsid w:val="00DC4EA3"/>
    <w:rsid w:val="00DC65CC"/>
    <w:rsid w:val="00DC7829"/>
    <w:rsid w:val="00DC7D81"/>
    <w:rsid w:val="00DD07E3"/>
    <w:rsid w:val="00DD1CD8"/>
    <w:rsid w:val="00DD4CFB"/>
    <w:rsid w:val="00DD6E27"/>
    <w:rsid w:val="00DE0E2D"/>
    <w:rsid w:val="00DE1088"/>
    <w:rsid w:val="00DE434F"/>
    <w:rsid w:val="00DF0852"/>
    <w:rsid w:val="00DF1B55"/>
    <w:rsid w:val="00DF2CFA"/>
    <w:rsid w:val="00DF32CF"/>
    <w:rsid w:val="00E02181"/>
    <w:rsid w:val="00E044BF"/>
    <w:rsid w:val="00E058BA"/>
    <w:rsid w:val="00E113E9"/>
    <w:rsid w:val="00E13C58"/>
    <w:rsid w:val="00E13F02"/>
    <w:rsid w:val="00E1416C"/>
    <w:rsid w:val="00E143F9"/>
    <w:rsid w:val="00E145A5"/>
    <w:rsid w:val="00E17726"/>
    <w:rsid w:val="00E21F7A"/>
    <w:rsid w:val="00E30C28"/>
    <w:rsid w:val="00E3268E"/>
    <w:rsid w:val="00E36488"/>
    <w:rsid w:val="00E367EE"/>
    <w:rsid w:val="00E36D7E"/>
    <w:rsid w:val="00E40D00"/>
    <w:rsid w:val="00E42894"/>
    <w:rsid w:val="00E44182"/>
    <w:rsid w:val="00E53DA4"/>
    <w:rsid w:val="00E54D7B"/>
    <w:rsid w:val="00E564A2"/>
    <w:rsid w:val="00E614C9"/>
    <w:rsid w:val="00E630D3"/>
    <w:rsid w:val="00E65C3B"/>
    <w:rsid w:val="00E666A4"/>
    <w:rsid w:val="00E739B0"/>
    <w:rsid w:val="00E76C3F"/>
    <w:rsid w:val="00E81FF8"/>
    <w:rsid w:val="00E8385E"/>
    <w:rsid w:val="00E90AE0"/>
    <w:rsid w:val="00E93CD9"/>
    <w:rsid w:val="00E948D1"/>
    <w:rsid w:val="00E95712"/>
    <w:rsid w:val="00E97531"/>
    <w:rsid w:val="00EA0E0B"/>
    <w:rsid w:val="00EA367E"/>
    <w:rsid w:val="00EA6588"/>
    <w:rsid w:val="00EB0297"/>
    <w:rsid w:val="00EB297F"/>
    <w:rsid w:val="00EB3731"/>
    <w:rsid w:val="00EB7DE9"/>
    <w:rsid w:val="00EC0A78"/>
    <w:rsid w:val="00EC6BF7"/>
    <w:rsid w:val="00EC744B"/>
    <w:rsid w:val="00ED1874"/>
    <w:rsid w:val="00ED32AB"/>
    <w:rsid w:val="00ED3A04"/>
    <w:rsid w:val="00ED3C7A"/>
    <w:rsid w:val="00ED6252"/>
    <w:rsid w:val="00EE0E21"/>
    <w:rsid w:val="00EE2FF1"/>
    <w:rsid w:val="00EE5352"/>
    <w:rsid w:val="00EE6902"/>
    <w:rsid w:val="00EE7F36"/>
    <w:rsid w:val="00EF1034"/>
    <w:rsid w:val="00EF105E"/>
    <w:rsid w:val="00EF21FC"/>
    <w:rsid w:val="00EF231B"/>
    <w:rsid w:val="00EF405F"/>
    <w:rsid w:val="00EF46EA"/>
    <w:rsid w:val="00EF49BB"/>
    <w:rsid w:val="00EF4C72"/>
    <w:rsid w:val="00EF4C8C"/>
    <w:rsid w:val="00F06D46"/>
    <w:rsid w:val="00F10D5C"/>
    <w:rsid w:val="00F16471"/>
    <w:rsid w:val="00F166A8"/>
    <w:rsid w:val="00F17DCD"/>
    <w:rsid w:val="00F20030"/>
    <w:rsid w:val="00F212B4"/>
    <w:rsid w:val="00F21B7E"/>
    <w:rsid w:val="00F250B7"/>
    <w:rsid w:val="00F3361D"/>
    <w:rsid w:val="00F34F67"/>
    <w:rsid w:val="00F34FB5"/>
    <w:rsid w:val="00F352AC"/>
    <w:rsid w:val="00F359BB"/>
    <w:rsid w:val="00F35B4C"/>
    <w:rsid w:val="00F4049A"/>
    <w:rsid w:val="00F40EC4"/>
    <w:rsid w:val="00F415EE"/>
    <w:rsid w:val="00F42693"/>
    <w:rsid w:val="00F448DE"/>
    <w:rsid w:val="00F5171D"/>
    <w:rsid w:val="00F5186E"/>
    <w:rsid w:val="00F53840"/>
    <w:rsid w:val="00F6027F"/>
    <w:rsid w:val="00F61D61"/>
    <w:rsid w:val="00F62274"/>
    <w:rsid w:val="00F62D50"/>
    <w:rsid w:val="00F67FED"/>
    <w:rsid w:val="00F71604"/>
    <w:rsid w:val="00F7192F"/>
    <w:rsid w:val="00F71A4D"/>
    <w:rsid w:val="00F77D38"/>
    <w:rsid w:val="00F81F4D"/>
    <w:rsid w:val="00F87701"/>
    <w:rsid w:val="00F87879"/>
    <w:rsid w:val="00F90F8B"/>
    <w:rsid w:val="00F92CAB"/>
    <w:rsid w:val="00F92EEE"/>
    <w:rsid w:val="00F94620"/>
    <w:rsid w:val="00F96CE7"/>
    <w:rsid w:val="00FA036F"/>
    <w:rsid w:val="00FA111E"/>
    <w:rsid w:val="00FA19EE"/>
    <w:rsid w:val="00FA31FF"/>
    <w:rsid w:val="00FA4642"/>
    <w:rsid w:val="00FA4AFB"/>
    <w:rsid w:val="00FA5416"/>
    <w:rsid w:val="00FA592F"/>
    <w:rsid w:val="00FA6B64"/>
    <w:rsid w:val="00FB13F5"/>
    <w:rsid w:val="00FB245B"/>
    <w:rsid w:val="00FB3555"/>
    <w:rsid w:val="00FB6836"/>
    <w:rsid w:val="00FC45D6"/>
    <w:rsid w:val="00FC7CD6"/>
    <w:rsid w:val="00FC7F82"/>
    <w:rsid w:val="00FD2508"/>
    <w:rsid w:val="00FD4C70"/>
    <w:rsid w:val="00FD7CAB"/>
    <w:rsid w:val="00FE27C3"/>
    <w:rsid w:val="00FE7D22"/>
    <w:rsid w:val="00FF089F"/>
    <w:rsid w:val="00FF2409"/>
    <w:rsid w:val="0897832F"/>
    <w:rsid w:val="1113853F"/>
    <w:rsid w:val="1FB6146F"/>
    <w:rsid w:val="2310FC1E"/>
    <w:rsid w:val="2866DDD3"/>
    <w:rsid w:val="31ED584F"/>
    <w:rsid w:val="46E61A2F"/>
    <w:rsid w:val="512690F8"/>
    <w:rsid w:val="544D73CD"/>
    <w:rsid w:val="5DCF325C"/>
    <w:rsid w:val="64C202E7"/>
    <w:rsid w:val="64F79A72"/>
    <w:rsid w:val="785C6F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DCBAB"/>
  <w15:chartTrackingRefBased/>
  <w15:docId w15:val="{326B370C-B3BD-4409-ADF8-8F2B201A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08"/>
    <w:rPr>
      <w:sz w:val="24"/>
    </w:rPr>
  </w:style>
  <w:style w:type="paragraph" w:styleId="Heading1">
    <w:name w:val="heading 1"/>
    <w:basedOn w:val="Normal"/>
    <w:next w:val="Normal"/>
    <w:link w:val="Heading1Char"/>
    <w:uiPriority w:val="9"/>
    <w:qFormat/>
    <w:rsid w:val="00467A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6A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1DB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CC52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A9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C364F"/>
    <w:pPr>
      <w:ind w:left="720"/>
      <w:contextualSpacing/>
    </w:pPr>
  </w:style>
  <w:style w:type="paragraph" w:styleId="FootnoteText">
    <w:name w:val="footnote text"/>
    <w:basedOn w:val="Normal"/>
    <w:link w:val="FootnoteTextChar"/>
    <w:uiPriority w:val="99"/>
    <w:semiHidden/>
    <w:unhideWhenUsed/>
    <w:rsid w:val="00C725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5F3"/>
    <w:rPr>
      <w:sz w:val="20"/>
      <w:szCs w:val="20"/>
    </w:rPr>
  </w:style>
  <w:style w:type="character" w:styleId="FootnoteReference">
    <w:name w:val="footnote reference"/>
    <w:basedOn w:val="DefaultParagraphFont"/>
    <w:uiPriority w:val="99"/>
    <w:semiHidden/>
    <w:unhideWhenUsed/>
    <w:rsid w:val="00C725F3"/>
    <w:rPr>
      <w:vertAlign w:val="superscript"/>
    </w:rPr>
  </w:style>
  <w:style w:type="character" w:styleId="Hyperlink">
    <w:name w:val="Hyperlink"/>
    <w:basedOn w:val="DefaultParagraphFont"/>
    <w:uiPriority w:val="99"/>
    <w:unhideWhenUsed/>
    <w:rsid w:val="00C725F3"/>
    <w:rPr>
      <w:color w:val="0563C1" w:themeColor="hyperlink"/>
      <w:u w:val="single"/>
    </w:rPr>
  </w:style>
  <w:style w:type="paragraph" w:styleId="Caption">
    <w:name w:val="caption"/>
    <w:basedOn w:val="Normal"/>
    <w:next w:val="Normal"/>
    <w:uiPriority w:val="35"/>
    <w:unhideWhenUsed/>
    <w:qFormat/>
    <w:rsid w:val="00395349"/>
    <w:pPr>
      <w:spacing w:after="200" w:line="240" w:lineRule="auto"/>
    </w:pPr>
    <w:rPr>
      <w:i/>
      <w:iCs/>
      <w:color w:val="44546A" w:themeColor="text2"/>
      <w:sz w:val="18"/>
      <w:szCs w:val="18"/>
    </w:rPr>
  </w:style>
  <w:style w:type="table" w:styleId="PlainTable1">
    <w:name w:val="Plain Table 1"/>
    <w:basedOn w:val="TableNormal"/>
    <w:uiPriority w:val="41"/>
    <w:rsid w:val="007E3D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2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6A6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B2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B88"/>
  </w:style>
  <w:style w:type="paragraph" w:styleId="Footer">
    <w:name w:val="footer"/>
    <w:basedOn w:val="Normal"/>
    <w:link w:val="FooterChar"/>
    <w:uiPriority w:val="99"/>
    <w:unhideWhenUsed/>
    <w:rsid w:val="001B2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B88"/>
  </w:style>
  <w:style w:type="character" w:styleId="CommentReference">
    <w:name w:val="annotation reference"/>
    <w:basedOn w:val="DefaultParagraphFont"/>
    <w:uiPriority w:val="99"/>
    <w:semiHidden/>
    <w:unhideWhenUsed/>
    <w:rsid w:val="008571DD"/>
    <w:rPr>
      <w:sz w:val="16"/>
      <w:szCs w:val="16"/>
    </w:rPr>
  </w:style>
  <w:style w:type="paragraph" w:styleId="CommentText">
    <w:name w:val="annotation text"/>
    <w:basedOn w:val="Normal"/>
    <w:link w:val="CommentTextChar"/>
    <w:uiPriority w:val="99"/>
    <w:unhideWhenUsed/>
    <w:rsid w:val="008571DD"/>
    <w:pPr>
      <w:spacing w:line="240" w:lineRule="auto"/>
    </w:pPr>
    <w:rPr>
      <w:sz w:val="20"/>
      <w:szCs w:val="20"/>
    </w:rPr>
  </w:style>
  <w:style w:type="character" w:customStyle="1" w:styleId="CommentTextChar">
    <w:name w:val="Comment Text Char"/>
    <w:basedOn w:val="DefaultParagraphFont"/>
    <w:link w:val="CommentText"/>
    <w:uiPriority w:val="99"/>
    <w:rsid w:val="008571DD"/>
    <w:rPr>
      <w:sz w:val="20"/>
      <w:szCs w:val="20"/>
    </w:rPr>
  </w:style>
  <w:style w:type="paragraph" w:styleId="CommentSubject">
    <w:name w:val="annotation subject"/>
    <w:basedOn w:val="CommentText"/>
    <w:next w:val="CommentText"/>
    <w:link w:val="CommentSubjectChar"/>
    <w:uiPriority w:val="99"/>
    <w:semiHidden/>
    <w:unhideWhenUsed/>
    <w:rsid w:val="008571DD"/>
    <w:rPr>
      <w:b/>
      <w:bCs/>
    </w:rPr>
  </w:style>
  <w:style w:type="character" w:customStyle="1" w:styleId="CommentSubjectChar">
    <w:name w:val="Comment Subject Char"/>
    <w:basedOn w:val="CommentTextChar"/>
    <w:link w:val="CommentSubject"/>
    <w:uiPriority w:val="99"/>
    <w:semiHidden/>
    <w:rsid w:val="008571DD"/>
    <w:rPr>
      <w:b/>
      <w:bCs/>
      <w:sz w:val="20"/>
      <w:szCs w:val="20"/>
    </w:rPr>
  </w:style>
  <w:style w:type="paragraph" w:styleId="BalloonText">
    <w:name w:val="Balloon Text"/>
    <w:basedOn w:val="Normal"/>
    <w:link w:val="BalloonTextChar"/>
    <w:uiPriority w:val="99"/>
    <w:semiHidden/>
    <w:unhideWhenUsed/>
    <w:rsid w:val="0085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DD"/>
    <w:rPr>
      <w:rFonts w:ascii="Segoe UI" w:hAnsi="Segoe UI" w:cs="Segoe UI"/>
      <w:sz w:val="18"/>
      <w:szCs w:val="18"/>
    </w:rPr>
  </w:style>
  <w:style w:type="character" w:customStyle="1" w:styleId="Heading3Char">
    <w:name w:val="Heading 3 Char"/>
    <w:basedOn w:val="DefaultParagraphFont"/>
    <w:link w:val="Heading3"/>
    <w:uiPriority w:val="9"/>
    <w:rsid w:val="004D1DB8"/>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4A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A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6A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6A77"/>
    <w:rPr>
      <w:rFonts w:eastAsiaTheme="minorEastAsia"/>
      <w:color w:val="5A5A5A" w:themeColor="text1" w:themeTint="A5"/>
      <w:spacing w:val="15"/>
    </w:rPr>
  </w:style>
  <w:style w:type="paragraph" w:styleId="TOCHeading">
    <w:name w:val="TOC Heading"/>
    <w:basedOn w:val="Heading1"/>
    <w:next w:val="Normal"/>
    <w:uiPriority w:val="39"/>
    <w:unhideWhenUsed/>
    <w:qFormat/>
    <w:rsid w:val="002917CF"/>
    <w:pPr>
      <w:outlineLvl w:val="9"/>
    </w:pPr>
    <w:rPr>
      <w:lang w:val="en-US"/>
    </w:rPr>
  </w:style>
  <w:style w:type="paragraph" w:styleId="TOC1">
    <w:name w:val="toc 1"/>
    <w:basedOn w:val="Normal"/>
    <w:next w:val="Normal"/>
    <w:autoRedefine/>
    <w:uiPriority w:val="39"/>
    <w:unhideWhenUsed/>
    <w:rsid w:val="002917CF"/>
    <w:pPr>
      <w:spacing w:after="100"/>
    </w:pPr>
  </w:style>
  <w:style w:type="paragraph" w:styleId="TOC2">
    <w:name w:val="toc 2"/>
    <w:basedOn w:val="Normal"/>
    <w:next w:val="Normal"/>
    <w:autoRedefine/>
    <w:uiPriority w:val="39"/>
    <w:unhideWhenUsed/>
    <w:rsid w:val="002917CF"/>
    <w:pPr>
      <w:spacing w:after="100"/>
      <w:ind w:left="220"/>
    </w:pPr>
  </w:style>
  <w:style w:type="paragraph" w:styleId="TOC3">
    <w:name w:val="toc 3"/>
    <w:basedOn w:val="Normal"/>
    <w:next w:val="Normal"/>
    <w:autoRedefine/>
    <w:uiPriority w:val="39"/>
    <w:unhideWhenUsed/>
    <w:rsid w:val="002917CF"/>
    <w:pPr>
      <w:spacing w:after="100"/>
      <w:ind w:left="440"/>
    </w:pPr>
  </w:style>
  <w:style w:type="paragraph" w:styleId="TableofFigures">
    <w:name w:val="table of figures"/>
    <w:basedOn w:val="Normal"/>
    <w:next w:val="Normal"/>
    <w:uiPriority w:val="99"/>
    <w:unhideWhenUsed/>
    <w:rsid w:val="002917CF"/>
    <w:pPr>
      <w:spacing w:after="0"/>
    </w:pPr>
  </w:style>
  <w:style w:type="character" w:customStyle="1" w:styleId="UnresolvedMention1">
    <w:name w:val="Unresolved Mention1"/>
    <w:basedOn w:val="DefaultParagraphFont"/>
    <w:uiPriority w:val="99"/>
    <w:semiHidden/>
    <w:unhideWhenUsed/>
    <w:rsid w:val="004C18E8"/>
    <w:rPr>
      <w:color w:val="605E5C"/>
      <w:shd w:val="clear" w:color="auto" w:fill="E1DFDD"/>
    </w:rPr>
  </w:style>
  <w:style w:type="paragraph" w:styleId="Revision">
    <w:name w:val="Revision"/>
    <w:hidden/>
    <w:uiPriority w:val="99"/>
    <w:semiHidden/>
    <w:rsid w:val="00047E9A"/>
    <w:pPr>
      <w:spacing w:after="0" w:line="240" w:lineRule="auto"/>
    </w:pPr>
  </w:style>
  <w:style w:type="character" w:styleId="FollowedHyperlink">
    <w:name w:val="FollowedHyperlink"/>
    <w:basedOn w:val="DefaultParagraphFont"/>
    <w:uiPriority w:val="99"/>
    <w:semiHidden/>
    <w:unhideWhenUsed/>
    <w:rsid w:val="001D7BF3"/>
    <w:rPr>
      <w:color w:val="954F72" w:themeColor="followedHyperlink"/>
      <w:u w:val="single"/>
    </w:rPr>
  </w:style>
  <w:style w:type="character" w:customStyle="1" w:styleId="Heading4Char">
    <w:name w:val="Heading 4 Char"/>
    <w:basedOn w:val="DefaultParagraphFont"/>
    <w:link w:val="Heading4"/>
    <w:uiPriority w:val="9"/>
    <w:rsid w:val="00CC52C4"/>
    <w:rPr>
      <w:rFonts w:asciiTheme="majorHAnsi" w:eastAsiaTheme="majorEastAsia" w:hAnsiTheme="majorHAnsi" w:cstheme="majorBidi"/>
      <w:i/>
      <w:iCs/>
      <w:color w:val="2E74B5" w:themeColor="accent1" w:themeShade="BF"/>
    </w:rPr>
  </w:style>
  <w:style w:type="character" w:customStyle="1" w:styleId="UnresolvedMention2">
    <w:name w:val="Unresolved Mention2"/>
    <w:basedOn w:val="DefaultParagraphFont"/>
    <w:uiPriority w:val="99"/>
    <w:semiHidden/>
    <w:unhideWhenUsed/>
    <w:rsid w:val="00341364"/>
    <w:rPr>
      <w:color w:val="605E5C"/>
      <w:shd w:val="clear" w:color="auto" w:fill="E1DFDD"/>
    </w:rPr>
  </w:style>
  <w:style w:type="character" w:customStyle="1" w:styleId="UnresolvedMention3">
    <w:name w:val="Unresolved Mention3"/>
    <w:basedOn w:val="DefaultParagraphFont"/>
    <w:uiPriority w:val="99"/>
    <w:semiHidden/>
    <w:unhideWhenUsed/>
    <w:rsid w:val="001E4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7">
      <w:bodyDiv w:val="1"/>
      <w:marLeft w:val="0"/>
      <w:marRight w:val="0"/>
      <w:marTop w:val="0"/>
      <w:marBottom w:val="0"/>
      <w:divBdr>
        <w:top w:val="none" w:sz="0" w:space="0" w:color="auto"/>
        <w:left w:val="none" w:sz="0" w:space="0" w:color="auto"/>
        <w:bottom w:val="none" w:sz="0" w:space="0" w:color="auto"/>
        <w:right w:val="none" w:sz="0" w:space="0" w:color="auto"/>
      </w:divBdr>
    </w:div>
    <w:div w:id="153449150">
      <w:bodyDiv w:val="1"/>
      <w:marLeft w:val="0"/>
      <w:marRight w:val="0"/>
      <w:marTop w:val="0"/>
      <w:marBottom w:val="0"/>
      <w:divBdr>
        <w:top w:val="none" w:sz="0" w:space="0" w:color="auto"/>
        <w:left w:val="none" w:sz="0" w:space="0" w:color="auto"/>
        <w:bottom w:val="none" w:sz="0" w:space="0" w:color="auto"/>
        <w:right w:val="none" w:sz="0" w:space="0" w:color="auto"/>
      </w:divBdr>
    </w:div>
    <w:div w:id="175661068">
      <w:bodyDiv w:val="1"/>
      <w:marLeft w:val="0"/>
      <w:marRight w:val="0"/>
      <w:marTop w:val="0"/>
      <w:marBottom w:val="0"/>
      <w:divBdr>
        <w:top w:val="none" w:sz="0" w:space="0" w:color="auto"/>
        <w:left w:val="none" w:sz="0" w:space="0" w:color="auto"/>
        <w:bottom w:val="none" w:sz="0" w:space="0" w:color="auto"/>
        <w:right w:val="none" w:sz="0" w:space="0" w:color="auto"/>
      </w:divBdr>
    </w:div>
    <w:div w:id="199518252">
      <w:bodyDiv w:val="1"/>
      <w:marLeft w:val="0"/>
      <w:marRight w:val="0"/>
      <w:marTop w:val="0"/>
      <w:marBottom w:val="0"/>
      <w:divBdr>
        <w:top w:val="none" w:sz="0" w:space="0" w:color="auto"/>
        <w:left w:val="none" w:sz="0" w:space="0" w:color="auto"/>
        <w:bottom w:val="none" w:sz="0" w:space="0" w:color="auto"/>
        <w:right w:val="none" w:sz="0" w:space="0" w:color="auto"/>
      </w:divBdr>
    </w:div>
    <w:div w:id="208686024">
      <w:bodyDiv w:val="1"/>
      <w:marLeft w:val="0"/>
      <w:marRight w:val="0"/>
      <w:marTop w:val="0"/>
      <w:marBottom w:val="0"/>
      <w:divBdr>
        <w:top w:val="none" w:sz="0" w:space="0" w:color="auto"/>
        <w:left w:val="none" w:sz="0" w:space="0" w:color="auto"/>
        <w:bottom w:val="none" w:sz="0" w:space="0" w:color="auto"/>
        <w:right w:val="none" w:sz="0" w:space="0" w:color="auto"/>
      </w:divBdr>
    </w:div>
    <w:div w:id="742947704">
      <w:bodyDiv w:val="1"/>
      <w:marLeft w:val="0"/>
      <w:marRight w:val="0"/>
      <w:marTop w:val="0"/>
      <w:marBottom w:val="0"/>
      <w:divBdr>
        <w:top w:val="none" w:sz="0" w:space="0" w:color="auto"/>
        <w:left w:val="none" w:sz="0" w:space="0" w:color="auto"/>
        <w:bottom w:val="none" w:sz="0" w:space="0" w:color="auto"/>
        <w:right w:val="none" w:sz="0" w:space="0" w:color="auto"/>
      </w:divBdr>
    </w:div>
    <w:div w:id="761681058">
      <w:bodyDiv w:val="1"/>
      <w:marLeft w:val="0"/>
      <w:marRight w:val="0"/>
      <w:marTop w:val="0"/>
      <w:marBottom w:val="0"/>
      <w:divBdr>
        <w:top w:val="none" w:sz="0" w:space="0" w:color="auto"/>
        <w:left w:val="none" w:sz="0" w:space="0" w:color="auto"/>
        <w:bottom w:val="none" w:sz="0" w:space="0" w:color="auto"/>
        <w:right w:val="none" w:sz="0" w:space="0" w:color="auto"/>
      </w:divBdr>
    </w:div>
    <w:div w:id="805466192">
      <w:bodyDiv w:val="1"/>
      <w:marLeft w:val="0"/>
      <w:marRight w:val="0"/>
      <w:marTop w:val="0"/>
      <w:marBottom w:val="0"/>
      <w:divBdr>
        <w:top w:val="none" w:sz="0" w:space="0" w:color="auto"/>
        <w:left w:val="none" w:sz="0" w:space="0" w:color="auto"/>
        <w:bottom w:val="none" w:sz="0" w:space="0" w:color="auto"/>
        <w:right w:val="none" w:sz="0" w:space="0" w:color="auto"/>
      </w:divBdr>
    </w:div>
    <w:div w:id="827594887">
      <w:bodyDiv w:val="1"/>
      <w:marLeft w:val="0"/>
      <w:marRight w:val="0"/>
      <w:marTop w:val="0"/>
      <w:marBottom w:val="0"/>
      <w:divBdr>
        <w:top w:val="none" w:sz="0" w:space="0" w:color="auto"/>
        <w:left w:val="none" w:sz="0" w:space="0" w:color="auto"/>
        <w:bottom w:val="none" w:sz="0" w:space="0" w:color="auto"/>
        <w:right w:val="none" w:sz="0" w:space="0" w:color="auto"/>
      </w:divBdr>
    </w:div>
    <w:div w:id="1046300444">
      <w:bodyDiv w:val="1"/>
      <w:marLeft w:val="0"/>
      <w:marRight w:val="0"/>
      <w:marTop w:val="0"/>
      <w:marBottom w:val="0"/>
      <w:divBdr>
        <w:top w:val="none" w:sz="0" w:space="0" w:color="auto"/>
        <w:left w:val="none" w:sz="0" w:space="0" w:color="auto"/>
        <w:bottom w:val="none" w:sz="0" w:space="0" w:color="auto"/>
        <w:right w:val="none" w:sz="0" w:space="0" w:color="auto"/>
      </w:divBdr>
    </w:div>
    <w:div w:id="1048645059">
      <w:bodyDiv w:val="1"/>
      <w:marLeft w:val="0"/>
      <w:marRight w:val="0"/>
      <w:marTop w:val="0"/>
      <w:marBottom w:val="0"/>
      <w:divBdr>
        <w:top w:val="none" w:sz="0" w:space="0" w:color="auto"/>
        <w:left w:val="none" w:sz="0" w:space="0" w:color="auto"/>
        <w:bottom w:val="none" w:sz="0" w:space="0" w:color="auto"/>
        <w:right w:val="none" w:sz="0" w:space="0" w:color="auto"/>
      </w:divBdr>
    </w:div>
    <w:div w:id="1059284076">
      <w:bodyDiv w:val="1"/>
      <w:marLeft w:val="0"/>
      <w:marRight w:val="0"/>
      <w:marTop w:val="0"/>
      <w:marBottom w:val="0"/>
      <w:divBdr>
        <w:top w:val="none" w:sz="0" w:space="0" w:color="auto"/>
        <w:left w:val="none" w:sz="0" w:space="0" w:color="auto"/>
        <w:bottom w:val="none" w:sz="0" w:space="0" w:color="auto"/>
        <w:right w:val="none" w:sz="0" w:space="0" w:color="auto"/>
      </w:divBdr>
    </w:div>
    <w:div w:id="1123693292">
      <w:bodyDiv w:val="1"/>
      <w:marLeft w:val="0"/>
      <w:marRight w:val="0"/>
      <w:marTop w:val="0"/>
      <w:marBottom w:val="0"/>
      <w:divBdr>
        <w:top w:val="none" w:sz="0" w:space="0" w:color="auto"/>
        <w:left w:val="none" w:sz="0" w:space="0" w:color="auto"/>
        <w:bottom w:val="none" w:sz="0" w:space="0" w:color="auto"/>
        <w:right w:val="none" w:sz="0" w:space="0" w:color="auto"/>
      </w:divBdr>
    </w:div>
    <w:div w:id="1274022317">
      <w:bodyDiv w:val="1"/>
      <w:marLeft w:val="0"/>
      <w:marRight w:val="0"/>
      <w:marTop w:val="0"/>
      <w:marBottom w:val="0"/>
      <w:divBdr>
        <w:top w:val="none" w:sz="0" w:space="0" w:color="auto"/>
        <w:left w:val="none" w:sz="0" w:space="0" w:color="auto"/>
        <w:bottom w:val="none" w:sz="0" w:space="0" w:color="auto"/>
        <w:right w:val="none" w:sz="0" w:space="0" w:color="auto"/>
      </w:divBdr>
    </w:div>
    <w:div w:id="1488748108">
      <w:bodyDiv w:val="1"/>
      <w:marLeft w:val="0"/>
      <w:marRight w:val="0"/>
      <w:marTop w:val="0"/>
      <w:marBottom w:val="0"/>
      <w:divBdr>
        <w:top w:val="none" w:sz="0" w:space="0" w:color="auto"/>
        <w:left w:val="none" w:sz="0" w:space="0" w:color="auto"/>
        <w:bottom w:val="none" w:sz="0" w:space="0" w:color="auto"/>
        <w:right w:val="none" w:sz="0" w:space="0" w:color="auto"/>
      </w:divBdr>
    </w:div>
    <w:div w:id="1538197966">
      <w:bodyDiv w:val="1"/>
      <w:marLeft w:val="0"/>
      <w:marRight w:val="0"/>
      <w:marTop w:val="0"/>
      <w:marBottom w:val="0"/>
      <w:divBdr>
        <w:top w:val="none" w:sz="0" w:space="0" w:color="auto"/>
        <w:left w:val="none" w:sz="0" w:space="0" w:color="auto"/>
        <w:bottom w:val="none" w:sz="0" w:space="0" w:color="auto"/>
        <w:right w:val="none" w:sz="0" w:space="0" w:color="auto"/>
      </w:divBdr>
    </w:div>
    <w:div w:id="1734769739">
      <w:bodyDiv w:val="1"/>
      <w:marLeft w:val="0"/>
      <w:marRight w:val="0"/>
      <w:marTop w:val="0"/>
      <w:marBottom w:val="0"/>
      <w:divBdr>
        <w:top w:val="none" w:sz="0" w:space="0" w:color="auto"/>
        <w:left w:val="none" w:sz="0" w:space="0" w:color="auto"/>
        <w:bottom w:val="none" w:sz="0" w:space="0" w:color="auto"/>
        <w:right w:val="none" w:sz="0" w:space="0" w:color="auto"/>
      </w:divBdr>
    </w:div>
    <w:div w:id="1780955113">
      <w:bodyDiv w:val="1"/>
      <w:marLeft w:val="0"/>
      <w:marRight w:val="0"/>
      <w:marTop w:val="0"/>
      <w:marBottom w:val="0"/>
      <w:divBdr>
        <w:top w:val="none" w:sz="0" w:space="0" w:color="auto"/>
        <w:left w:val="none" w:sz="0" w:space="0" w:color="auto"/>
        <w:bottom w:val="none" w:sz="0" w:space="0" w:color="auto"/>
        <w:right w:val="none" w:sz="0" w:space="0" w:color="auto"/>
      </w:divBdr>
    </w:div>
    <w:div w:id="1789548662">
      <w:bodyDiv w:val="1"/>
      <w:marLeft w:val="0"/>
      <w:marRight w:val="0"/>
      <w:marTop w:val="0"/>
      <w:marBottom w:val="0"/>
      <w:divBdr>
        <w:top w:val="none" w:sz="0" w:space="0" w:color="auto"/>
        <w:left w:val="none" w:sz="0" w:space="0" w:color="auto"/>
        <w:bottom w:val="none" w:sz="0" w:space="0" w:color="auto"/>
        <w:right w:val="none" w:sz="0" w:space="0" w:color="auto"/>
      </w:divBdr>
    </w:div>
    <w:div w:id="1917396218">
      <w:bodyDiv w:val="1"/>
      <w:marLeft w:val="0"/>
      <w:marRight w:val="0"/>
      <w:marTop w:val="0"/>
      <w:marBottom w:val="0"/>
      <w:divBdr>
        <w:top w:val="none" w:sz="0" w:space="0" w:color="auto"/>
        <w:left w:val="none" w:sz="0" w:space="0" w:color="auto"/>
        <w:bottom w:val="none" w:sz="0" w:space="0" w:color="auto"/>
        <w:right w:val="none" w:sz="0" w:space="0" w:color="auto"/>
      </w:divBdr>
    </w:div>
    <w:div w:id="1947228090">
      <w:bodyDiv w:val="1"/>
      <w:marLeft w:val="0"/>
      <w:marRight w:val="0"/>
      <w:marTop w:val="0"/>
      <w:marBottom w:val="0"/>
      <w:divBdr>
        <w:top w:val="none" w:sz="0" w:space="0" w:color="auto"/>
        <w:left w:val="none" w:sz="0" w:space="0" w:color="auto"/>
        <w:bottom w:val="none" w:sz="0" w:space="0" w:color="auto"/>
        <w:right w:val="none" w:sz="0" w:space="0" w:color="auto"/>
      </w:divBdr>
    </w:div>
    <w:div w:id="20946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g.org.nz" TargetMode="Externa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hyperlink" Target="https://www.treasury.govt.nz/sites/default/files/2021-02/ria-ird-imb-dec20.pdf" TargetMode="External"/><Relationship Id="rId21" Type="http://schemas.openxmlformats.org/officeDocument/2006/relationships/chart" Target="charts/chart6.xml"/><Relationship Id="rId34" Type="http://schemas.openxmlformats.org/officeDocument/2006/relationships/hyperlink" Target="https://www.ird.govt.nz/working-for-families/payment-types" TargetMode="External"/><Relationship Id="rId42" Type="http://schemas.openxmlformats.org/officeDocument/2006/relationships/hyperlink" Target="https://www.msd.govt.nz/documents/about-msd-and-our-work/newsroom/factsheets/budget/factsheet-benefit-indexation-2019.pdf" TargetMode="External"/><Relationship Id="rId47" Type="http://schemas.openxmlformats.org/officeDocument/2006/relationships/hyperlink" Target="https://www.cpag.org.nz/assets/200220%20Briefing%20on%20the%20IWTC%202020.pdf" TargetMode="External"/><Relationship Id="rId50" Type="http://schemas.openxmlformats.org/officeDocument/2006/relationships/hyperlink" Target="https://www.treasury.govt.nz/publications/efu/budget-economic-and-fiscal-update-2018"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hyperlink" Target="https://www.ird.govt.nz/covid-19/individuals-and-families/support-for-families" TargetMode="External"/><Relationship Id="rId38" Type="http://schemas.openxmlformats.org/officeDocument/2006/relationships/hyperlink" Target="https://www.msd.govt.nz/about-msd-and-our-work/publications-resources/statistics/benefit/" TargetMode="External"/><Relationship Id="rId46" Type="http://schemas.openxmlformats.org/officeDocument/2006/relationships/hyperlink" Target="https://www.cpag.org.nz/assets/CPAG%20v%20Attorney%20General/120129%20The%2010%20Myths%20of%20the%20in%20work%20tax%20credit.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s://www.cpag.org.nz/assets/CPAG%20Income%20Support%20Briefing%20to%20Incoming%20Minister%20final.pdf" TargetMode="External"/><Relationship Id="rId41" Type="http://schemas.openxmlformats.org/officeDocument/2006/relationships/hyperlink" Target="https://www.beehive.govt.nz/sites/default/files/2017-12/Families%20Package%20Factsheet.pdf" TargetMode="External"/><Relationship Id="rId54" Type="http://schemas.openxmlformats.org/officeDocument/2006/relationships/hyperlink" Target="http://www.weag.govt.nz/weag-report/whakamana-tang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9.xml"/><Relationship Id="rId32" Type="http://schemas.openxmlformats.org/officeDocument/2006/relationships/hyperlink" Target="https://www.ird.govt.nz/working-for-families/about" TargetMode="External"/><Relationship Id="rId37" Type="http://schemas.openxmlformats.org/officeDocument/2006/relationships/hyperlink" Target="https://www.mbie.govt.nz/assets/minimum-wage-review-december-2020-redacted.pdf" TargetMode="External"/><Relationship Id="rId40" Type="http://schemas.openxmlformats.org/officeDocument/2006/relationships/hyperlink" Target="https://www.cpag.org.nz/assets/Backgrounders/CPAG%20Background%20paper%20-%20Family%20tax%20credits%20comparison%20between%20NZ%20and%20Austrlia.pdf" TargetMode="External"/><Relationship Id="rId45" Type="http://schemas.openxmlformats.org/officeDocument/2006/relationships/hyperlink" Target="https://www.stats.govt.nz/news/latest-release-of-child-poverty-statistics" TargetMode="External"/><Relationship Id="rId53" Type="http://schemas.openxmlformats.org/officeDocument/2006/relationships/hyperlink" Target="http://www.weag.govt.nz/assets/documents/WEAG-report/background-documents/133db2ad05/History-of-family-support-payments-010419.pdf"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stjohn@auckland.ac.nz" TargetMode="External"/><Relationship Id="rId23" Type="http://schemas.openxmlformats.org/officeDocument/2006/relationships/chart" Target="charts/chart8.xml"/><Relationship Id="rId28" Type="http://schemas.openxmlformats.org/officeDocument/2006/relationships/hyperlink" Target="https://www.stuff.co.nz/national/politics/300247439/revealed-government-to-review-multibillion-dollar-working-for-families-scheme" TargetMode="External"/><Relationship Id="rId36" Type="http://schemas.openxmlformats.org/officeDocument/2006/relationships/hyperlink" Target="https://www.cpag.org.nz/news/new-research-shows-current-benefits-leave/" TargetMode="External"/><Relationship Id="rId49" Type="http://schemas.openxmlformats.org/officeDocument/2006/relationships/hyperlink" Target="https://www.treasury.govt.nz/publications/budget-economic-and-fiscal-update-2013-html" TargetMode="External"/><Relationship Id="rId57" Type="http://schemas.openxmlformats.org/officeDocument/2006/relationships/hyperlink" Target="https://www.workandincome.govt.nz/about-work-and-income/news/2017/families-package.html" TargetMode="Externa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hyperlink" Target="https://www.beehive.govt.nz/release/fact-sheet-working-families-changes" TargetMode="External"/><Relationship Id="rId44" Type="http://schemas.openxmlformats.org/officeDocument/2006/relationships/hyperlink" Target="https://www.rbnz.govt.nz/monetary-policy/inflation-calculator" TargetMode="External"/><Relationship Id="rId52" Type="http://schemas.openxmlformats.org/officeDocument/2006/relationships/hyperlink" Target="https://www.treasury.govt.nz/system/files/2020-12/hyefu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itlin@cpag.org.nz" TargetMode="External"/><Relationship Id="rId22" Type="http://schemas.openxmlformats.org/officeDocument/2006/relationships/chart" Target="charts/chart7.xml"/><Relationship Id="rId27" Type="http://schemas.openxmlformats.org/officeDocument/2006/relationships/hyperlink" Target="https://www.servicesaustralia.gov.au/sites/default/files/co029-2104v2.pdf" TargetMode="External"/><Relationship Id="rId30" Type="http://schemas.openxmlformats.org/officeDocument/2006/relationships/hyperlink" Target="https://www.cpag.org.nz/assets/Publications/3-2%2024718%20CPAG%20Research%20Document.pdf" TargetMode="External"/><Relationship Id="rId35" Type="http://schemas.openxmlformats.org/officeDocument/2006/relationships/hyperlink" Target="https://www.ird.govt.nz/covid-19/individuals-and-families/support-for-families" TargetMode="External"/><Relationship Id="rId43" Type="http://schemas.openxmlformats.org/officeDocument/2006/relationships/hyperlink" Target="https://www.msd.govt.nz/about-msd-and-our-work/publications-resources/monitoring/household-incomes/household-incomes-1982-to-2018.html" TargetMode="External"/><Relationship Id="rId48" Type="http://schemas.openxmlformats.org/officeDocument/2006/relationships/hyperlink" Target="https://www.cpag.org.nz/does-the-tail-wag-the-dog/"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treasury.govt.nz/publications/efu/budget-economic-and-fiscal-update-2020"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rbnz.govt.nz/monetary-policy/inflation-calculato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omms\Downloads\Child-poverty-statistics-year-ended-June-2020-corrected%2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ckearns\Documents\CPAG\WFF\WFF%20modelling%2023apri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kearns\Documents\CPAG\WFF\WFF%20modelling%2023april.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omms\Downloads\wff-average-entitlement%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kearns\AppData\Local\Packages\Microsoft.MicrosoftEdge_8wekyb3d8bbwe\TempState\Downloads\wff-number-of-families%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anet%20McA\Downloads\WFF%20indexation%20master%20doc%2016march.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kearns\Documents\CPAG\WFF\WFF%20indexation%20master%20doc%2023%20ap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kearns\Documents\CPAG\WFF\WFF%20indexation%20master%20doc%2023%20ap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kearns\Documents\CPAG\WFF\WFF%20indexation%20master%20doc%2016march.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ckearns\Documents\CPAG\WFF\WFF%20modelling%2023apri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Table7.01!$O$8</c:f>
              <c:strCache>
                <c:ptCount val="1"/>
                <c:pt idx="0">
                  <c:v>60% line (inclusive measure of poverty)</c:v>
                </c:pt>
              </c:strCache>
            </c:strRef>
          </c:tx>
          <c:spPr>
            <a:solidFill>
              <a:schemeClr val="accent4">
                <a:lumMod val="75000"/>
              </a:schemeClr>
            </a:solidFill>
            <a:ln>
              <a:noFill/>
            </a:ln>
            <a:effectLst/>
          </c:spPr>
          <c:invertIfNegative val="0"/>
          <c:cat>
            <c:strRef>
              <c:f>Table7.01!$L$9:$L$23</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Table7.01!$O$9:$O$22</c:f>
              <c:numCache>
                <c:formatCode>0.0</c:formatCode>
                <c:ptCount val="14"/>
                <c:pt idx="0">
                  <c:v>29.3</c:v>
                </c:pt>
                <c:pt idx="1">
                  <c:v>33</c:v>
                </c:pt>
                <c:pt idx="2">
                  <c:v>31.4</c:v>
                </c:pt>
                <c:pt idx="3">
                  <c:v>29.7</c:v>
                </c:pt>
                <c:pt idx="4">
                  <c:v>30.2</c:v>
                </c:pt>
                <c:pt idx="5">
                  <c:v>28.9</c:v>
                </c:pt>
                <c:pt idx="6">
                  <c:v>29.3</c:v>
                </c:pt>
                <c:pt idx="7">
                  <c:v>29.3</c:v>
                </c:pt>
                <c:pt idx="8">
                  <c:v>30.5</c:v>
                </c:pt>
                <c:pt idx="9">
                  <c:v>29.8</c:v>
                </c:pt>
                <c:pt idx="10">
                  <c:v>28.4</c:v>
                </c:pt>
                <c:pt idx="11">
                  <c:v>30.6</c:v>
                </c:pt>
                <c:pt idx="12">
                  <c:v>27.7</c:v>
                </c:pt>
                <c:pt idx="13">
                  <c:v>27.9</c:v>
                </c:pt>
              </c:numCache>
            </c:numRef>
          </c:val>
          <c:extLst>
            <c:ext xmlns:c16="http://schemas.microsoft.com/office/drawing/2014/chart" uri="{C3380CC4-5D6E-409C-BE32-E72D297353CC}">
              <c16:uniqueId val="{00000000-BF90-4D16-8E4A-F6B2A457BD88}"/>
            </c:ext>
          </c:extLst>
        </c:ser>
        <c:ser>
          <c:idx val="1"/>
          <c:order val="1"/>
          <c:tx>
            <c:strRef>
              <c:f>Table7.01!$N$8</c:f>
              <c:strCache>
                <c:ptCount val="1"/>
                <c:pt idx="0">
                  <c:v>50% line</c:v>
                </c:pt>
              </c:strCache>
            </c:strRef>
          </c:tx>
          <c:spPr>
            <a:solidFill>
              <a:schemeClr val="accent2">
                <a:lumMod val="40000"/>
                <a:lumOff val="60000"/>
              </a:schemeClr>
            </a:solidFill>
            <a:ln>
              <a:noFill/>
            </a:ln>
            <a:effectLst/>
          </c:spPr>
          <c:invertIfNegative val="0"/>
          <c:cat>
            <c:strRef>
              <c:f>Table7.01!$L$9:$L$23</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Table7.01!$N$9:$N$22</c:f>
              <c:numCache>
                <c:formatCode>0.0</c:formatCode>
                <c:ptCount val="14"/>
                <c:pt idx="0">
                  <c:v>22.4</c:v>
                </c:pt>
                <c:pt idx="1">
                  <c:v>23.9</c:v>
                </c:pt>
                <c:pt idx="2">
                  <c:v>23.8</c:v>
                </c:pt>
                <c:pt idx="3">
                  <c:v>21.9</c:v>
                </c:pt>
                <c:pt idx="4">
                  <c:v>21.9</c:v>
                </c:pt>
                <c:pt idx="5">
                  <c:v>22.2</c:v>
                </c:pt>
                <c:pt idx="6">
                  <c:v>21.9</c:v>
                </c:pt>
                <c:pt idx="7">
                  <c:v>23</c:v>
                </c:pt>
                <c:pt idx="8">
                  <c:v>23.8</c:v>
                </c:pt>
                <c:pt idx="9">
                  <c:v>22.3</c:v>
                </c:pt>
                <c:pt idx="10">
                  <c:v>21.4</c:v>
                </c:pt>
                <c:pt idx="11">
                  <c:v>22.8</c:v>
                </c:pt>
                <c:pt idx="12">
                  <c:v>20.100000000000001</c:v>
                </c:pt>
                <c:pt idx="13">
                  <c:v>20.100000000000001</c:v>
                </c:pt>
              </c:numCache>
            </c:numRef>
          </c:val>
          <c:extLst>
            <c:ext xmlns:c16="http://schemas.microsoft.com/office/drawing/2014/chart" uri="{C3380CC4-5D6E-409C-BE32-E72D297353CC}">
              <c16:uniqueId val="{00000001-BF90-4D16-8E4A-F6B2A457BD88}"/>
            </c:ext>
          </c:extLst>
        </c:ser>
        <c:ser>
          <c:idx val="0"/>
          <c:order val="2"/>
          <c:tx>
            <c:strRef>
              <c:f>Table7.01!$M$8</c:f>
              <c:strCache>
                <c:ptCount val="1"/>
                <c:pt idx="0">
                  <c:v>40% line (severe poverty)</c:v>
                </c:pt>
              </c:strCache>
            </c:strRef>
          </c:tx>
          <c:spPr>
            <a:solidFill>
              <a:srgbClr val="C00000"/>
            </a:solidFill>
            <a:ln>
              <a:noFill/>
            </a:ln>
            <a:effectLst/>
          </c:spPr>
          <c:invertIfNegative val="0"/>
          <c:cat>
            <c:strRef>
              <c:f>Table7.01!$L$9:$L$23</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Table7.01!$M$9:$M$22</c:f>
              <c:numCache>
                <c:formatCode>0.0</c:formatCode>
                <c:ptCount val="14"/>
                <c:pt idx="0">
                  <c:v>15.3</c:v>
                </c:pt>
                <c:pt idx="1">
                  <c:v>14.5</c:v>
                </c:pt>
                <c:pt idx="2">
                  <c:v>15.3</c:v>
                </c:pt>
                <c:pt idx="3">
                  <c:v>14.8</c:v>
                </c:pt>
                <c:pt idx="4">
                  <c:v>16.100000000000001</c:v>
                </c:pt>
                <c:pt idx="5">
                  <c:v>16.3</c:v>
                </c:pt>
                <c:pt idx="6">
                  <c:v>15.6</c:v>
                </c:pt>
                <c:pt idx="7">
                  <c:v>15.8</c:v>
                </c:pt>
                <c:pt idx="8">
                  <c:v>15.5</c:v>
                </c:pt>
                <c:pt idx="9">
                  <c:v>16.2</c:v>
                </c:pt>
                <c:pt idx="10">
                  <c:v>16.100000000000001</c:v>
                </c:pt>
                <c:pt idx="11">
                  <c:v>15.7</c:v>
                </c:pt>
                <c:pt idx="12">
                  <c:v>13.8</c:v>
                </c:pt>
                <c:pt idx="13">
                  <c:v>14</c:v>
                </c:pt>
              </c:numCache>
            </c:numRef>
          </c:val>
          <c:extLst>
            <c:ext xmlns:c16="http://schemas.microsoft.com/office/drawing/2014/chart" uri="{C3380CC4-5D6E-409C-BE32-E72D297353CC}">
              <c16:uniqueId val="{00000002-BF90-4D16-8E4A-F6B2A457BD88}"/>
            </c:ext>
          </c:extLst>
        </c:ser>
        <c:dLbls>
          <c:showLegendKey val="0"/>
          <c:showVal val="0"/>
          <c:showCatName val="0"/>
          <c:showSerName val="0"/>
          <c:showPercent val="0"/>
          <c:showBubbleSize val="0"/>
        </c:dLbls>
        <c:gapWidth val="44"/>
        <c:overlap val="100"/>
        <c:axId val="741349688"/>
        <c:axId val="741347768"/>
      </c:barChart>
      <c:catAx>
        <c:axId val="741349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347768"/>
        <c:crosses val="autoZero"/>
        <c:auto val="1"/>
        <c:lblAlgn val="ctr"/>
        <c:lblOffset val="100"/>
        <c:noMultiLvlLbl val="0"/>
      </c:catAx>
      <c:valAx>
        <c:axId val="741347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3496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6647149856111"/>
          <c:y val="0.10354446163437779"/>
          <c:w val="0.68925588544729044"/>
          <c:h val="0.76741653063725712"/>
        </c:manualLayout>
      </c:layout>
      <c:lineChart>
        <c:grouping val="standard"/>
        <c:varyColors val="0"/>
        <c:ser>
          <c:idx val="0"/>
          <c:order val="0"/>
          <c:tx>
            <c:v>Family Three (three children, off-benefit)</c:v>
          </c:tx>
          <c:spPr>
            <a:ln w="28575" cap="rnd">
              <a:solidFill>
                <a:schemeClr val="accent1"/>
              </a:solidFill>
              <a:round/>
            </a:ln>
            <a:effectLst/>
          </c:spPr>
          <c:marker>
            <c:symbol val="none"/>
          </c:marker>
          <c:dLbls>
            <c:dLbl>
              <c:idx val="0"/>
              <c:layout>
                <c:manualLayout>
                  <c:x val="-1.4549232376608127E-2"/>
                  <c:y val="-7.25333211492583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F7-4890-89D5-3EFF2A713FBC}"/>
                </c:ext>
              </c:extLst>
            </c:dLbl>
            <c:dLbl>
              <c:idx val="1"/>
              <c:delete val="1"/>
              <c:extLst>
                <c:ext xmlns:c15="http://schemas.microsoft.com/office/drawing/2012/chart" uri="{CE6537A1-D6FC-4f65-9D91-7224C49458BB}"/>
                <c:ext xmlns:c16="http://schemas.microsoft.com/office/drawing/2014/chart" uri="{C3380CC4-5D6E-409C-BE32-E72D297353CC}">
                  <c16:uniqueId val="{00000001-F6F7-4890-89D5-3EFF2A713FBC}"/>
                </c:ext>
              </c:extLst>
            </c:dLbl>
            <c:dLbl>
              <c:idx val="2"/>
              <c:delete val="1"/>
              <c:extLst>
                <c:ext xmlns:c15="http://schemas.microsoft.com/office/drawing/2012/chart" uri="{CE6537A1-D6FC-4f65-9D91-7224C49458BB}"/>
                <c:ext xmlns:c16="http://schemas.microsoft.com/office/drawing/2014/chart" uri="{C3380CC4-5D6E-409C-BE32-E72D297353CC}">
                  <c16:uniqueId val="{00000002-F6F7-4890-89D5-3EFF2A713FBC}"/>
                </c:ext>
              </c:extLst>
            </c:dLbl>
            <c:dLbl>
              <c:idx val="3"/>
              <c:delete val="1"/>
              <c:extLst>
                <c:ext xmlns:c15="http://schemas.microsoft.com/office/drawing/2012/chart" uri="{CE6537A1-D6FC-4f65-9D91-7224C49458BB}"/>
                <c:ext xmlns:c16="http://schemas.microsoft.com/office/drawing/2014/chart" uri="{C3380CC4-5D6E-409C-BE32-E72D297353CC}">
                  <c16:uniqueId val="{00000003-F6F7-4890-89D5-3EFF2A713FBC}"/>
                </c:ext>
              </c:extLst>
            </c:dLbl>
            <c:dLbl>
              <c:idx val="4"/>
              <c:delete val="1"/>
              <c:extLst>
                <c:ext xmlns:c15="http://schemas.microsoft.com/office/drawing/2012/chart" uri="{CE6537A1-D6FC-4f65-9D91-7224C49458BB}"/>
                <c:ext xmlns:c16="http://schemas.microsoft.com/office/drawing/2014/chart" uri="{C3380CC4-5D6E-409C-BE32-E72D297353CC}">
                  <c16:uniqueId val="{00000004-F6F7-4890-89D5-3EFF2A713FBC}"/>
                </c:ext>
              </c:extLst>
            </c:dLbl>
            <c:dLbl>
              <c:idx val="5"/>
              <c:delete val="1"/>
              <c:extLst>
                <c:ext xmlns:c15="http://schemas.microsoft.com/office/drawing/2012/chart" uri="{CE6537A1-D6FC-4f65-9D91-7224C49458BB}"/>
                <c:ext xmlns:c16="http://schemas.microsoft.com/office/drawing/2014/chart" uri="{C3380CC4-5D6E-409C-BE32-E72D297353CC}">
                  <c16:uniqueId val="{00000005-F6F7-4890-89D5-3EFF2A713FBC}"/>
                </c:ext>
              </c:extLst>
            </c:dLbl>
            <c:dLbl>
              <c:idx val="6"/>
              <c:delete val="1"/>
              <c:extLst>
                <c:ext xmlns:c15="http://schemas.microsoft.com/office/drawing/2012/chart" uri="{CE6537A1-D6FC-4f65-9D91-7224C49458BB}"/>
                <c:ext xmlns:c16="http://schemas.microsoft.com/office/drawing/2014/chart" uri="{C3380CC4-5D6E-409C-BE32-E72D297353CC}">
                  <c16:uniqueId val="{00000006-F6F7-4890-89D5-3EFF2A713FBC}"/>
                </c:ext>
              </c:extLst>
            </c:dLbl>
            <c:dLbl>
              <c:idx val="7"/>
              <c:delete val="1"/>
              <c:extLst>
                <c:ext xmlns:c15="http://schemas.microsoft.com/office/drawing/2012/chart" uri="{CE6537A1-D6FC-4f65-9D91-7224C49458BB}"/>
                <c:ext xmlns:c16="http://schemas.microsoft.com/office/drawing/2014/chart" uri="{C3380CC4-5D6E-409C-BE32-E72D297353CC}">
                  <c16:uniqueId val="{00000007-F6F7-4890-89D5-3EFF2A713FBC}"/>
                </c:ext>
              </c:extLst>
            </c:dLbl>
            <c:dLbl>
              <c:idx val="8"/>
              <c:delete val="1"/>
              <c:extLst>
                <c:ext xmlns:c15="http://schemas.microsoft.com/office/drawing/2012/chart" uri="{CE6537A1-D6FC-4f65-9D91-7224C49458BB}"/>
                <c:ext xmlns:c16="http://schemas.microsoft.com/office/drawing/2014/chart" uri="{C3380CC4-5D6E-409C-BE32-E72D297353CC}">
                  <c16:uniqueId val="{00000008-F6F7-4890-89D5-3EFF2A713FBC}"/>
                </c:ext>
              </c:extLst>
            </c:dLbl>
            <c:dLbl>
              <c:idx val="9"/>
              <c:delete val="1"/>
              <c:extLst>
                <c:ext xmlns:c15="http://schemas.microsoft.com/office/drawing/2012/chart" uri="{CE6537A1-D6FC-4f65-9D91-7224C49458BB}"/>
                <c:ext xmlns:c16="http://schemas.microsoft.com/office/drawing/2014/chart" uri="{C3380CC4-5D6E-409C-BE32-E72D297353CC}">
                  <c16:uniqueId val="{00000009-F6F7-4890-89D5-3EFF2A713FBC}"/>
                </c:ext>
              </c:extLst>
            </c:dLbl>
            <c:dLbl>
              <c:idx val="10"/>
              <c:delete val="1"/>
              <c:extLst>
                <c:ext xmlns:c15="http://schemas.microsoft.com/office/drawing/2012/chart" uri="{CE6537A1-D6FC-4f65-9D91-7224C49458BB}"/>
                <c:ext xmlns:c16="http://schemas.microsoft.com/office/drawing/2014/chart" uri="{C3380CC4-5D6E-409C-BE32-E72D297353CC}">
                  <c16:uniqueId val="{0000000A-F6F7-4890-89D5-3EFF2A713FBC}"/>
                </c:ext>
              </c:extLst>
            </c:dLbl>
            <c:dLbl>
              <c:idx val="11"/>
              <c:delete val="1"/>
              <c:extLst>
                <c:ext xmlns:c15="http://schemas.microsoft.com/office/drawing/2012/chart" uri="{CE6537A1-D6FC-4f65-9D91-7224C49458BB}"/>
                <c:ext xmlns:c16="http://schemas.microsoft.com/office/drawing/2014/chart" uri="{C3380CC4-5D6E-409C-BE32-E72D297353CC}">
                  <c16:uniqueId val="{0000000B-F6F7-4890-89D5-3EFF2A713FBC}"/>
                </c:ext>
              </c:extLst>
            </c:dLbl>
            <c:dLbl>
              <c:idx val="12"/>
              <c:layout>
                <c:manualLayout>
                  <c:x val="-6.6474628849989004E-2"/>
                  <c:y val="-9.9255583126550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6F7-4890-89D5-3EFF2A713FBC}"/>
                </c:ext>
              </c:extLst>
            </c:dLbl>
            <c:dLbl>
              <c:idx val="13"/>
              <c:layout>
                <c:manualLayout>
                  <c:x val="-2.7020002985129497E-2"/>
                  <c:y val="-8.533331899912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6F7-4890-89D5-3EFF2A713F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'All families wage indexed'!$B$6:$B$19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'All families wage indexed'!$E$6:$E$19</c:f>
              <c:numCache>
                <c:formatCode>_("$"* #,##0.00_);_("$"* \(#,##0.00\);_("$"* "-"??_);_(@_)</c:formatCode>
                <c:ptCount val="14"/>
                <c:pt idx="0">
                  <c:v>374.51851851851853</c:v>
                </c:pt>
                <c:pt idx="1">
                  <c:v>361.91701754385974</c:v>
                </c:pt>
                <c:pt idx="2">
                  <c:v>356.50423728813558</c:v>
                </c:pt>
                <c:pt idx="3">
                  <c:v>357.8</c:v>
                </c:pt>
                <c:pt idx="4">
                  <c:v>348.78661224489804</c:v>
                </c:pt>
                <c:pt idx="5">
                  <c:v>351.73422924901195</c:v>
                </c:pt>
                <c:pt idx="6">
                  <c:v>343.58594594594604</c:v>
                </c:pt>
                <c:pt idx="7">
                  <c:v>333.29123595505621</c:v>
                </c:pt>
                <c:pt idx="8">
                  <c:v>324.77649635036499</c:v>
                </c:pt>
                <c:pt idx="9">
                  <c:v>334.31208633093524</c:v>
                </c:pt>
                <c:pt idx="10">
                  <c:v>327.24915492957751</c:v>
                </c:pt>
                <c:pt idx="11">
                  <c:v>375.71755102040822</c:v>
                </c:pt>
                <c:pt idx="12">
                  <c:v>381.31357377049181</c:v>
                </c:pt>
                <c:pt idx="13">
                  <c:v>368.04</c:v>
                </c:pt>
              </c:numCache>
            </c:numRef>
          </c:val>
          <c:smooth val="0"/>
          <c:extLst>
            <c:ext xmlns:c16="http://schemas.microsoft.com/office/drawing/2014/chart" uri="{C3380CC4-5D6E-409C-BE32-E72D297353CC}">
              <c16:uniqueId val="{0000000E-F6F7-4890-89D5-3EFF2A713FBC}"/>
            </c:ext>
          </c:extLst>
        </c:ser>
        <c:ser>
          <c:idx val="1"/>
          <c:order val="1"/>
          <c:tx>
            <c:v>Family Four (three children, on-benefit)</c:v>
          </c:tx>
          <c:spPr>
            <a:ln w="28575" cap="rnd">
              <a:solidFill>
                <a:schemeClr val="accent2"/>
              </a:solidFill>
              <a:round/>
            </a:ln>
            <a:effectLst/>
          </c:spPr>
          <c:marker>
            <c:symbol val="none"/>
          </c:marker>
          <c:dLbls>
            <c:dLbl>
              <c:idx val="0"/>
              <c:layout>
                <c:manualLayout>
                  <c:x val="-2.4941541217042489E-2"/>
                  <c:y val="9.8133316848996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6F7-4890-89D5-3EFF2A713FBC}"/>
                </c:ext>
              </c:extLst>
            </c:dLbl>
            <c:dLbl>
              <c:idx val="1"/>
              <c:delete val="1"/>
              <c:extLst>
                <c:ext xmlns:c15="http://schemas.microsoft.com/office/drawing/2012/chart" uri="{CE6537A1-D6FC-4f65-9D91-7224C49458BB}"/>
                <c:ext xmlns:c16="http://schemas.microsoft.com/office/drawing/2014/chart" uri="{C3380CC4-5D6E-409C-BE32-E72D297353CC}">
                  <c16:uniqueId val="{00000010-F6F7-4890-89D5-3EFF2A713FBC}"/>
                </c:ext>
              </c:extLst>
            </c:dLbl>
            <c:dLbl>
              <c:idx val="2"/>
              <c:delete val="1"/>
              <c:extLst>
                <c:ext xmlns:c15="http://schemas.microsoft.com/office/drawing/2012/chart" uri="{CE6537A1-D6FC-4f65-9D91-7224C49458BB}"/>
                <c:ext xmlns:c16="http://schemas.microsoft.com/office/drawing/2014/chart" uri="{C3380CC4-5D6E-409C-BE32-E72D297353CC}">
                  <c16:uniqueId val="{00000011-F6F7-4890-89D5-3EFF2A713FBC}"/>
                </c:ext>
              </c:extLst>
            </c:dLbl>
            <c:dLbl>
              <c:idx val="3"/>
              <c:delete val="1"/>
              <c:extLst>
                <c:ext xmlns:c15="http://schemas.microsoft.com/office/drawing/2012/chart" uri="{CE6537A1-D6FC-4f65-9D91-7224C49458BB}"/>
                <c:ext xmlns:c16="http://schemas.microsoft.com/office/drawing/2014/chart" uri="{C3380CC4-5D6E-409C-BE32-E72D297353CC}">
                  <c16:uniqueId val="{00000012-F6F7-4890-89D5-3EFF2A713FBC}"/>
                </c:ext>
              </c:extLst>
            </c:dLbl>
            <c:dLbl>
              <c:idx val="4"/>
              <c:delete val="1"/>
              <c:extLst>
                <c:ext xmlns:c15="http://schemas.microsoft.com/office/drawing/2012/chart" uri="{CE6537A1-D6FC-4f65-9D91-7224C49458BB}"/>
                <c:ext xmlns:c16="http://schemas.microsoft.com/office/drawing/2014/chart" uri="{C3380CC4-5D6E-409C-BE32-E72D297353CC}">
                  <c16:uniqueId val="{00000013-F6F7-4890-89D5-3EFF2A713FBC}"/>
                </c:ext>
              </c:extLst>
            </c:dLbl>
            <c:dLbl>
              <c:idx val="5"/>
              <c:delete val="1"/>
              <c:extLst>
                <c:ext xmlns:c15="http://schemas.microsoft.com/office/drawing/2012/chart" uri="{CE6537A1-D6FC-4f65-9D91-7224C49458BB}"/>
                <c:ext xmlns:c16="http://schemas.microsoft.com/office/drawing/2014/chart" uri="{C3380CC4-5D6E-409C-BE32-E72D297353CC}">
                  <c16:uniqueId val="{00000014-F6F7-4890-89D5-3EFF2A713FBC}"/>
                </c:ext>
              </c:extLst>
            </c:dLbl>
            <c:dLbl>
              <c:idx val="6"/>
              <c:delete val="1"/>
              <c:extLst>
                <c:ext xmlns:c15="http://schemas.microsoft.com/office/drawing/2012/chart" uri="{CE6537A1-D6FC-4f65-9D91-7224C49458BB}"/>
                <c:ext xmlns:c16="http://schemas.microsoft.com/office/drawing/2014/chart" uri="{C3380CC4-5D6E-409C-BE32-E72D297353CC}">
                  <c16:uniqueId val="{00000015-F6F7-4890-89D5-3EFF2A713FBC}"/>
                </c:ext>
              </c:extLst>
            </c:dLbl>
            <c:dLbl>
              <c:idx val="7"/>
              <c:delete val="1"/>
              <c:extLst>
                <c:ext xmlns:c15="http://schemas.microsoft.com/office/drawing/2012/chart" uri="{CE6537A1-D6FC-4f65-9D91-7224C49458BB}"/>
                <c:ext xmlns:c16="http://schemas.microsoft.com/office/drawing/2014/chart" uri="{C3380CC4-5D6E-409C-BE32-E72D297353CC}">
                  <c16:uniqueId val="{00000016-F6F7-4890-89D5-3EFF2A713FBC}"/>
                </c:ext>
              </c:extLst>
            </c:dLbl>
            <c:dLbl>
              <c:idx val="8"/>
              <c:delete val="1"/>
              <c:extLst>
                <c:ext xmlns:c15="http://schemas.microsoft.com/office/drawing/2012/chart" uri="{CE6537A1-D6FC-4f65-9D91-7224C49458BB}"/>
                <c:ext xmlns:c16="http://schemas.microsoft.com/office/drawing/2014/chart" uri="{C3380CC4-5D6E-409C-BE32-E72D297353CC}">
                  <c16:uniqueId val="{00000017-F6F7-4890-89D5-3EFF2A713FBC}"/>
                </c:ext>
              </c:extLst>
            </c:dLbl>
            <c:dLbl>
              <c:idx val="9"/>
              <c:delete val="1"/>
              <c:extLst>
                <c:ext xmlns:c15="http://schemas.microsoft.com/office/drawing/2012/chart" uri="{CE6537A1-D6FC-4f65-9D91-7224C49458BB}"/>
                <c:ext xmlns:c16="http://schemas.microsoft.com/office/drawing/2014/chart" uri="{C3380CC4-5D6E-409C-BE32-E72D297353CC}">
                  <c16:uniqueId val="{00000018-F6F7-4890-89D5-3EFF2A713FBC}"/>
                </c:ext>
              </c:extLst>
            </c:dLbl>
            <c:dLbl>
              <c:idx val="10"/>
              <c:delete val="1"/>
              <c:extLst>
                <c:ext xmlns:c15="http://schemas.microsoft.com/office/drawing/2012/chart" uri="{CE6537A1-D6FC-4f65-9D91-7224C49458BB}"/>
                <c:ext xmlns:c16="http://schemas.microsoft.com/office/drawing/2014/chart" uri="{C3380CC4-5D6E-409C-BE32-E72D297353CC}">
                  <c16:uniqueId val="{00000019-F6F7-4890-89D5-3EFF2A713FBC}"/>
                </c:ext>
              </c:extLst>
            </c:dLbl>
            <c:dLbl>
              <c:idx val="11"/>
              <c:delete val="1"/>
              <c:extLst>
                <c:ext xmlns:c15="http://schemas.microsoft.com/office/drawing/2012/chart" uri="{CE6537A1-D6FC-4f65-9D91-7224C49458BB}"/>
                <c:ext xmlns:c16="http://schemas.microsoft.com/office/drawing/2014/chart" uri="{C3380CC4-5D6E-409C-BE32-E72D297353CC}">
                  <c16:uniqueId val="{0000001A-F6F7-4890-89D5-3EFF2A713FBC}"/>
                </c:ext>
              </c:extLst>
            </c:dLbl>
            <c:dLbl>
              <c:idx val="12"/>
              <c:layout>
                <c:manualLayout>
                  <c:x val="-8.8632838466651889E-2"/>
                  <c:y val="0.148883374689826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6F7-4890-89D5-3EFF2A713FBC}"/>
                </c:ext>
              </c:extLst>
            </c:dLbl>
            <c:dLbl>
              <c:idx val="13"/>
              <c:layout>
                <c:manualLayout>
                  <c:x val="-3.7292964681209663E-2"/>
                  <c:y val="0.119466563408651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6F7-4890-89D5-3EFF2A713F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'All families wage indexed'!$B$6:$B$19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'All families wage indexed'!$F$6:$F$19</c:f>
              <c:numCache>
                <c:formatCode>_("$"* #,##0.00_);_("$"* \(#,##0.00\);_("$"* "-"??_);_(@_)</c:formatCode>
                <c:ptCount val="14"/>
                <c:pt idx="0">
                  <c:v>286.74074074074076</c:v>
                </c:pt>
                <c:pt idx="1">
                  <c:v>278.7591228070176</c:v>
                </c:pt>
                <c:pt idx="2">
                  <c:v>276.16525423728814</c:v>
                </c:pt>
                <c:pt idx="3">
                  <c:v>277.8</c:v>
                </c:pt>
                <c:pt idx="4">
                  <c:v>271.3988571428572</c:v>
                </c:pt>
                <c:pt idx="5">
                  <c:v>276.79351778656132</c:v>
                </c:pt>
                <c:pt idx="6">
                  <c:v>270.3813127413128</c:v>
                </c:pt>
                <c:pt idx="7">
                  <c:v>262.28000000000003</c:v>
                </c:pt>
                <c:pt idx="8">
                  <c:v>255.5794160583942</c:v>
                </c:pt>
                <c:pt idx="9">
                  <c:v>251.90201438848922</c:v>
                </c:pt>
                <c:pt idx="10">
                  <c:v>246.58014084507045</c:v>
                </c:pt>
                <c:pt idx="11">
                  <c:v>297.792380952381</c:v>
                </c:pt>
                <c:pt idx="12">
                  <c:v>306.19881967213115</c:v>
                </c:pt>
                <c:pt idx="13">
                  <c:v>295.54000000000002</c:v>
                </c:pt>
              </c:numCache>
            </c:numRef>
          </c:val>
          <c:smooth val="0"/>
          <c:extLst>
            <c:ext xmlns:c16="http://schemas.microsoft.com/office/drawing/2014/chart" uri="{C3380CC4-5D6E-409C-BE32-E72D297353CC}">
              <c16:uniqueId val="{0000001D-F6F7-4890-89D5-3EFF2A713FBC}"/>
            </c:ext>
          </c:extLst>
        </c:ser>
        <c:dLbls>
          <c:showLegendKey val="0"/>
          <c:showVal val="0"/>
          <c:showCatName val="0"/>
          <c:showSerName val="0"/>
          <c:showPercent val="0"/>
          <c:showBubbleSize val="0"/>
        </c:dLbls>
        <c:smooth val="0"/>
        <c:axId val="-1426508096"/>
        <c:axId val="-1426517888"/>
      </c:lineChart>
      <c:catAx>
        <c:axId val="-1426508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ended March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6517888"/>
        <c:crosses val="autoZero"/>
        <c:auto val="1"/>
        <c:lblAlgn val="ctr"/>
        <c:lblOffset val="100"/>
        <c:noMultiLvlLbl val="0"/>
      </c:catAx>
      <c:valAx>
        <c:axId val="-1426517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Maximum weekly rates ($NZD)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6508096"/>
        <c:crosses val="autoZero"/>
        <c:crossBetween val="between"/>
      </c:valAx>
      <c:spPr>
        <a:noFill/>
        <a:ln>
          <a:noFill/>
        </a:ln>
        <a:effectLst/>
      </c:spPr>
    </c:plotArea>
    <c:legend>
      <c:legendPos val="b"/>
      <c:layout>
        <c:manualLayout>
          <c:xMode val="edge"/>
          <c:yMode val="edge"/>
          <c:x val="0.81395548468030243"/>
          <c:y val="0.26053880079788133"/>
          <c:w val="0.18349509989514107"/>
          <c:h val="0.442111863244705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Family Five (six children, off-benefit)</c:v>
          </c:tx>
          <c:spPr>
            <a:ln w="28575" cap="rnd">
              <a:solidFill>
                <a:schemeClr val="accent1"/>
              </a:solidFill>
              <a:round/>
            </a:ln>
            <a:effectLst/>
          </c:spPr>
          <c:marker>
            <c:symbol val="none"/>
          </c:marker>
          <c:dLbls>
            <c:dLbl>
              <c:idx val="0"/>
              <c:layout>
                <c:manualLayout>
                  <c:x val="-3.3333333333333347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3C-49B0-A9E1-B9606F3568DF}"/>
                </c:ext>
              </c:extLst>
            </c:dLbl>
            <c:dLbl>
              <c:idx val="1"/>
              <c:delete val="1"/>
              <c:extLst>
                <c:ext xmlns:c15="http://schemas.microsoft.com/office/drawing/2012/chart" uri="{CE6537A1-D6FC-4f65-9D91-7224C49458BB}"/>
                <c:ext xmlns:c16="http://schemas.microsoft.com/office/drawing/2014/chart" uri="{C3380CC4-5D6E-409C-BE32-E72D297353CC}">
                  <c16:uniqueId val="{00000001-573C-49B0-A9E1-B9606F3568DF}"/>
                </c:ext>
              </c:extLst>
            </c:dLbl>
            <c:dLbl>
              <c:idx val="2"/>
              <c:delete val="1"/>
              <c:extLst>
                <c:ext xmlns:c15="http://schemas.microsoft.com/office/drawing/2012/chart" uri="{CE6537A1-D6FC-4f65-9D91-7224C49458BB}"/>
                <c:ext xmlns:c16="http://schemas.microsoft.com/office/drawing/2014/chart" uri="{C3380CC4-5D6E-409C-BE32-E72D297353CC}">
                  <c16:uniqueId val="{00000002-573C-49B0-A9E1-B9606F3568DF}"/>
                </c:ext>
              </c:extLst>
            </c:dLbl>
            <c:dLbl>
              <c:idx val="3"/>
              <c:delete val="1"/>
              <c:extLst>
                <c:ext xmlns:c15="http://schemas.microsoft.com/office/drawing/2012/chart" uri="{CE6537A1-D6FC-4f65-9D91-7224C49458BB}"/>
                <c:ext xmlns:c16="http://schemas.microsoft.com/office/drawing/2014/chart" uri="{C3380CC4-5D6E-409C-BE32-E72D297353CC}">
                  <c16:uniqueId val="{00000003-573C-49B0-A9E1-B9606F3568DF}"/>
                </c:ext>
              </c:extLst>
            </c:dLbl>
            <c:dLbl>
              <c:idx val="4"/>
              <c:delete val="1"/>
              <c:extLst>
                <c:ext xmlns:c15="http://schemas.microsoft.com/office/drawing/2012/chart" uri="{CE6537A1-D6FC-4f65-9D91-7224C49458BB}"/>
                <c:ext xmlns:c16="http://schemas.microsoft.com/office/drawing/2014/chart" uri="{C3380CC4-5D6E-409C-BE32-E72D297353CC}">
                  <c16:uniqueId val="{00000004-573C-49B0-A9E1-B9606F3568DF}"/>
                </c:ext>
              </c:extLst>
            </c:dLbl>
            <c:dLbl>
              <c:idx val="5"/>
              <c:delete val="1"/>
              <c:extLst>
                <c:ext xmlns:c15="http://schemas.microsoft.com/office/drawing/2012/chart" uri="{CE6537A1-D6FC-4f65-9D91-7224C49458BB}"/>
                <c:ext xmlns:c16="http://schemas.microsoft.com/office/drawing/2014/chart" uri="{C3380CC4-5D6E-409C-BE32-E72D297353CC}">
                  <c16:uniqueId val="{00000005-573C-49B0-A9E1-B9606F3568DF}"/>
                </c:ext>
              </c:extLst>
            </c:dLbl>
            <c:dLbl>
              <c:idx val="6"/>
              <c:delete val="1"/>
              <c:extLst>
                <c:ext xmlns:c15="http://schemas.microsoft.com/office/drawing/2012/chart" uri="{CE6537A1-D6FC-4f65-9D91-7224C49458BB}"/>
                <c:ext xmlns:c16="http://schemas.microsoft.com/office/drawing/2014/chart" uri="{C3380CC4-5D6E-409C-BE32-E72D297353CC}">
                  <c16:uniqueId val="{00000006-573C-49B0-A9E1-B9606F3568DF}"/>
                </c:ext>
              </c:extLst>
            </c:dLbl>
            <c:dLbl>
              <c:idx val="7"/>
              <c:delete val="1"/>
              <c:extLst>
                <c:ext xmlns:c15="http://schemas.microsoft.com/office/drawing/2012/chart" uri="{CE6537A1-D6FC-4f65-9D91-7224C49458BB}"/>
                <c:ext xmlns:c16="http://schemas.microsoft.com/office/drawing/2014/chart" uri="{C3380CC4-5D6E-409C-BE32-E72D297353CC}">
                  <c16:uniqueId val="{00000007-573C-49B0-A9E1-B9606F3568DF}"/>
                </c:ext>
              </c:extLst>
            </c:dLbl>
            <c:dLbl>
              <c:idx val="8"/>
              <c:delete val="1"/>
              <c:extLst>
                <c:ext xmlns:c15="http://schemas.microsoft.com/office/drawing/2012/chart" uri="{CE6537A1-D6FC-4f65-9D91-7224C49458BB}"/>
                <c:ext xmlns:c16="http://schemas.microsoft.com/office/drawing/2014/chart" uri="{C3380CC4-5D6E-409C-BE32-E72D297353CC}">
                  <c16:uniqueId val="{00000008-573C-49B0-A9E1-B9606F3568DF}"/>
                </c:ext>
              </c:extLst>
            </c:dLbl>
            <c:dLbl>
              <c:idx val="9"/>
              <c:delete val="1"/>
              <c:extLst>
                <c:ext xmlns:c15="http://schemas.microsoft.com/office/drawing/2012/chart" uri="{CE6537A1-D6FC-4f65-9D91-7224C49458BB}"/>
                <c:ext xmlns:c16="http://schemas.microsoft.com/office/drawing/2014/chart" uri="{C3380CC4-5D6E-409C-BE32-E72D297353CC}">
                  <c16:uniqueId val="{00000009-573C-49B0-A9E1-B9606F3568DF}"/>
                </c:ext>
              </c:extLst>
            </c:dLbl>
            <c:dLbl>
              <c:idx val="10"/>
              <c:delete val="1"/>
              <c:extLst>
                <c:ext xmlns:c15="http://schemas.microsoft.com/office/drawing/2012/chart" uri="{CE6537A1-D6FC-4f65-9D91-7224C49458BB}"/>
                <c:ext xmlns:c16="http://schemas.microsoft.com/office/drawing/2014/chart" uri="{C3380CC4-5D6E-409C-BE32-E72D297353CC}">
                  <c16:uniqueId val="{0000000A-573C-49B0-A9E1-B9606F3568DF}"/>
                </c:ext>
              </c:extLst>
            </c:dLbl>
            <c:dLbl>
              <c:idx val="11"/>
              <c:delete val="1"/>
              <c:extLst>
                <c:ext xmlns:c15="http://schemas.microsoft.com/office/drawing/2012/chart" uri="{CE6537A1-D6FC-4f65-9D91-7224C49458BB}"/>
                <c:ext xmlns:c16="http://schemas.microsoft.com/office/drawing/2014/chart" uri="{C3380CC4-5D6E-409C-BE32-E72D297353CC}">
                  <c16:uniqueId val="{0000000B-573C-49B0-A9E1-B9606F3568DF}"/>
                </c:ext>
              </c:extLst>
            </c:dLbl>
            <c:dLbl>
              <c:idx val="12"/>
              <c:layout>
                <c:manualLayout>
                  <c:x val="-9.095951192457033E-2"/>
                  <c:y val="-8.64618885096700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73C-49B0-A9E1-B9606F3568DF}"/>
                </c:ext>
              </c:extLst>
            </c:dLbl>
            <c:dLbl>
              <c:idx val="13"/>
              <c:layout>
                <c:manualLayout>
                  <c:x val="-1.3888888888888788E-2"/>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73C-49B0-A9E1-B9606F3568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'All families wage indexed'!$B$6:$B$19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'All families wage indexed'!$G$6:$G$19</c:f>
              <c:numCache>
                <c:formatCode>_("$"* #,##0.00_);_("$"* \(#,##0.00\);_("$"* "-"??_);_(@_)</c:formatCode>
                <c:ptCount val="14"/>
                <c:pt idx="0">
                  <c:v>787.07407407407413</c:v>
                </c:pt>
                <c:pt idx="1">
                  <c:v>761.33824561403503</c:v>
                </c:pt>
                <c:pt idx="2">
                  <c:v>750.67406779661019</c:v>
                </c:pt>
                <c:pt idx="3">
                  <c:v>753.68000000000006</c:v>
                </c:pt>
                <c:pt idx="4">
                  <c:v>734.97730612244891</c:v>
                </c:pt>
                <c:pt idx="5">
                  <c:v>729.77264822134396</c:v>
                </c:pt>
                <c:pt idx="6">
                  <c:v>712.8667181467182</c:v>
                </c:pt>
                <c:pt idx="7">
                  <c:v>691.50741573033702</c:v>
                </c:pt>
                <c:pt idx="8">
                  <c:v>673.84116788321171</c:v>
                </c:pt>
                <c:pt idx="9">
                  <c:v>678.35424460431659</c:v>
                </c:pt>
                <c:pt idx="10">
                  <c:v>664.02281690140842</c:v>
                </c:pt>
                <c:pt idx="11">
                  <c:v>731.57224489795919</c:v>
                </c:pt>
                <c:pt idx="12">
                  <c:v>734.13534426229512</c:v>
                </c:pt>
                <c:pt idx="13">
                  <c:v>708.58</c:v>
                </c:pt>
              </c:numCache>
            </c:numRef>
          </c:val>
          <c:smooth val="0"/>
          <c:extLst>
            <c:ext xmlns:c16="http://schemas.microsoft.com/office/drawing/2014/chart" uri="{C3380CC4-5D6E-409C-BE32-E72D297353CC}">
              <c16:uniqueId val="{0000000E-573C-49B0-A9E1-B9606F3568DF}"/>
            </c:ext>
          </c:extLst>
        </c:ser>
        <c:ser>
          <c:idx val="1"/>
          <c:order val="1"/>
          <c:tx>
            <c:v>Family Six (six children, on-benefit)</c:v>
          </c:tx>
          <c:spPr>
            <a:ln w="28575" cap="rnd">
              <a:solidFill>
                <a:schemeClr val="accent2"/>
              </a:solidFill>
              <a:round/>
            </a:ln>
            <a:effectLst/>
          </c:spPr>
          <c:marker>
            <c:symbol val="none"/>
          </c:marker>
          <c:dLbls>
            <c:dLbl>
              <c:idx val="0"/>
              <c:layout>
                <c:manualLayout>
                  <c:x val="-3.6111111111111108E-2"/>
                  <c:y val="0.106481481481481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73C-49B0-A9E1-B9606F3568DF}"/>
                </c:ext>
              </c:extLst>
            </c:dLbl>
            <c:dLbl>
              <c:idx val="1"/>
              <c:delete val="1"/>
              <c:extLst>
                <c:ext xmlns:c15="http://schemas.microsoft.com/office/drawing/2012/chart" uri="{CE6537A1-D6FC-4f65-9D91-7224C49458BB}"/>
                <c:ext xmlns:c16="http://schemas.microsoft.com/office/drawing/2014/chart" uri="{C3380CC4-5D6E-409C-BE32-E72D297353CC}">
                  <c16:uniqueId val="{00000010-573C-49B0-A9E1-B9606F3568DF}"/>
                </c:ext>
              </c:extLst>
            </c:dLbl>
            <c:dLbl>
              <c:idx val="2"/>
              <c:delete val="1"/>
              <c:extLst>
                <c:ext xmlns:c15="http://schemas.microsoft.com/office/drawing/2012/chart" uri="{CE6537A1-D6FC-4f65-9D91-7224C49458BB}"/>
                <c:ext xmlns:c16="http://schemas.microsoft.com/office/drawing/2014/chart" uri="{C3380CC4-5D6E-409C-BE32-E72D297353CC}">
                  <c16:uniqueId val="{00000011-573C-49B0-A9E1-B9606F3568DF}"/>
                </c:ext>
              </c:extLst>
            </c:dLbl>
            <c:dLbl>
              <c:idx val="3"/>
              <c:delete val="1"/>
              <c:extLst>
                <c:ext xmlns:c15="http://schemas.microsoft.com/office/drawing/2012/chart" uri="{CE6537A1-D6FC-4f65-9D91-7224C49458BB}"/>
                <c:ext xmlns:c16="http://schemas.microsoft.com/office/drawing/2014/chart" uri="{C3380CC4-5D6E-409C-BE32-E72D297353CC}">
                  <c16:uniqueId val="{00000012-573C-49B0-A9E1-B9606F3568DF}"/>
                </c:ext>
              </c:extLst>
            </c:dLbl>
            <c:dLbl>
              <c:idx val="4"/>
              <c:delete val="1"/>
              <c:extLst>
                <c:ext xmlns:c15="http://schemas.microsoft.com/office/drawing/2012/chart" uri="{CE6537A1-D6FC-4f65-9D91-7224C49458BB}"/>
                <c:ext xmlns:c16="http://schemas.microsoft.com/office/drawing/2014/chart" uri="{C3380CC4-5D6E-409C-BE32-E72D297353CC}">
                  <c16:uniqueId val="{00000013-573C-49B0-A9E1-B9606F3568DF}"/>
                </c:ext>
              </c:extLst>
            </c:dLbl>
            <c:dLbl>
              <c:idx val="5"/>
              <c:delete val="1"/>
              <c:extLst>
                <c:ext xmlns:c15="http://schemas.microsoft.com/office/drawing/2012/chart" uri="{CE6537A1-D6FC-4f65-9D91-7224C49458BB}"/>
                <c:ext xmlns:c16="http://schemas.microsoft.com/office/drawing/2014/chart" uri="{C3380CC4-5D6E-409C-BE32-E72D297353CC}">
                  <c16:uniqueId val="{00000014-573C-49B0-A9E1-B9606F3568DF}"/>
                </c:ext>
              </c:extLst>
            </c:dLbl>
            <c:dLbl>
              <c:idx val="6"/>
              <c:delete val="1"/>
              <c:extLst>
                <c:ext xmlns:c15="http://schemas.microsoft.com/office/drawing/2012/chart" uri="{CE6537A1-D6FC-4f65-9D91-7224C49458BB}"/>
                <c:ext xmlns:c16="http://schemas.microsoft.com/office/drawing/2014/chart" uri="{C3380CC4-5D6E-409C-BE32-E72D297353CC}">
                  <c16:uniqueId val="{00000015-573C-49B0-A9E1-B9606F3568DF}"/>
                </c:ext>
              </c:extLst>
            </c:dLbl>
            <c:dLbl>
              <c:idx val="7"/>
              <c:delete val="1"/>
              <c:extLst>
                <c:ext xmlns:c15="http://schemas.microsoft.com/office/drawing/2012/chart" uri="{CE6537A1-D6FC-4f65-9D91-7224C49458BB}"/>
                <c:ext xmlns:c16="http://schemas.microsoft.com/office/drawing/2014/chart" uri="{C3380CC4-5D6E-409C-BE32-E72D297353CC}">
                  <c16:uniqueId val="{00000016-573C-49B0-A9E1-B9606F3568DF}"/>
                </c:ext>
              </c:extLst>
            </c:dLbl>
            <c:dLbl>
              <c:idx val="8"/>
              <c:delete val="1"/>
              <c:extLst>
                <c:ext xmlns:c15="http://schemas.microsoft.com/office/drawing/2012/chart" uri="{CE6537A1-D6FC-4f65-9D91-7224C49458BB}"/>
                <c:ext xmlns:c16="http://schemas.microsoft.com/office/drawing/2014/chart" uri="{C3380CC4-5D6E-409C-BE32-E72D297353CC}">
                  <c16:uniqueId val="{00000017-573C-49B0-A9E1-B9606F3568DF}"/>
                </c:ext>
              </c:extLst>
            </c:dLbl>
            <c:dLbl>
              <c:idx val="9"/>
              <c:delete val="1"/>
              <c:extLst>
                <c:ext xmlns:c15="http://schemas.microsoft.com/office/drawing/2012/chart" uri="{CE6537A1-D6FC-4f65-9D91-7224C49458BB}"/>
                <c:ext xmlns:c16="http://schemas.microsoft.com/office/drawing/2014/chart" uri="{C3380CC4-5D6E-409C-BE32-E72D297353CC}">
                  <c16:uniqueId val="{00000018-573C-49B0-A9E1-B9606F3568DF}"/>
                </c:ext>
              </c:extLst>
            </c:dLbl>
            <c:dLbl>
              <c:idx val="10"/>
              <c:delete val="1"/>
              <c:extLst>
                <c:ext xmlns:c15="http://schemas.microsoft.com/office/drawing/2012/chart" uri="{CE6537A1-D6FC-4f65-9D91-7224C49458BB}"/>
                <c:ext xmlns:c16="http://schemas.microsoft.com/office/drawing/2014/chart" uri="{C3380CC4-5D6E-409C-BE32-E72D297353CC}">
                  <c16:uniqueId val="{00000019-573C-49B0-A9E1-B9606F3568DF}"/>
                </c:ext>
              </c:extLst>
            </c:dLbl>
            <c:dLbl>
              <c:idx val="11"/>
              <c:delete val="1"/>
              <c:extLst>
                <c:ext xmlns:c15="http://schemas.microsoft.com/office/drawing/2012/chart" uri="{CE6537A1-D6FC-4f65-9D91-7224C49458BB}"/>
                <c:ext xmlns:c16="http://schemas.microsoft.com/office/drawing/2014/chart" uri="{C3380CC4-5D6E-409C-BE32-E72D297353CC}">
                  <c16:uniqueId val="{0000001A-573C-49B0-A9E1-B9606F3568DF}"/>
                </c:ext>
              </c:extLst>
            </c:dLbl>
            <c:dLbl>
              <c:idx val="12"/>
              <c:layout>
                <c:manualLayout>
                  <c:x val="-0.11314475873544093"/>
                  <c:y val="9.5563139931740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73C-49B0-A9E1-B9606F3568DF}"/>
                </c:ext>
              </c:extLst>
            </c:dLbl>
            <c:dLbl>
              <c:idx val="13"/>
              <c:layout>
                <c:manualLayout>
                  <c:x val="-4.1666666666666664E-2"/>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73C-49B0-A9E1-B9606F3568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'All families wage indexed'!$B$6:$B$19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'All families wage indexed'!$H$6:$H$19</c:f>
              <c:numCache>
                <c:formatCode>_("$"* #,##0.00_);_("$"* \(#,##0.00\);_("$"* "-"??_);_(@_)</c:formatCode>
                <c:ptCount val="14"/>
                <c:pt idx="0">
                  <c:v>633.46296296296293</c:v>
                </c:pt>
                <c:pt idx="1">
                  <c:v>615.81192982456139</c:v>
                </c:pt>
                <c:pt idx="2">
                  <c:v>610.0808474576271</c:v>
                </c:pt>
                <c:pt idx="3">
                  <c:v>613.68000000000006</c:v>
                </c:pt>
                <c:pt idx="4">
                  <c:v>599.54873469387758</c:v>
                </c:pt>
                <c:pt idx="5">
                  <c:v>598.62640316205534</c:v>
                </c:pt>
                <c:pt idx="6">
                  <c:v>584.75861003861007</c:v>
                </c:pt>
                <c:pt idx="7">
                  <c:v>567.23775280898872</c:v>
                </c:pt>
                <c:pt idx="8">
                  <c:v>552.74627737226285</c:v>
                </c:pt>
                <c:pt idx="9">
                  <c:v>544.79309352517987</c:v>
                </c:pt>
                <c:pt idx="10">
                  <c:v>533.28338028169014</c:v>
                </c:pt>
                <c:pt idx="11">
                  <c:v>605.27972789115654</c:v>
                </c:pt>
                <c:pt idx="12">
                  <c:v>612.3976393442623</c:v>
                </c:pt>
                <c:pt idx="13">
                  <c:v>591.08000000000004</c:v>
                </c:pt>
              </c:numCache>
            </c:numRef>
          </c:val>
          <c:smooth val="0"/>
          <c:extLst>
            <c:ext xmlns:c16="http://schemas.microsoft.com/office/drawing/2014/chart" uri="{C3380CC4-5D6E-409C-BE32-E72D297353CC}">
              <c16:uniqueId val="{0000001D-573C-49B0-A9E1-B9606F3568DF}"/>
            </c:ext>
          </c:extLst>
        </c:ser>
        <c:dLbls>
          <c:showLegendKey val="0"/>
          <c:showVal val="0"/>
          <c:showCatName val="0"/>
          <c:showSerName val="0"/>
          <c:showPercent val="0"/>
          <c:showBubbleSize val="0"/>
        </c:dLbls>
        <c:smooth val="0"/>
        <c:axId val="-1426507008"/>
        <c:axId val="-1426501024"/>
      </c:lineChart>
      <c:catAx>
        <c:axId val="-142650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6501024"/>
        <c:crosses val="autoZero"/>
        <c:auto val="1"/>
        <c:lblAlgn val="ctr"/>
        <c:lblOffset val="100"/>
        <c:noMultiLvlLbl val="0"/>
      </c:catAx>
      <c:valAx>
        <c:axId val="-1426501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Maximum weekly rates (NZD)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650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22127328113236"/>
          <c:y val="0.1214447408710056"/>
          <c:w val="0.69371585998203567"/>
          <c:h val="0.72565310986989418"/>
        </c:manualLayout>
      </c:layout>
      <c:lineChart>
        <c:grouping val="standard"/>
        <c:varyColors val="0"/>
        <c:ser>
          <c:idx val="0"/>
          <c:order val="0"/>
          <c:tx>
            <c:v>Nominal WFF spending</c:v>
          </c:tx>
          <c:spPr>
            <a:ln w="28575" cap="rnd">
              <a:solidFill>
                <a:schemeClr val="accent1"/>
              </a:solidFill>
              <a:round/>
            </a:ln>
            <a:effectLst/>
          </c:spPr>
          <c:marker>
            <c:symbol val="none"/>
          </c:marker>
          <c:dLbls>
            <c:dLbl>
              <c:idx val="0"/>
              <c:layout>
                <c:manualLayout>
                  <c:x val="-1.7085423980849977E-2"/>
                  <c:y val="-0.104337708678192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45-4213-81CA-1597EDC1BD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'Macro figures (BS separate)'!$B$14:$B$27</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 (forecast)</c:v>
                </c:pt>
              </c:strCache>
            </c:strRef>
          </c:cat>
          <c:val>
            <c:numRef>
              <c:f>'Macro figures (BS separate)'!$C$9:$P$9</c:f>
              <c:numCache>
                <c:formatCode>_("$"* #,##0.00_);_("$"* \(#,##0.00\);_("$"* "-"??_);_(@_)</c:formatCode>
                <c:ptCount val="14"/>
                <c:pt idx="0">
                  <c:v>2511</c:v>
                </c:pt>
                <c:pt idx="1">
                  <c:v>2681</c:v>
                </c:pt>
                <c:pt idx="2">
                  <c:v>2796</c:v>
                </c:pt>
                <c:pt idx="3">
                  <c:v>2755</c:v>
                </c:pt>
                <c:pt idx="4">
                  <c:v>2670</c:v>
                </c:pt>
                <c:pt idx="5">
                  <c:v>2593</c:v>
                </c:pt>
                <c:pt idx="6">
                  <c:v>2532</c:v>
                </c:pt>
                <c:pt idx="7">
                  <c:v>2403</c:v>
                </c:pt>
                <c:pt idx="8">
                  <c:v>2352</c:v>
                </c:pt>
                <c:pt idx="9">
                  <c:v>2319</c:v>
                </c:pt>
                <c:pt idx="10">
                  <c:v>2195</c:v>
                </c:pt>
                <c:pt idx="11">
                  <c:v>2814</c:v>
                </c:pt>
                <c:pt idx="12">
                  <c:v>3014</c:v>
                </c:pt>
                <c:pt idx="13">
                  <c:v>3124</c:v>
                </c:pt>
              </c:numCache>
            </c:numRef>
          </c:val>
          <c:smooth val="0"/>
          <c:extLst>
            <c:ext xmlns:c16="http://schemas.microsoft.com/office/drawing/2014/chart" uri="{C3380CC4-5D6E-409C-BE32-E72D297353CC}">
              <c16:uniqueId val="{00000001-3045-4213-81CA-1597EDC1BD83}"/>
            </c:ext>
          </c:extLst>
        </c:ser>
        <c:ser>
          <c:idx val="1"/>
          <c:order val="1"/>
          <c:tx>
            <c:v>Wage-adjusted WFF spending</c:v>
          </c:tx>
          <c:spPr>
            <a:ln w="28575" cap="rnd">
              <a:solidFill>
                <a:schemeClr val="accent2"/>
              </a:solidFill>
              <a:round/>
            </a:ln>
            <a:effectLst/>
          </c:spPr>
          <c:marker>
            <c:symbol val="none"/>
          </c:marker>
          <c:dLbls>
            <c:dLbl>
              <c:idx val="0"/>
              <c:layout>
                <c:manualLayout>
                  <c:x val="-1.4237853317374848E-3"/>
                  <c:y val="-7.3318389881973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45-4213-81CA-1597EDC1BD83}"/>
                </c:ext>
              </c:extLst>
            </c:dLbl>
            <c:dLbl>
              <c:idx val="13"/>
              <c:layout>
                <c:manualLayout>
                  <c:x val="8.5427119904248824E-3"/>
                  <c:y val="-7.3318389881973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45-4213-81CA-1597EDC1BD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'Macro figures (BS separate)'!$B$14:$B$27</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 (forecast)</c:v>
                </c:pt>
              </c:strCache>
            </c:strRef>
          </c:cat>
          <c:val>
            <c:numRef>
              <c:f>'Macro figures (BS separate)'!$E$32:$E$45</c:f>
              <c:numCache>
                <c:formatCode>_("$"* #,##0.00_);_("$"* \(#,##0.00\);_("$"* "-"??_);_(@_)</c:formatCode>
                <c:ptCount val="14"/>
                <c:pt idx="0">
                  <c:v>3674.3532110091742</c:v>
                </c:pt>
                <c:pt idx="1">
                  <c:v>3718.4304347826087</c:v>
                </c:pt>
                <c:pt idx="2">
                  <c:v>3795.4212765957441</c:v>
                </c:pt>
                <c:pt idx="3">
                  <c:v>3677.1757322175731</c:v>
                </c:pt>
                <c:pt idx="4">
                  <c:v>3476.4489795918362</c:v>
                </c:pt>
                <c:pt idx="5">
                  <c:v>3282.4087301587301</c:v>
                </c:pt>
                <c:pt idx="6">
                  <c:v>3106.5692307692302</c:v>
                </c:pt>
                <c:pt idx="7">
                  <c:v>2860.2873134328356</c:v>
                </c:pt>
                <c:pt idx="8">
                  <c:v>2738.2773722627735</c:v>
                </c:pt>
                <c:pt idx="9">
                  <c:v>2670.6173285198556</c:v>
                </c:pt>
                <c:pt idx="10">
                  <c:v>2448.2692307692305</c:v>
                </c:pt>
                <c:pt idx="11">
                  <c:v>3022.4444444444443</c:v>
                </c:pt>
                <c:pt idx="12">
                  <c:v>3152.347540983606</c:v>
                </c:pt>
                <c:pt idx="13">
                  <c:v>3124</c:v>
                </c:pt>
              </c:numCache>
            </c:numRef>
          </c:val>
          <c:smooth val="0"/>
          <c:extLst>
            <c:ext xmlns:c16="http://schemas.microsoft.com/office/drawing/2014/chart" uri="{C3380CC4-5D6E-409C-BE32-E72D297353CC}">
              <c16:uniqueId val="{00000004-3045-4213-81CA-1597EDC1BD83}"/>
            </c:ext>
          </c:extLst>
        </c:ser>
        <c:dLbls>
          <c:showLegendKey val="0"/>
          <c:showVal val="0"/>
          <c:showCatName val="0"/>
          <c:showSerName val="0"/>
          <c:showPercent val="0"/>
          <c:showBubbleSize val="0"/>
        </c:dLbls>
        <c:smooth val="0"/>
        <c:axId val="-1343680752"/>
        <c:axId val="-1343674224"/>
        <c:extLst/>
      </c:lineChart>
      <c:catAx>
        <c:axId val="-1343680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ended June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674224"/>
        <c:crosses val="autoZero"/>
        <c:auto val="1"/>
        <c:lblAlgn val="ctr"/>
        <c:lblOffset val="100"/>
        <c:noMultiLvlLbl val="0"/>
      </c:catAx>
      <c:valAx>
        <c:axId val="-1343674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$millions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6807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'WFF data'!$L$5</c:f>
              <c:strCache>
                <c:ptCount val="1"/>
                <c:pt idx="0">
                  <c:v>Nominal</c:v>
                </c:pt>
              </c:strCache>
            </c:strRef>
          </c:tx>
          <c:spPr>
            <a:ln w="28575" cap="rnd">
              <a:solidFill>
                <a:schemeClr val="accent1"/>
              </a:solidFill>
              <a:round/>
            </a:ln>
            <a:effectLst/>
          </c:spPr>
          <c:marker>
            <c:symbol val="none"/>
          </c:marker>
          <c:cat>
            <c:numRef>
              <c:f>'WFF data'!$A$6:$A$24</c:f>
              <c:numCache>
                <c:formatCode>General</c:formatCode>
                <c:ptCount val="19"/>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numCache>
            </c:numRef>
          </c:cat>
          <c:val>
            <c:numRef>
              <c:f>'WFF data'!$L$6:$L$24</c:f>
              <c:numCache>
                <c:formatCode>_-* #,##0.0_-;\-* #,##0.0_-;_-* "-"??_-;_-@_-</c:formatCode>
                <c:ptCount val="19"/>
                <c:pt idx="0">
                  <c:v>3455.8</c:v>
                </c:pt>
                <c:pt idx="1">
                  <c:v>3424.4</c:v>
                </c:pt>
                <c:pt idx="2">
                  <c:v>3456.8</c:v>
                </c:pt>
                <c:pt idx="3">
                  <c:v>3505.6</c:v>
                </c:pt>
                <c:pt idx="4">
                  <c:v>3473.2</c:v>
                </c:pt>
                <c:pt idx="5">
                  <c:v>4928.3</c:v>
                </c:pt>
                <c:pt idx="6">
                  <c:v>5797.8</c:v>
                </c:pt>
                <c:pt idx="7">
                  <c:v>6515.3</c:v>
                </c:pt>
                <c:pt idx="8">
                  <c:v>6614.7</c:v>
                </c:pt>
                <c:pt idx="9">
                  <c:v>6628.3</c:v>
                </c:pt>
                <c:pt idx="10">
                  <c:v>6463.7</c:v>
                </c:pt>
                <c:pt idx="11">
                  <c:v>6562.6</c:v>
                </c:pt>
                <c:pt idx="12">
                  <c:v>6731.3984168865436</c:v>
                </c:pt>
                <c:pt idx="13">
                  <c:v>6725.8241758241757</c:v>
                </c:pt>
                <c:pt idx="14">
                  <c:v>6798.4562607204116</c:v>
                </c:pt>
                <c:pt idx="15">
                  <c:v>6770.2981989961636</c:v>
                </c:pt>
                <c:pt idx="16">
                  <c:v>6958.9083103342527</c:v>
                </c:pt>
                <c:pt idx="17">
                  <c:v>6931.013258467332</c:v>
                </c:pt>
                <c:pt idx="18">
                  <c:v>7927.3302871473807</c:v>
                </c:pt>
              </c:numCache>
            </c:numRef>
          </c:val>
          <c:smooth val="0"/>
          <c:extLst>
            <c:ext xmlns:c16="http://schemas.microsoft.com/office/drawing/2014/chart" uri="{C3380CC4-5D6E-409C-BE32-E72D297353CC}">
              <c16:uniqueId val="{00000000-EB76-45E8-8446-7E0DAD61D2DE}"/>
            </c:ext>
          </c:extLst>
        </c:ser>
        <c:ser>
          <c:idx val="1"/>
          <c:order val="1"/>
          <c:tx>
            <c:strRef>
              <c:f>'WFF data'!$M$5</c:f>
              <c:strCache>
                <c:ptCount val="1"/>
                <c:pt idx="0">
                  <c:v>Wage Indexed ($2019)</c:v>
                </c:pt>
              </c:strCache>
            </c:strRef>
          </c:tx>
          <c:spPr>
            <a:ln w="28575" cap="rnd">
              <a:solidFill>
                <a:schemeClr val="accent2"/>
              </a:solidFill>
              <a:round/>
            </a:ln>
            <a:effectLst/>
          </c:spPr>
          <c:marker>
            <c:symbol val="none"/>
          </c:marker>
          <c:cat>
            <c:numRef>
              <c:f>'WFF data'!$A$6:$A$24</c:f>
              <c:numCache>
                <c:formatCode>General</c:formatCode>
                <c:ptCount val="19"/>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numCache>
            </c:numRef>
          </c:cat>
          <c:val>
            <c:numRef>
              <c:f>'WFF data'!$M$6:$M$24</c:f>
              <c:numCache>
                <c:formatCode>_(* #,##0.00_);_(* \(#,##0.00\);_(* "-"??_);_(@_)</c:formatCode>
                <c:ptCount val="19"/>
                <c:pt idx="0">
                  <c:v>6073.210650887575</c:v>
                </c:pt>
                <c:pt idx="1">
                  <c:v>5845.0965517241384</c:v>
                </c:pt>
                <c:pt idx="2">
                  <c:v>5703.72</c:v>
                </c:pt>
                <c:pt idx="3">
                  <c:v>5627.9091891891894</c:v>
                </c:pt>
                <c:pt idx="4">
                  <c:v>5457.885714285715</c:v>
                </c:pt>
                <c:pt idx="5">
                  <c:v>7355.3020100502517</c:v>
                </c:pt>
                <c:pt idx="6">
                  <c:v>8199.7457142857129</c:v>
                </c:pt>
                <c:pt idx="7">
                  <c:v>8876.3490825688077</c:v>
                </c:pt>
                <c:pt idx="8">
                  <c:v>8541.5908695652161</c:v>
                </c:pt>
                <c:pt idx="9">
                  <c:v>8377.0429787234043</c:v>
                </c:pt>
                <c:pt idx="10">
                  <c:v>8032.2966527196659</c:v>
                </c:pt>
                <c:pt idx="11">
                  <c:v>7955.4783673469383</c:v>
                </c:pt>
                <c:pt idx="12">
                  <c:v>7933.4338484734262</c:v>
                </c:pt>
                <c:pt idx="13">
                  <c:v>7682.9606931530006</c:v>
                </c:pt>
                <c:pt idx="14">
                  <c:v>7534.110109828217</c:v>
                </c:pt>
                <c:pt idx="15">
                  <c:v>7338.6079018316077</c:v>
                </c:pt>
                <c:pt idx="16">
                  <c:v>7461.3565637879892</c:v>
                </c:pt>
                <c:pt idx="17">
                  <c:v>7197.5906914853049</c:v>
                </c:pt>
                <c:pt idx="18">
                  <c:v>7927.3302871473807</c:v>
                </c:pt>
              </c:numCache>
            </c:numRef>
          </c:val>
          <c:smooth val="0"/>
          <c:extLst>
            <c:ext xmlns:c16="http://schemas.microsoft.com/office/drawing/2014/chart" uri="{C3380CC4-5D6E-409C-BE32-E72D297353CC}">
              <c16:uniqueId val="{00000001-EB76-45E8-8446-7E0DAD61D2DE}"/>
            </c:ext>
          </c:extLst>
        </c:ser>
        <c:dLbls>
          <c:showLegendKey val="0"/>
          <c:showVal val="0"/>
          <c:showCatName val="0"/>
          <c:showSerName val="0"/>
          <c:showPercent val="0"/>
          <c:showBubbleSize val="0"/>
        </c:dLbls>
        <c:smooth val="0"/>
        <c:axId val="-1343679120"/>
        <c:axId val="-1343662256"/>
      </c:lineChart>
      <c:catAx>
        <c:axId val="-134367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662256"/>
        <c:crosses val="autoZero"/>
        <c:auto val="1"/>
        <c:lblAlgn val="ctr"/>
        <c:lblOffset val="100"/>
        <c:noMultiLvlLbl val="0"/>
      </c:catAx>
      <c:valAx>
        <c:axId val="-1343662256"/>
        <c:scaling>
          <c:orientation val="minMax"/>
          <c:max val="9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Annual $ entitlement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67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1889550369322"/>
          <c:y val="2.2423023821348725E-2"/>
          <c:w val="0.85913859433264572"/>
          <c:h val="0.77381789309404303"/>
        </c:manualLayout>
      </c:layout>
      <c:lineChart>
        <c:grouping val="standard"/>
        <c:varyColors val="0"/>
        <c:ser>
          <c:idx val="0"/>
          <c:order val="0"/>
          <c:spPr>
            <a:ln w="28575" cap="rnd">
              <a:solidFill>
                <a:schemeClr val="accent1"/>
              </a:solidFill>
              <a:round/>
            </a:ln>
            <a:effectLst/>
          </c:spPr>
          <c:marker>
            <c:symbol val="none"/>
          </c:marker>
          <c:cat>
            <c:numRef>
              <c:f>'[wff-number-of-families (1).xlsx]WFF data'!$A$8:$A$24</c:f>
              <c:numCache>
                <c:formatCode>General</c:formatCode>
                <c:ptCount val="17"/>
                <c:pt idx="0" formatCode="0">
                  <c:v>2003</c:v>
                </c:pt>
                <c:pt idx="1">
                  <c:v>2004</c:v>
                </c:pt>
                <c:pt idx="2" formatCode="0">
                  <c:v>2005</c:v>
                </c:pt>
                <c:pt idx="3">
                  <c:v>2006</c:v>
                </c:pt>
                <c:pt idx="4" formatCode="0">
                  <c:v>2007</c:v>
                </c:pt>
                <c:pt idx="5">
                  <c:v>2008</c:v>
                </c:pt>
                <c:pt idx="6" formatCode="0">
                  <c:v>2009</c:v>
                </c:pt>
                <c:pt idx="7">
                  <c:v>2010</c:v>
                </c:pt>
                <c:pt idx="8" formatCode="0">
                  <c:v>2011</c:v>
                </c:pt>
                <c:pt idx="9">
                  <c:v>2012</c:v>
                </c:pt>
                <c:pt idx="10" formatCode="0">
                  <c:v>2013</c:v>
                </c:pt>
                <c:pt idx="11">
                  <c:v>2014</c:v>
                </c:pt>
                <c:pt idx="12" formatCode="0">
                  <c:v>2015</c:v>
                </c:pt>
                <c:pt idx="13">
                  <c:v>2016</c:v>
                </c:pt>
                <c:pt idx="14" formatCode="0">
                  <c:v>2017</c:v>
                </c:pt>
                <c:pt idx="15">
                  <c:v>2018</c:v>
                </c:pt>
                <c:pt idx="16" formatCode="0">
                  <c:v>2019</c:v>
                </c:pt>
              </c:numCache>
            </c:numRef>
          </c:cat>
          <c:val>
            <c:numRef>
              <c:f>'[wff-number-of-families (1).xlsx]WFF data'!$H$8:$H$24</c:f>
              <c:numCache>
                <c:formatCode>0.0</c:formatCode>
                <c:ptCount val="17"/>
                <c:pt idx="0">
                  <c:v>288.5</c:v>
                </c:pt>
                <c:pt idx="1">
                  <c:v>279.10000000000002</c:v>
                </c:pt>
                <c:pt idx="2">
                  <c:v>268.39999999999998</c:v>
                </c:pt>
                <c:pt idx="3">
                  <c:v>290.10000000000002</c:v>
                </c:pt>
                <c:pt idx="4">
                  <c:v>380.3</c:v>
                </c:pt>
                <c:pt idx="5">
                  <c:v>389.5</c:v>
                </c:pt>
                <c:pt idx="6">
                  <c:v>402.8</c:v>
                </c:pt>
                <c:pt idx="7">
                  <c:v>415.1</c:v>
                </c:pt>
                <c:pt idx="8">
                  <c:v>421.2</c:v>
                </c:pt>
                <c:pt idx="9">
                  <c:v>398.7</c:v>
                </c:pt>
                <c:pt idx="10">
                  <c:v>379</c:v>
                </c:pt>
                <c:pt idx="11">
                  <c:v>364</c:v>
                </c:pt>
                <c:pt idx="12">
                  <c:v>349.8</c:v>
                </c:pt>
                <c:pt idx="13">
                  <c:v>338.7</c:v>
                </c:pt>
                <c:pt idx="14">
                  <c:v>326.10000000000002</c:v>
                </c:pt>
                <c:pt idx="15">
                  <c:v>322.88799999999998</c:v>
                </c:pt>
                <c:pt idx="16">
                  <c:v>332.54700000000003</c:v>
                </c:pt>
              </c:numCache>
            </c:numRef>
          </c:val>
          <c:smooth val="0"/>
          <c:extLst>
            <c:ext xmlns:c16="http://schemas.microsoft.com/office/drawing/2014/chart" uri="{C3380CC4-5D6E-409C-BE32-E72D297353CC}">
              <c16:uniqueId val="{00000000-D6A9-46BA-8CE5-719BC2A5B8DE}"/>
            </c:ext>
          </c:extLst>
        </c:ser>
        <c:dLbls>
          <c:showLegendKey val="0"/>
          <c:showVal val="0"/>
          <c:showCatName val="0"/>
          <c:showSerName val="0"/>
          <c:showPercent val="0"/>
          <c:showBubbleSize val="0"/>
        </c:dLbls>
        <c:smooth val="0"/>
        <c:axId val="-1343660080"/>
        <c:axId val="-1343675856"/>
      </c:lineChart>
      <c:catAx>
        <c:axId val="-1343660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ending March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675856"/>
        <c:crosses val="autoZero"/>
        <c:auto val="1"/>
        <c:lblAlgn val="ctr"/>
        <c:lblOffset val="100"/>
        <c:noMultiLvlLbl val="0"/>
      </c:catAx>
      <c:valAx>
        <c:axId val="-1343675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Number</a:t>
                </a:r>
                <a:r>
                  <a:rPr lang="en-NZ" baseline="0"/>
                  <a:t> of families (,000)</a:t>
                </a:r>
                <a:endParaRPr lang="en-N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660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35059641935002"/>
          <c:y val="4.2145593869731802E-2"/>
          <c:w val="0.65514457034334128"/>
          <c:h val="0.80427791353667"/>
        </c:manualLayout>
      </c:layout>
      <c:lineChart>
        <c:grouping val="standard"/>
        <c:varyColors val="0"/>
        <c:ser>
          <c:idx val="0"/>
          <c:order val="0"/>
          <c:tx>
            <c:strRef>
              <c:f>Abatement!$E$11</c:f>
              <c:strCache>
                <c:ptCount val="1"/>
                <c:pt idx="0">
                  <c:v>Wage indexed (Q3, 2020 $)</c:v>
                </c:pt>
              </c:strCache>
            </c:strRef>
          </c:tx>
          <c:spPr>
            <a:ln w="28575" cap="rnd">
              <a:solidFill>
                <a:schemeClr val="accent1"/>
              </a:solidFill>
              <a:round/>
            </a:ln>
            <a:effectLst/>
          </c:spPr>
          <c:marker>
            <c:symbol val="none"/>
          </c:marker>
          <c:dLbls>
            <c:dLbl>
              <c:idx val="0"/>
              <c:layout>
                <c:manualLayout>
                  <c:x val="-1.5510746731664082E-2"/>
                  <c:y val="3.7761757638173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62F-4791-B82B-3DE37E7188BF}"/>
                </c:ext>
              </c:extLst>
            </c:dLbl>
            <c:dLbl>
              <c:idx val="10"/>
              <c:layout>
                <c:manualLayout>
                  <c:x val="-7.312209173498789E-2"/>
                  <c:y val="-8.5822176450394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62F-4791-B82B-3DE37E7188BF}"/>
                </c:ext>
              </c:extLst>
            </c:dLbl>
            <c:dLbl>
              <c:idx val="12"/>
              <c:layout>
                <c:manualLayout>
                  <c:x val="-3.9884777309993437E-2"/>
                  <c:y val="-4.1194644696189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62F-4791-B82B-3DE37E7188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Abatement!$C$12:$C$25</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strCache>
            </c:strRef>
          </c:cat>
          <c:val>
            <c:numRef>
              <c:f>Abatement!$F$12:$F$25</c:f>
              <c:numCache>
                <c:formatCode>_("$"* #,##0_);_("$"* \(#,##0\);_("$"* "-"??_);_(@_)</c:formatCode>
                <c:ptCount val="14"/>
                <c:pt idx="0">
                  <c:v>49421.296296296292</c:v>
                </c:pt>
                <c:pt idx="1">
                  <c:v>49774.850877192985</c:v>
                </c:pt>
                <c:pt idx="2">
                  <c:v>49310.728813559319</c:v>
                </c:pt>
                <c:pt idx="3">
                  <c:v>49102.666666666672</c:v>
                </c:pt>
                <c:pt idx="4">
                  <c:v>47499.314285714288</c:v>
                </c:pt>
                <c:pt idx="5">
                  <c:v>45401.581027667991</c:v>
                </c:pt>
                <c:pt idx="6">
                  <c:v>44349.80694980696</c:v>
                </c:pt>
                <c:pt idx="7">
                  <c:v>43020.973782771536</c:v>
                </c:pt>
                <c:pt idx="8">
                  <c:v>41921.897810218987</c:v>
                </c:pt>
                <c:pt idx="9">
                  <c:v>41318.705035971223</c:v>
                </c:pt>
                <c:pt idx="10">
                  <c:v>40445.774647887323</c:v>
                </c:pt>
                <c:pt idx="11">
                  <c:v>44192.707482993203</c:v>
                </c:pt>
                <c:pt idx="12">
                  <c:v>44240</c:v>
                </c:pt>
                <c:pt idx="13">
                  <c:v>42700</c:v>
                </c:pt>
              </c:numCache>
            </c:numRef>
          </c:val>
          <c:smooth val="0"/>
          <c:extLst>
            <c:ext xmlns:c16="http://schemas.microsoft.com/office/drawing/2014/chart" uri="{C3380CC4-5D6E-409C-BE32-E72D297353CC}">
              <c16:uniqueId val="{00000000-A62F-4791-B82B-3DE37E7188BF}"/>
            </c:ext>
          </c:extLst>
        </c:ser>
        <c:ser>
          <c:idx val="2"/>
          <c:order val="1"/>
          <c:tx>
            <c:v>CPI indexed</c:v>
          </c:tx>
          <c:spPr>
            <a:ln w="28575" cap="rnd">
              <a:solidFill>
                <a:srgbClr val="00B050"/>
              </a:solidFill>
              <a:round/>
            </a:ln>
            <a:effectLst/>
          </c:spPr>
          <c:marker>
            <c:symbol val="none"/>
          </c:marker>
          <c:dLbls>
            <c:dLbl>
              <c:idx val="0"/>
              <c:layout>
                <c:manualLayout>
                  <c:x val="0"/>
                  <c:y val="4.1194644696189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2F-4791-B82B-3DE37E7188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Abatement!$A$12:$A$25</c:f>
              <c:numCache>
                <c:formatCode>_("$"* #,##0_);_("$"* \(#,##0\);_("$"* "-"??_);_(@_)</c:formatCode>
                <c:ptCount val="14"/>
                <c:pt idx="0">
                  <c:v>43822.416646961457</c:v>
                </c:pt>
                <c:pt idx="1">
                  <c:v>43495.421431838979</c:v>
                </c:pt>
                <c:pt idx="2">
                  <c:v>43746.262478968034</c:v>
                </c:pt>
                <c:pt idx="3">
                  <c:v>42052.828337287036</c:v>
                </c:pt>
                <c:pt idx="4">
                  <c:v>41147.70310192024</c:v>
                </c:pt>
                <c:pt idx="5">
                  <c:v>40756.643726839597</c:v>
                </c:pt>
                <c:pt idx="6">
                  <c:v>39726.160990712073</c:v>
                </c:pt>
                <c:pt idx="7">
                  <c:v>39429.120147495647</c:v>
                </c:pt>
                <c:pt idx="8">
                  <c:v>39392.805976258693</c:v>
                </c:pt>
                <c:pt idx="9">
                  <c:v>38875.631185619066</c:v>
                </c:pt>
                <c:pt idx="10">
                  <c:v>38265.059642147113</c:v>
                </c:pt>
                <c:pt idx="11">
                  <c:v>42479.847804878053</c:v>
                </c:pt>
                <c:pt idx="12">
                  <c:v>43313.505747126437</c:v>
                </c:pt>
                <c:pt idx="13">
                  <c:v>42700</c:v>
                </c:pt>
              </c:numCache>
            </c:numRef>
          </c:val>
          <c:smooth val="0"/>
          <c:extLst>
            <c:ext xmlns:c16="http://schemas.microsoft.com/office/drawing/2014/chart" uri="{C3380CC4-5D6E-409C-BE32-E72D297353CC}">
              <c16:uniqueId val="{00000001-A62F-4791-B82B-3DE37E7188BF}"/>
            </c:ext>
          </c:extLst>
        </c:ser>
        <c:ser>
          <c:idx val="1"/>
          <c:order val="2"/>
          <c:tx>
            <c:strRef>
              <c:f>Abatement!$D$11</c:f>
              <c:strCache>
                <c:ptCount val="1"/>
                <c:pt idx="0">
                  <c:v>Nominal</c:v>
                </c:pt>
              </c:strCache>
            </c:strRef>
          </c:tx>
          <c:spPr>
            <a:ln w="28575" cap="rnd">
              <a:solidFill>
                <a:schemeClr val="accent2"/>
              </a:solidFill>
              <a:round/>
            </a:ln>
            <a:effectLst/>
          </c:spPr>
          <c:marker>
            <c:symbol val="none"/>
          </c:marker>
          <c:dLbls>
            <c:dLbl>
              <c:idx val="0"/>
              <c:layout>
                <c:manualLayout>
                  <c:x val="9.7895252080274098E-3"/>
                  <c:y val="6.896551724137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2F-4791-B82B-3DE37E7188BF}"/>
                </c:ext>
              </c:extLst>
            </c:dLbl>
            <c:dLbl>
              <c:idx val="2"/>
              <c:layout>
                <c:manualLayout>
                  <c:x val="-5.096388211832488E-2"/>
                  <c:y val="-4.46275317542052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62F-4791-B82B-3DE37E7188BF}"/>
                </c:ext>
              </c:extLst>
            </c:dLbl>
            <c:dLbl>
              <c:idx val="10"/>
              <c:layout>
                <c:manualLayout>
                  <c:x val="-2.2158209616662972E-2"/>
                  <c:y val="4.4627531754205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62F-4791-B82B-3DE37E7188BF}"/>
                </c:ext>
              </c:extLst>
            </c:dLbl>
            <c:dLbl>
              <c:idx val="12"/>
              <c:layout>
                <c:manualLayout>
                  <c:x val="-1.1079104808331568E-2"/>
                  <c:y val="5.14933058702368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62F-4791-B82B-3DE37E7188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Abatement!$D$12:$D$25</c:f>
              <c:numCache>
                <c:formatCode>_("$"* #,##0_);_("$"* \(#,##0\);_("$"* "-"??_);_(@_)</c:formatCode>
                <c:ptCount val="14"/>
                <c:pt idx="0">
                  <c:v>35000</c:v>
                </c:pt>
                <c:pt idx="1">
                  <c:v>35913.5</c:v>
                </c:pt>
                <c:pt idx="2">
                  <c:v>36827</c:v>
                </c:pt>
                <c:pt idx="3">
                  <c:v>36827</c:v>
                </c:pt>
                <c:pt idx="4">
                  <c:v>36827</c:v>
                </c:pt>
                <c:pt idx="5">
                  <c:v>36350</c:v>
                </c:pt>
                <c:pt idx="6">
                  <c:v>36350</c:v>
                </c:pt>
                <c:pt idx="7">
                  <c:v>36350</c:v>
                </c:pt>
                <c:pt idx="8">
                  <c:v>36350</c:v>
                </c:pt>
                <c:pt idx="9">
                  <c:v>36350</c:v>
                </c:pt>
                <c:pt idx="10">
                  <c:v>36350</c:v>
                </c:pt>
                <c:pt idx="11">
                  <c:v>41116</c:v>
                </c:pt>
                <c:pt idx="12">
                  <c:v>42700</c:v>
                </c:pt>
                <c:pt idx="13">
                  <c:v>42700</c:v>
                </c:pt>
              </c:numCache>
            </c:numRef>
          </c:val>
          <c:smooth val="0"/>
          <c:extLst>
            <c:ext xmlns:c16="http://schemas.microsoft.com/office/drawing/2014/chart" uri="{C3380CC4-5D6E-409C-BE32-E72D297353CC}">
              <c16:uniqueId val="{00000002-A62F-4791-B82B-3DE37E7188BF}"/>
            </c:ext>
          </c:extLst>
        </c:ser>
        <c:dLbls>
          <c:showLegendKey val="0"/>
          <c:showVal val="0"/>
          <c:showCatName val="0"/>
          <c:showSerName val="0"/>
          <c:showPercent val="0"/>
          <c:showBubbleSize val="0"/>
        </c:dLbls>
        <c:smooth val="0"/>
        <c:axId val="-1343678576"/>
        <c:axId val="-1343675312"/>
      </c:lineChart>
      <c:catAx>
        <c:axId val="-1343678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ended March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675312"/>
        <c:crosses val="autoZero"/>
        <c:auto val="1"/>
        <c:lblAlgn val="ctr"/>
        <c:lblOffset val="100"/>
        <c:noMultiLvlLbl val="0"/>
      </c:catAx>
      <c:valAx>
        <c:axId val="-1343675312"/>
        <c:scaling>
          <c:orientation val="minMax"/>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WFF</a:t>
                </a:r>
                <a:r>
                  <a:rPr lang="en-NZ" baseline="0"/>
                  <a:t> a</a:t>
                </a:r>
                <a:r>
                  <a:rPr lang="en-NZ"/>
                  <a:t>batement threshold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678576"/>
        <c:crosses val="autoZero"/>
        <c:crossBetween val="between"/>
      </c:valAx>
      <c:spPr>
        <a:noFill/>
        <a:ln>
          <a:noFill/>
        </a:ln>
        <a:effectLst/>
      </c:spPr>
    </c:plotArea>
    <c:legend>
      <c:legendPos val="r"/>
      <c:layout>
        <c:manualLayout>
          <c:xMode val="edge"/>
          <c:yMode val="edge"/>
          <c:x val="0.79315912340225769"/>
          <c:y val="0.21144568135879566"/>
          <c:w val="0.19383274651644153"/>
          <c:h val="0.385537756056355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First Child 0-12</c:v>
          </c:tx>
          <c:spPr>
            <a:ln w="28575" cap="rnd">
              <a:solidFill>
                <a:schemeClr val="accent1"/>
              </a:solidFill>
              <a:round/>
            </a:ln>
            <a:effectLst/>
          </c:spPr>
          <c:marker>
            <c:symbol val="none"/>
          </c:marker>
          <c:dLbls>
            <c:dLbl>
              <c:idx val="0"/>
              <c:layout>
                <c:manualLayout>
                  <c:x val="-1.6359918200408999E-2"/>
                  <c:y val="-8.68744098205854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BA-4C82-88AA-76C3AB16BDD0}"/>
                </c:ext>
              </c:extLst>
            </c:dLbl>
            <c:dLbl>
              <c:idx val="12"/>
              <c:layout>
                <c:manualLayout>
                  <c:x val="-6.1349693251533895E-2"/>
                  <c:y val="-7.5542965061378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BA-4C82-88AA-76C3AB16BDD0}"/>
                </c:ext>
              </c:extLst>
            </c:dLbl>
            <c:dLbl>
              <c:idx val="13"/>
              <c:layout>
                <c:manualLayout>
                  <c:x val="-8.1799591002044997E-3"/>
                  <c:y val="-8.3097261567516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BA-4C82-88AA-76C3AB16BD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FTC!$B$59:$B$72</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FTC!$E$59:$E$72</c:f>
              <c:numCache>
                <c:formatCode>_("$"* #,##0.00_);_("$"* \(#,##0.00\);_("$"* "-"??_);_(@_)</c:formatCode>
                <c:ptCount val="14"/>
                <c:pt idx="0">
                  <c:v>119.96296296296296</c:v>
                </c:pt>
                <c:pt idx="1">
                  <c:v>116.62894736842107</c:v>
                </c:pt>
                <c:pt idx="2">
                  <c:v>115.54084745762712</c:v>
                </c:pt>
                <c:pt idx="3">
                  <c:v>116.22666666666669</c:v>
                </c:pt>
                <c:pt idx="4">
                  <c:v>113.55363265306124</c:v>
                </c:pt>
                <c:pt idx="5">
                  <c:v>115.82086956521741</c:v>
                </c:pt>
                <c:pt idx="6">
                  <c:v>113.13776061776065</c:v>
                </c:pt>
                <c:pt idx="7">
                  <c:v>109.74786516853933</c:v>
                </c:pt>
                <c:pt idx="8">
                  <c:v>106.94408759124089</c:v>
                </c:pt>
                <c:pt idx="9">
                  <c:v>105.40532374100721</c:v>
                </c:pt>
                <c:pt idx="10">
                  <c:v>103.17845070422537</c:v>
                </c:pt>
                <c:pt idx="11">
                  <c:v>116.03863945578232</c:v>
                </c:pt>
                <c:pt idx="12">
                  <c:v>117.1168524590164</c:v>
                </c:pt>
                <c:pt idx="13">
                  <c:v>113</c:v>
                </c:pt>
              </c:numCache>
            </c:numRef>
          </c:val>
          <c:smooth val="0"/>
          <c:extLst>
            <c:ext xmlns:c16="http://schemas.microsoft.com/office/drawing/2014/chart" uri="{C3380CC4-5D6E-409C-BE32-E72D297353CC}">
              <c16:uniqueId val="{00000003-43BA-4C82-88AA-76C3AB16BDD0}"/>
            </c:ext>
          </c:extLst>
        </c:ser>
        <c:ser>
          <c:idx val="1"/>
          <c:order val="1"/>
          <c:tx>
            <c:v>Subsequent Child 0-12</c:v>
          </c:tx>
          <c:spPr>
            <a:ln w="28575" cap="rnd">
              <a:solidFill>
                <a:schemeClr val="accent2"/>
              </a:solidFill>
              <a:round/>
            </a:ln>
            <a:effectLst/>
          </c:spPr>
          <c:marker>
            <c:symbol val="none"/>
          </c:marker>
          <c:dLbls>
            <c:dLbl>
              <c:idx val="0"/>
              <c:layout>
                <c:manualLayout>
                  <c:x val="-1.226993865030673E-2"/>
                  <c:y val="-9.4428706326723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BA-4C82-88AA-76C3AB16BDD0}"/>
                </c:ext>
              </c:extLst>
            </c:dLbl>
            <c:dLbl>
              <c:idx val="12"/>
              <c:layout>
                <c:manualLayout>
                  <c:x val="-4.0899795501022573E-2"/>
                  <c:y val="0.139754485363550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BA-4C82-88AA-76C3AB16BDD0}"/>
                </c:ext>
              </c:extLst>
            </c:dLbl>
            <c:dLbl>
              <c:idx val="13"/>
              <c:layout>
                <c:manualLayout>
                  <c:x val="2.2494887525562373E-2"/>
                  <c:y val="-1.1331444759206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BA-4C82-88AA-76C3AB16BD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FTC!$B$59:$B$72</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FTC!$J$59:$J$72</c:f>
              <c:numCache>
                <c:formatCode>_("$"* #,##0.00_);_("$"* \(#,##0.00\);_("$"* "-"??_);_(@_)</c:formatCode>
                <c:ptCount val="14"/>
                <c:pt idx="0">
                  <c:v>83.388888888888886</c:v>
                </c:pt>
                <c:pt idx="1">
                  <c:v>81.065087719298248</c:v>
                </c:pt>
                <c:pt idx="2">
                  <c:v>80.312203389830501</c:v>
                </c:pt>
                <c:pt idx="3">
                  <c:v>80.786666666666676</c:v>
                </c:pt>
                <c:pt idx="4">
                  <c:v>78.922612244897962</c:v>
                </c:pt>
                <c:pt idx="5">
                  <c:v>80.486324110671944</c:v>
                </c:pt>
                <c:pt idx="6">
                  <c:v>78.621776061776075</c:v>
                </c:pt>
                <c:pt idx="7">
                  <c:v>76.266067415730333</c:v>
                </c:pt>
                <c:pt idx="8">
                  <c:v>74.31766423357665</c:v>
                </c:pt>
                <c:pt idx="9">
                  <c:v>73.248345323741006</c:v>
                </c:pt>
                <c:pt idx="10">
                  <c:v>71.700845070422531</c:v>
                </c:pt>
                <c:pt idx="11">
                  <c:v>90.876870748299325</c:v>
                </c:pt>
                <c:pt idx="12">
                  <c:v>94.540983606557376</c:v>
                </c:pt>
                <c:pt idx="13">
                  <c:v>91.3</c:v>
                </c:pt>
              </c:numCache>
            </c:numRef>
          </c:val>
          <c:smooth val="0"/>
          <c:extLst>
            <c:ext xmlns:c16="http://schemas.microsoft.com/office/drawing/2014/chart" uri="{C3380CC4-5D6E-409C-BE32-E72D297353CC}">
              <c16:uniqueId val="{00000007-43BA-4C82-88AA-76C3AB16BDD0}"/>
            </c:ext>
          </c:extLst>
        </c:ser>
        <c:dLbls>
          <c:showLegendKey val="0"/>
          <c:showVal val="0"/>
          <c:showCatName val="0"/>
          <c:showSerName val="0"/>
          <c:showPercent val="0"/>
          <c:showBubbleSize val="0"/>
        </c:dLbls>
        <c:smooth val="0"/>
        <c:axId val="-1343664432"/>
        <c:axId val="-1343659536"/>
        <c:extLst>
          <c:ext xmlns:c15="http://schemas.microsoft.com/office/drawing/2012/chart" uri="{02D57815-91ED-43cb-92C2-25804820EDAC}">
            <c15:filteredLineSeries>
              <c15:ser>
                <c:idx val="2"/>
                <c:order val="2"/>
                <c:tx>
                  <c:v>Subsequent Child 13-15</c:v>
                </c:tx>
                <c:spPr>
                  <a:ln w="28575" cap="rnd">
                    <a:solidFill>
                      <a:schemeClr val="accent3"/>
                    </a:solidFill>
                    <a:round/>
                  </a:ln>
                  <a:effectLst/>
                </c:spPr>
                <c:marker>
                  <c:symbol val="none"/>
                </c:marker>
                <c:cat>
                  <c:numRef>
                    <c:extLst>
                      <c:ext uri="{02D57815-91ED-43cb-92C2-25804820EDAC}">
                        <c15:formulaRef>
                          <c15:sqref>FTC!$B$59:$B$72</c15:sqref>
                        </c15:formulaRef>
                      </c:ext>
                    </c:extLst>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extLst>
                      <c:ext uri="{02D57815-91ED-43cb-92C2-25804820EDAC}">
                        <c15:formulaRef>
                          <c15:sqref>FTC!$O$59:$O$72</c15:sqref>
                        </c15:formulaRef>
                      </c:ext>
                    </c:extLst>
                    <c:numCache>
                      <c:formatCode>_("$"* #,##0.00_);_("$"* \(#,##0.00\);_("$"* "-"??_);_(@_)</c:formatCode>
                      <c:ptCount val="14"/>
                      <c:pt idx="0">
                        <c:v>95.092592592592595</c:v>
                      </c:pt>
                      <c:pt idx="1">
                        <c:v>92.443859649122814</c:v>
                      </c:pt>
                      <c:pt idx="2">
                        <c:v>91.58644067796611</c:v>
                      </c:pt>
                      <c:pt idx="3">
                        <c:v>92.13333333333334</c:v>
                      </c:pt>
                      <c:pt idx="4">
                        <c:v>90.014857142857167</c:v>
                      </c:pt>
                      <c:pt idx="5">
                        <c:v>91.802371541501984</c:v>
                      </c:pt>
                      <c:pt idx="6">
                        <c:v>89.675675675675691</c:v>
                      </c:pt>
                      <c:pt idx="7">
                        <c:v>86.988764044943821</c:v>
                      </c:pt>
                      <c:pt idx="8">
                        <c:v>84.766423357664237</c:v>
                      </c:pt>
                      <c:pt idx="9">
                        <c:v>83.546762589928065</c:v>
                      </c:pt>
                      <c:pt idx="10">
                        <c:v>81.781690140845072</c:v>
                      </c:pt>
                      <c:pt idx="11">
                        <c:v>90.876870748299325</c:v>
                      </c:pt>
                      <c:pt idx="12">
                        <c:v>94.540983606557376</c:v>
                      </c:pt>
                      <c:pt idx="13">
                        <c:v>91.3</c:v>
                      </c:pt>
                    </c:numCache>
                  </c:numRef>
                </c:val>
                <c:smooth val="0"/>
                <c:extLst>
                  <c:ext xmlns:c16="http://schemas.microsoft.com/office/drawing/2014/chart" uri="{C3380CC4-5D6E-409C-BE32-E72D297353CC}">
                    <c16:uniqueId val="{00000008-43BA-4C82-88AA-76C3AB16BDD0}"/>
                  </c:ext>
                </c:extLst>
              </c15:ser>
            </c15:filteredLineSeries>
            <c15:filteredLineSeries>
              <c15:ser>
                <c:idx val="3"/>
                <c:order val="3"/>
                <c:tx>
                  <c:v>First Child 16-18</c:v>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FTC!$B$59:$B$72</c15:sqref>
                        </c15:formulaRef>
                      </c:ext>
                    </c:extLst>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extLst xmlns:c15="http://schemas.microsoft.com/office/drawing/2012/chart">
                      <c:ext xmlns:c15="http://schemas.microsoft.com/office/drawing/2012/chart" uri="{02D57815-91ED-43cb-92C2-25804820EDAC}">
                        <c15:formulaRef>
                          <c15:sqref>FTC!$T$59:$T$72</c15:sqref>
                        </c15:formulaRef>
                      </c:ext>
                    </c:extLst>
                    <c:numCache>
                      <c:formatCode>_("$"* #,##0.00_);_("$"* \(#,##0.00\);_("$"* "-"??_);_(@_)</c:formatCode>
                      <c:ptCount val="14"/>
                      <c:pt idx="0">
                        <c:v>138.9814814814815</c:v>
                      </c:pt>
                      <c:pt idx="1">
                        <c:v>135.10385964912282</c:v>
                      </c:pt>
                      <c:pt idx="2">
                        <c:v>133.84474576271185</c:v>
                      </c:pt>
                      <c:pt idx="3">
                        <c:v>134.62666666666669</c:v>
                      </c:pt>
                      <c:pt idx="4">
                        <c:v>131.53338775510207</c:v>
                      </c:pt>
                      <c:pt idx="5">
                        <c:v>127.37422924901188</c:v>
                      </c:pt>
                      <c:pt idx="6">
                        <c:v>124.42347490347493</c:v>
                      </c:pt>
                      <c:pt idx="7">
                        <c:v>120.6954307116105</c:v>
                      </c:pt>
                      <c:pt idx="8">
                        <c:v>117.61197080291973</c:v>
                      </c:pt>
                      <c:pt idx="9">
                        <c:v>115.91971223021584</c:v>
                      </c:pt>
                      <c:pt idx="10">
                        <c:v>113.47070422535212</c:v>
                      </c:pt>
                      <c:pt idx="11">
                        <c:v>118.53224489795919</c:v>
                      </c:pt>
                      <c:pt idx="12">
                        <c:v>117.1168524590164</c:v>
                      </c:pt>
                      <c:pt idx="13">
                        <c:v>113</c:v>
                      </c:pt>
                    </c:numCache>
                  </c:numRef>
                </c:val>
                <c:smooth val="0"/>
                <c:extLst xmlns:c15="http://schemas.microsoft.com/office/drawing/2012/chart">
                  <c:ext xmlns:c16="http://schemas.microsoft.com/office/drawing/2014/chart" uri="{C3380CC4-5D6E-409C-BE32-E72D297353CC}">
                    <c16:uniqueId val="{00000009-43BA-4C82-88AA-76C3AB16BDD0}"/>
                  </c:ext>
                </c:extLst>
              </c15:ser>
            </c15:filteredLineSeries>
            <c15:filteredLineSeries>
              <c15:ser>
                <c:idx val="4"/>
                <c:order val="4"/>
                <c:tx>
                  <c:v>Subsequent Child 16-18</c:v>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FTC!$B$59:$B$72</c15:sqref>
                        </c15:formulaRef>
                      </c:ext>
                    </c:extLst>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extLst xmlns:c15="http://schemas.microsoft.com/office/drawing/2012/chart">
                      <c:ext xmlns:c15="http://schemas.microsoft.com/office/drawing/2012/chart" uri="{02D57815-91ED-43cb-92C2-25804820EDAC}">
                        <c15:formulaRef>
                          <c15:sqref>FTC!$Y$59:$Y$72</c15:sqref>
                        </c15:formulaRef>
                      </c:ext>
                    </c:extLst>
                    <c:numCache>
                      <c:formatCode>_("$"* #,##0.00_);_("$"* \(#,##0.00\);_("$"* "-"??_);_(@_)</c:formatCode>
                      <c:ptCount val="14"/>
                      <c:pt idx="0">
                        <c:v>124.35185185185186</c:v>
                      </c:pt>
                      <c:pt idx="1">
                        <c:v>120.88385964912281</c:v>
                      </c:pt>
                      <c:pt idx="2">
                        <c:v>119.75864406779661</c:v>
                      </c:pt>
                      <c:pt idx="3">
                        <c:v>120.46666666666667</c:v>
                      </c:pt>
                      <c:pt idx="4">
                        <c:v>117.69387755102042</c:v>
                      </c:pt>
                      <c:pt idx="5">
                        <c:v>113.97233201581028</c:v>
                      </c:pt>
                      <c:pt idx="6">
                        <c:v>111.33204633204635</c:v>
                      </c:pt>
                      <c:pt idx="7">
                        <c:v>107.99625468164794</c:v>
                      </c:pt>
                      <c:pt idx="8">
                        <c:v>105.23722627737227</c:v>
                      </c:pt>
                      <c:pt idx="9">
                        <c:v>103.72302158273382</c:v>
                      </c:pt>
                      <c:pt idx="10">
                        <c:v>101.53169014084507</c:v>
                      </c:pt>
                      <c:pt idx="11">
                        <c:v>98.078231292517017</c:v>
                      </c:pt>
                      <c:pt idx="12">
                        <c:v>94.540983606557376</c:v>
                      </c:pt>
                      <c:pt idx="13">
                        <c:v>91.3</c:v>
                      </c:pt>
                    </c:numCache>
                  </c:numRef>
                </c:val>
                <c:smooth val="0"/>
                <c:extLst xmlns:c15="http://schemas.microsoft.com/office/drawing/2012/chart">
                  <c:ext xmlns:c16="http://schemas.microsoft.com/office/drawing/2014/chart" uri="{C3380CC4-5D6E-409C-BE32-E72D297353CC}">
                    <c16:uniqueId val="{0000000A-43BA-4C82-88AA-76C3AB16BDD0}"/>
                  </c:ext>
                </c:extLst>
              </c15:ser>
            </c15:filteredLineSeries>
          </c:ext>
        </c:extLst>
      </c:lineChart>
      <c:catAx>
        <c:axId val="-1343664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ended March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659536"/>
        <c:crosses val="autoZero"/>
        <c:auto val="1"/>
        <c:lblAlgn val="ctr"/>
        <c:lblOffset val="100"/>
        <c:noMultiLvlLbl val="0"/>
      </c:catAx>
      <c:valAx>
        <c:axId val="-1343659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Dollars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664432"/>
        <c:crosses val="autoZero"/>
        <c:crossBetween val="between"/>
      </c:valAx>
      <c:spPr>
        <a:noFill/>
        <a:ln>
          <a:noFill/>
        </a:ln>
        <a:effectLst/>
      </c:spPr>
    </c:plotArea>
    <c:legend>
      <c:legendPos val="r"/>
      <c:layout>
        <c:manualLayout>
          <c:xMode val="edge"/>
          <c:yMode val="edge"/>
          <c:x val="0.74606283110316729"/>
          <c:y val="0.4893102243239425"/>
          <c:w val="0.22939729159621919"/>
          <c:h val="0.12747964578082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400" b="0" i="0" baseline="0">
                <a:effectLst/>
              </a:rPr>
              <a:t>Family Tax Credit indexed to wages 2008-2021 (Q3 2020 dollars)</a:t>
            </a:r>
            <a:endParaRPr lang="en-NZ"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623532907443174"/>
          <c:y val="0.13852474323062558"/>
          <c:w val="0.66983327555753647"/>
          <c:h val="0.6956365748399097"/>
        </c:manualLayout>
      </c:layout>
      <c:lineChart>
        <c:grouping val="standard"/>
        <c:varyColors val="0"/>
        <c:ser>
          <c:idx val="3"/>
          <c:order val="3"/>
          <c:tx>
            <c:v>First Child 16-18</c:v>
          </c:tx>
          <c:spPr>
            <a:ln w="28575" cap="rnd">
              <a:solidFill>
                <a:schemeClr val="accent4"/>
              </a:solidFill>
              <a:round/>
            </a:ln>
            <a:effectLst/>
          </c:spPr>
          <c:marker>
            <c:symbol val="none"/>
          </c:marker>
          <c:dLbls>
            <c:dLbl>
              <c:idx val="0"/>
              <c:layout>
                <c:manualLayout>
                  <c:x val="-3.8434217080815075E-17"/>
                  <c:y val="-7.8431372549019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57-4CD2-8916-DA1A4F47C66D}"/>
                </c:ext>
              </c:extLst>
            </c:dLbl>
            <c:dLbl>
              <c:idx val="13"/>
              <c:layout>
                <c:manualLayout>
                  <c:x val="-1.6771488469601678E-2"/>
                  <c:y val="-9.7105508870214755E-2"/>
                </c:manualLayout>
              </c:layout>
              <c:tx>
                <c:rich>
                  <a:bodyPr/>
                  <a:lstStyle/>
                  <a:p>
                    <a:r>
                      <a:rPr lang="en-US"/>
                      <a:t>$113.04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857-4CD2-8916-DA1A4F47C6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FTC!$B$59:$B$72</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FTC!$T$59:$T$72</c:f>
              <c:numCache>
                <c:formatCode>_("$"* #,##0.00_);_("$"* \(#,##0.00\);_("$"* "-"??_);_(@_)</c:formatCode>
                <c:ptCount val="14"/>
                <c:pt idx="0">
                  <c:v>138.9814814814815</c:v>
                </c:pt>
                <c:pt idx="1">
                  <c:v>135.10385964912282</c:v>
                </c:pt>
                <c:pt idx="2">
                  <c:v>133.84474576271185</c:v>
                </c:pt>
                <c:pt idx="3">
                  <c:v>134.62666666666669</c:v>
                </c:pt>
                <c:pt idx="4">
                  <c:v>131.53338775510207</c:v>
                </c:pt>
                <c:pt idx="5">
                  <c:v>127.37422924901188</c:v>
                </c:pt>
                <c:pt idx="6">
                  <c:v>124.42347490347493</c:v>
                </c:pt>
                <c:pt idx="7">
                  <c:v>120.6954307116105</c:v>
                </c:pt>
                <c:pt idx="8">
                  <c:v>117.61197080291973</c:v>
                </c:pt>
                <c:pt idx="9">
                  <c:v>115.91971223021584</c:v>
                </c:pt>
                <c:pt idx="10">
                  <c:v>113.47070422535212</c:v>
                </c:pt>
                <c:pt idx="11">
                  <c:v>118.53224489795919</c:v>
                </c:pt>
                <c:pt idx="12">
                  <c:v>117.1168524590164</c:v>
                </c:pt>
                <c:pt idx="13">
                  <c:v>113</c:v>
                </c:pt>
              </c:numCache>
            </c:numRef>
          </c:val>
          <c:smooth val="0"/>
          <c:extLst>
            <c:ext xmlns:c16="http://schemas.microsoft.com/office/drawing/2014/chart" uri="{C3380CC4-5D6E-409C-BE32-E72D297353CC}">
              <c16:uniqueId val="{00000002-9857-4CD2-8916-DA1A4F47C66D}"/>
            </c:ext>
          </c:extLst>
        </c:ser>
        <c:ser>
          <c:idx val="4"/>
          <c:order val="4"/>
          <c:tx>
            <c:v>Subsequent Child 16-18</c:v>
          </c:tx>
          <c:spPr>
            <a:ln w="28575" cap="rnd">
              <a:solidFill>
                <a:schemeClr val="accent5"/>
              </a:solidFill>
              <a:round/>
            </a:ln>
            <a:effectLst/>
          </c:spPr>
          <c:marker>
            <c:symbol val="none"/>
          </c:marker>
          <c:dLbls>
            <c:dLbl>
              <c:idx val="0"/>
              <c:layout>
                <c:manualLayout>
                  <c:x val="-1.2578616352201259E-2"/>
                  <c:y val="0.119514472455648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57-4CD2-8916-DA1A4F47C66D}"/>
                </c:ext>
              </c:extLst>
            </c:dLbl>
            <c:dLbl>
              <c:idx val="13"/>
              <c:layout>
                <c:manualLayout>
                  <c:x val="-6.0796645702306078E-2"/>
                  <c:y val="7.84313725490196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857-4CD2-8916-DA1A4F47C6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FTC!$B$59:$B$72</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FTC!$Y$59:$Y$72</c:f>
              <c:numCache>
                <c:formatCode>_("$"* #,##0.00_);_("$"* \(#,##0.00\);_("$"* "-"??_);_(@_)</c:formatCode>
                <c:ptCount val="14"/>
                <c:pt idx="0">
                  <c:v>124.35185185185186</c:v>
                </c:pt>
                <c:pt idx="1">
                  <c:v>120.88385964912281</c:v>
                </c:pt>
                <c:pt idx="2">
                  <c:v>119.75864406779661</c:v>
                </c:pt>
                <c:pt idx="3">
                  <c:v>120.46666666666667</c:v>
                </c:pt>
                <c:pt idx="4">
                  <c:v>117.69387755102042</c:v>
                </c:pt>
                <c:pt idx="5">
                  <c:v>113.97233201581028</c:v>
                </c:pt>
                <c:pt idx="6">
                  <c:v>111.33204633204635</c:v>
                </c:pt>
                <c:pt idx="7">
                  <c:v>107.99625468164794</c:v>
                </c:pt>
                <c:pt idx="8">
                  <c:v>105.23722627737227</c:v>
                </c:pt>
                <c:pt idx="9">
                  <c:v>103.72302158273382</c:v>
                </c:pt>
                <c:pt idx="10">
                  <c:v>101.53169014084507</c:v>
                </c:pt>
                <c:pt idx="11">
                  <c:v>98.078231292517017</c:v>
                </c:pt>
                <c:pt idx="12">
                  <c:v>94.540983606557376</c:v>
                </c:pt>
                <c:pt idx="13">
                  <c:v>91.3</c:v>
                </c:pt>
              </c:numCache>
            </c:numRef>
          </c:val>
          <c:smooth val="0"/>
          <c:extLst>
            <c:ext xmlns:c16="http://schemas.microsoft.com/office/drawing/2014/chart" uri="{C3380CC4-5D6E-409C-BE32-E72D297353CC}">
              <c16:uniqueId val="{00000005-9857-4CD2-8916-DA1A4F47C66D}"/>
            </c:ext>
          </c:extLst>
        </c:ser>
        <c:dLbls>
          <c:showLegendKey val="0"/>
          <c:showVal val="0"/>
          <c:showCatName val="0"/>
          <c:showSerName val="0"/>
          <c:showPercent val="0"/>
          <c:showBubbleSize val="0"/>
        </c:dLbls>
        <c:smooth val="0"/>
        <c:axId val="-1343673680"/>
        <c:axId val="-1343657360"/>
        <c:extLst>
          <c:ext xmlns:c15="http://schemas.microsoft.com/office/drawing/2012/chart" uri="{02D57815-91ED-43cb-92C2-25804820EDAC}">
            <c15:filteredLineSeries>
              <c15:ser>
                <c:idx val="0"/>
                <c:order val="0"/>
                <c:tx>
                  <c:v>First Child 0-15</c:v>
                </c:tx>
                <c:spPr>
                  <a:ln w="28575" cap="rnd">
                    <a:solidFill>
                      <a:schemeClr val="accent1"/>
                    </a:solidFill>
                    <a:round/>
                  </a:ln>
                  <a:effectLst/>
                </c:spPr>
                <c:marker>
                  <c:symbol val="none"/>
                </c:marker>
                <c:cat>
                  <c:numRef>
                    <c:extLst>
                      <c:ext uri="{02D57815-91ED-43cb-92C2-25804820EDAC}">
                        <c15:formulaRef>
                          <c15:sqref>FTC!$B$59:$B$72</c15:sqref>
                        </c15:formulaRef>
                      </c:ext>
                    </c:extLst>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extLst>
                      <c:ext uri="{02D57815-91ED-43cb-92C2-25804820EDAC}">
                        <c15:formulaRef>
                          <c15:sqref>FTC!$E$59:$E$72</c15:sqref>
                        </c15:formulaRef>
                      </c:ext>
                    </c:extLst>
                    <c:numCache>
                      <c:formatCode>_("$"* #,##0.00_);_("$"* \(#,##0.00\);_("$"* "-"??_);_(@_)</c:formatCode>
                      <c:ptCount val="14"/>
                      <c:pt idx="0">
                        <c:v>119.96296296296296</c:v>
                      </c:pt>
                      <c:pt idx="1">
                        <c:v>116.62894736842107</c:v>
                      </c:pt>
                      <c:pt idx="2">
                        <c:v>115.54084745762712</c:v>
                      </c:pt>
                      <c:pt idx="3">
                        <c:v>116.22666666666669</c:v>
                      </c:pt>
                      <c:pt idx="4">
                        <c:v>113.55363265306124</c:v>
                      </c:pt>
                      <c:pt idx="5">
                        <c:v>115.82086956521741</c:v>
                      </c:pt>
                      <c:pt idx="6">
                        <c:v>113.13776061776065</c:v>
                      </c:pt>
                      <c:pt idx="7">
                        <c:v>109.74786516853933</c:v>
                      </c:pt>
                      <c:pt idx="8">
                        <c:v>106.94408759124089</c:v>
                      </c:pt>
                      <c:pt idx="9">
                        <c:v>105.40532374100721</c:v>
                      </c:pt>
                      <c:pt idx="10">
                        <c:v>103.17845070422537</c:v>
                      </c:pt>
                      <c:pt idx="11">
                        <c:v>116.03863945578232</c:v>
                      </c:pt>
                      <c:pt idx="12">
                        <c:v>117.1168524590164</c:v>
                      </c:pt>
                      <c:pt idx="13">
                        <c:v>113</c:v>
                      </c:pt>
                    </c:numCache>
                  </c:numRef>
                </c:val>
                <c:smooth val="0"/>
                <c:extLst>
                  <c:ext xmlns:c16="http://schemas.microsoft.com/office/drawing/2014/chart" uri="{C3380CC4-5D6E-409C-BE32-E72D297353CC}">
                    <c16:uniqueId val="{00000006-9857-4CD2-8916-DA1A4F47C66D}"/>
                  </c:ext>
                </c:extLst>
              </c15:ser>
            </c15:filteredLineSeries>
            <c15:filteredLineSeries>
              <c15:ser>
                <c:idx val="1"/>
                <c:order val="1"/>
                <c:tx>
                  <c:v>Subsequent Child 0-12</c:v>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FTC!$B$59:$B$72</c15:sqref>
                        </c15:formulaRef>
                      </c:ext>
                    </c:extLst>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extLst xmlns:c15="http://schemas.microsoft.com/office/drawing/2012/chart">
                      <c:ext xmlns:c15="http://schemas.microsoft.com/office/drawing/2012/chart" uri="{02D57815-91ED-43cb-92C2-25804820EDAC}">
                        <c15:formulaRef>
                          <c15:sqref>FTC!$J$59:$J$72</c15:sqref>
                        </c15:formulaRef>
                      </c:ext>
                    </c:extLst>
                    <c:numCache>
                      <c:formatCode>_("$"* #,##0.00_);_("$"* \(#,##0.00\);_("$"* "-"??_);_(@_)</c:formatCode>
                      <c:ptCount val="14"/>
                      <c:pt idx="0">
                        <c:v>83.388888888888886</c:v>
                      </c:pt>
                      <c:pt idx="1">
                        <c:v>81.065087719298248</c:v>
                      </c:pt>
                      <c:pt idx="2">
                        <c:v>80.312203389830501</c:v>
                      </c:pt>
                      <c:pt idx="3">
                        <c:v>80.786666666666676</c:v>
                      </c:pt>
                      <c:pt idx="4">
                        <c:v>78.922612244897962</c:v>
                      </c:pt>
                      <c:pt idx="5">
                        <c:v>80.486324110671944</c:v>
                      </c:pt>
                      <c:pt idx="6">
                        <c:v>78.621776061776075</c:v>
                      </c:pt>
                      <c:pt idx="7">
                        <c:v>76.266067415730333</c:v>
                      </c:pt>
                      <c:pt idx="8">
                        <c:v>74.31766423357665</c:v>
                      </c:pt>
                      <c:pt idx="9">
                        <c:v>73.248345323741006</c:v>
                      </c:pt>
                      <c:pt idx="10">
                        <c:v>71.700845070422531</c:v>
                      </c:pt>
                      <c:pt idx="11">
                        <c:v>90.876870748299325</c:v>
                      </c:pt>
                      <c:pt idx="12">
                        <c:v>94.540983606557376</c:v>
                      </c:pt>
                      <c:pt idx="13">
                        <c:v>91.3</c:v>
                      </c:pt>
                    </c:numCache>
                  </c:numRef>
                </c:val>
                <c:smooth val="0"/>
                <c:extLst xmlns:c15="http://schemas.microsoft.com/office/drawing/2012/chart">
                  <c:ext xmlns:c16="http://schemas.microsoft.com/office/drawing/2014/chart" uri="{C3380CC4-5D6E-409C-BE32-E72D297353CC}">
                    <c16:uniqueId val="{00000007-9857-4CD2-8916-DA1A4F47C66D}"/>
                  </c:ext>
                </c:extLst>
              </c15:ser>
            </c15:filteredLineSeries>
            <c15:filteredLineSeries>
              <c15:ser>
                <c:idx val="2"/>
                <c:order val="2"/>
                <c:tx>
                  <c:v>Subsequent Child 13-15</c:v>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FTC!$B$59:$B$72</c15:sqref>
                        </c15:formulaRef>
                      </c:ext>
                    </c:extLst>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extLst xmlns:c15="http://schemas.microsoft.com/office/drawing/2012/chart">
                      <c:ext xmlns:c15="http://schemas.microsoft.com/office/drawing/2012/chart" uri="{02D57815-91ED-43cb-92C2-25804820EDAC}">
                        <c15:formulaRef>
                          <c15:sqref>FTC!$O$59:$O$72</c15:sqref>
                        </c15:formulaRef>
                      </c:ext>
                    </c:extLst>
                    <c:numCache>
                      <c:formatCode>_("$"* #,##0.00_);_("$"* \(#,##0.00\);_("$"* "-"??_);_(@_)</c:formatCode>
                      <c:ptCount val="14"/>
                      <c:pt idx="0">
                        <c:v>95.092592592592595</c:v>
                      </c:pt>
                      <c:pt idx="1">
                        <c:v>92.443859649122814</c:v>
                      </c:pt>
                      <c:pt idx="2">
                        <c:v>91.58644067796611</c:v>
                      </c:pt>
                      <c:pt idx="3">
                        <c:v>92.13333333333334</c:v>
                      </c:pt>
                      <c:pt idx="4">
                        <c:v>90.014857142857167</c:v>
                      </c:pt>
                      <c:pt idx="5">
                        <c:v>91.802371541501984</c:v>
                      </c:pt>
                      <c:pt idx="6">
                        <c:v>89.675675675675691</c:v>
                      </c:pt>
                      <c:pt idx="7">
                        <c:v>86.988764044943821</c:v>
                      </c:pt>
                      <c:pt idx="8">
                        <c:v>84.766423357664237</c:v>
                      </c:pt>
                      <c:pt idx="9">
                        <c:v>83.546762589928065</c:v>
                      </c:pt>
                      <c:pt idx="10">
                        <c:v>81.781690140845072</c:v>
                      </c:pt>
                      <c:pt idx="11">
                        <c:v>90.876870748299325</c:v>
                      </c:pt>
                      <c:pt idx="12">
                        <c:v>94.540983606557376</c:v>
                      </c:pt>
                      <c:pt idx="13">
                        <c:v>91.3</c:v>
                      </c:pt>
                    </c:numCache>
                  </c:numRef>
                </c:val>
                <c:smooth val="0"/>
                <c:extLst xmlns:c15="http://schemas.microsoft.com/office/drawing/2012/chart">
                  <c:ext xmlns:c16="http://schemas.microsoft.com/office/drawing/2014/chart" uri="{C3380CC4-5D6E-409C-BE32-E72D297353CC}">
                    <c16:uniqueId val="{00000008-9857-4CD2-8916-DA1A4F47C66D}"/>
                  </c:ext>
                </c:extLst>
              </c15:ser>
            </c15:filteredLineSeries>
          </c:ext>
        </c:extLst>
      </c:lineChart>
      <c:catAx>
        <c:axId val="-1343673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ended March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657360"/>
        <c:crosses val="autoZero"/>
        <c:auto val="1"/>
        <c:lblAlgn val="ctr"/>
        <c:lblOffset val="100"/>
        <c:noMultiLvlLbl val="0"/>
      </c:catAx>
      <c:valAx>
        <c:axId val="-1343657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Dollars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673680"/>
        <c:crosses val="autoZero"/>
        <c:crossBetween val="between"/>
      </c:valAx>
      <c:spPr>
        <a:noFill/>
        <a:ln>
          <a:noFill/>
        </a:ln>
        <a:effectLst/>
      </c:spPr>
    </c:plotArea>
    <c:legend>
      <c:legendPos val="r"/>
      <c:layout>
        <c:manualLayout>
          <c:xMode val="edge"/>
          <c:yMode val="edge"/>
          <c:x val="0.81816504069066842"/>
          <c:y val="0.34750656167979005"/>
          <c:w val="0.16925634295713038"/>
          <c:h val="0.264239911187572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90123806397104"/>
          <c:y val="6.0528095068190964E-2"/>
          <c:w val="0.65133725667407028"/>
          <c:h val="0.74220540868145668"/>
        </c:manualLayout>
      </c:layout>
      <c:lineChart>
        <c:grouping val="standard"/>
        <c:varyColors val="0"/>
        <c:ser>
          <c:idx val="0"/>
          <c:order val="0"/>
          <c:tx>
            <c:v>Base rate (1-3 children)</c:v>
          </c:tx>
          <c:spPr>
            <a:ln w="28575" cap="rnd">
              <a:solidFill>
                <a:schemeClr val="accent1"/>
              </a:solidFill>
              <a:round/>
            </a:ln>
            <a:effectLst/>
          </c:spPr>
          <c:marker>
            <c:symbol val="none"/>
          </c:marker>
          <c:dLbls>
            <c:dLbl>
              <c:idx val="0"/>
              <c:layout>
                <c:manualLayout>
                  <c:x val="-7.9041912440854702E-3"/>
                  <c:y val="0.114395930212961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A6-40F5-B01E-193B908D3F5B}"/>
                </c:ext>
              </c:extLst>
            </c:dLbl>
            <c:dLbl>
              <c:idx val="9"/>
              <c:layout>
                <c:manualLayout>
                  <c:x val="-9.8802390551068382E-3"/>
                  <c:y val="0.132846886698923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A6-40F5-B01E-193B908D3F5B}"/>
                </c:ext>
              </c:extLst>
            </c:dLbl>
            <c:dLbl>
              <c:idx val="13"/>
              <c:layout>
                <c:manualLayout>
                  <c:x val="3.1616764976341742E-2"/>
                  <c:y val="-4.0592104269115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A6-40F5-B01E-193B908D3F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IWTC!$G$34:$G$47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IWTC!$E$34:$E$47</c:f>
              <c:numCache>
                <c:formatCode>_("$"* #,##0.00_);_("$"* \(#,##0.00\);_("$"* "-"??_);_(@_)</c:formatCode>
                <c:ptCount val="14"/>
                <c:pt idx="0">
                  <c:v>87.777777777777786</c:v>
                </c:pt>
                <c:pt idx="1">
                  <c:v>83.15789473684211</c:v>
                </c:pt>
                <c:pt idx="2">
                  <c:v>80.33898305084746</c:v>
                </c:pt>
                <c:pt idx="3">
                  <c:v>80.000000000000014</c:v>
                </c:pt>
                <c:pt idx="4">
                  <c:v>77.387755102040828</c:v>
                </c:pt>
                <c:pt idx="5">
                  <c:v>74.940711462450594</c:v>
                </c:pt>
                <c:pt idx="6">
                  <c:v>73.204633204633211</c:v>
                </c:pt>
                <c:pt idx="7">
                  <c:v>71.011235955056179</c:v>
                </c:pt>
                <c:pt idx="8">
                  <c:v>69.197080291970806</c:v>
                </c:pt>
                <c:pt idx="9">
                  <c:v>82.410071942446052</c:v>
                </c:pt>
                <c:pt idx="10">
                  <c:v>80.669014084507054</c:v>
                </c:pt>
                <c:pt idx="11">
                  <c:v>77.925170068027214</c:v>
                </c:pt>
                <c:pt idx="12">
                  <c:v>75.114754098360649</c:v>
                </c:pt>
                <c:pt idx="13">
                  <c:v>72.5</c:v>
                </c:pt>
              </c:numCache>
            </c:numRef>
          </c:val>
          <c:smooth val="0"/>
          <c:extLst>
            <c:ext xmlns:c16="http://schemas.microsoft.com/office/drawing/2014/chart" uri="{C3380CC4-5D6E-409C-BE32-E72D297353CC}">
              <c16:uniqueId val="{00000003-67A6-40F5-B01E-193B908D3F5B}"/>
            </c:ext>
          </c:extLst>
        </c:ser>
        <c:ser>
          <c:idx val="1"/>
          <c:order val="1"/>
          <c:tx>
            <c:v>4th and subsequent children</c:v>
          </c:tx>
          <c:spPr>
            <a:ln w="28575" cap="rnd">
              <a:solidFill>
                <a:schemeClr val="accent2"/>
              </a:solidFill>
              <a:round/>
            </a:ln>
            <a:effectLst/>
          </c:spPr>
          <c:marker>
            <c:symbol val="none"/>
          </c:marker>
          <c:dLbls>
            <c:dLbl>
              <c:idx val="0"/>
              <c:layout>
                <c:manualLayout>
                  <c:x val="-7.9041912440854702E-3"/>
                  <c:y val="-7.3803825943846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A6-40F5-B01E-193B908D3F5B}"/>
                </c:ext>
              </c:extLst>
            </c:dLbl>
            <c:dLbl>
              <c:idx val="13"/>
              <c:layout>
                <c:manualLayout>
                  <c:x val="-6.1257482141662545E-2"/>
                  <c:y val="-8.85645911326155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A6-40F5-B01E-193B908D3F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IWTC!$G$34:$G$47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IWTC!$J$34:$J$47</c:f>
              <c:numCache>
                <c:formatCode>_("$"* #,##0.00_);_("$"* \(#,##0.00\);_("$"* "-"??_);_(@_)</c:formatCode>
                <c:ptCount val="14"/>
                <c:pt idx="0">
                  <c:v>21.944444444444446</c:v>
                </c:pt>
                <c:pt idx="1">
                  <c:v>20.789473684210527</c:v>
                </c:pt>
                <c:pt idx="2">
                  <c:v>20.084745762711865</c:v>
                </c:pt>
                <c:pt idx="3">
                  <c:v>20.000000000000004</c:v>
                </c:pt>
                <c:pt idx="4">
                  <c:v>19.346938775510207</c:v>
                </c:pt>
                <c:pt idx="5">
                  <c:v>18.735177865612648</c:v>
                </c:pt>
                <c:pt idx="6">
                  <c:v>18.301158301158303</c:v>
                </c:pt>
                <c:pt idx="7">
                  <c:v>17.752808988764045</c:v>
                </c:pt>
                <c:pt idx="8">
                  <c:v>17.299270072992702</c:v>
                </c:pt>
                <c:pt idx="9">
                  <c:v>17.050359712230218</c:v>
                </c:pt>
                <c:pt idx="10">
                  <c:v>16.690140845070424</c:v>
                </c:pt>
                <c:pt idx="11">
                  <c:v>16.122448979591837</c:v>
                </c:pt>
                <c:pt idx="12">
                  <c:v>15.540983606557377</c:v>
                </c:pt>
                <c:pt idx="13">
                  <c:v>15</c:v>
                </c:pt>
              </c:numCache>
            </c:numRef>
          </c:val>
          <c:smooth val="0"/>
          <c:extLst>
            <c:ext xmlns:c16="http://schemas.microsoft.com/office/drawing/2014/chart" uri="{C3380CC4-5D6E-409C-BE32-E72D297353CC}">
              <c16:uniqueId val="{00000006-67A6-40F5-B01E-193B908D3F5B}"/>
            </c:ext>
          </c:extLst>
        </c:ser>
        <c:dLbls>
          <c:showLegendKey val="0"/>
          <c:showVal val="0"/>
          <c:showCatName val="0"/>
          <c:showSerName val="0"/>
          <c:showPercent val="0"/>
          <c:showBubbleSize val="0"/>
        </c:dLbls>
        <c:smooth val="0"/>
        <c:axId val="-1343672592"/>
        <c:axId val="-1343670960"/>
      </c:lineChart>
      <c:catAx>
        <c:axId val="-134367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ended March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670960"/>
        <c:crosses val="autoZero"/>
        <c:auto val="1"/>
        <c:lblAlgn val="ctr"/>
        <c:lblOffset val="100"/>
        <c:noMultiLvlLbl val="0"/>
      </c:catAx>
      <c:valAx>
        <c:axId val="-1343670960"/>
        <c:scaling>
          <c:orientation val="minMax"/>
          <c:max val="9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Dollars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672592"/>
        <c:crosses val="autoZero"/>
        <c:crossBetween val="between"/>
      </c:valAx>
      <c:spPr>
        <a:noFill/>
        <a:ln>
          <a:noFill/>
        </a:ln>
        <a:effectLst/>
      </c:spPr>
    </c:plotArea>
    <c:legend>
      <c:legendPos val="r"/>
      <c:layout>
        <c:manualLayout>
          <c:xMode val="edge"/>
          <c:yMode val="edge"/>
          <c:x val="0.79274763543987536"/>
          <c:y val="0.40625554952744503"/>
          <c:w val="0.19209492786368687"/>
          <c:h val="0.328114618819761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83794191257936"/>
          <c:y val="9.0708313778658456E-2"/>
          <c:w val="0.67809702708730035"/>
          <c:h val="0.75392849072673862"/>
        </c:manualLayout>
      </c:layout>
      <c:lineChart>
        <c:grouping val="standard"/>
        <c:varyColors val="0"/>
        <c:ser>
          <c:idx val="0"/>
          <c:order val="0"/>
          <c:tx>
            <c:v>Family One (one child, off-benefit)</c:v>
          </c:tx>
          <c:spPr>
            <a:ln w="28575" cap="rnd">
              <a:solidFill>
                <a:schemeClr val="accent1"/>
              </a:solidFill>
              <a:round/>
            </a:ln>
            <a:effectLst/>
          </c:spPr>
          <c:marker>
            <c:symbol val="none"/>
          </c:marker>
          <c:dLbls>
            <c:dLbl>
              <c:idx val="0"/>
              <c:layout>
                <c:manualLayout>
                  <c:x val="1.9975029640113061E-3"/>
                  <c:y val="-4.84114746630733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00-4E25-AC6C-5B486719ECF6}"/>
                </c:ext>
              </c:extLst>
            </c:dLbl>
            <c:dLbl>
              <c:idx val="1"/>
              <c:delete val="1"/>
              <c:extLst>
                <c:ext xmlns:c15="http://schemas.microsoft.com/office/drawing/2012/chart" uri="{CE6537A1-D6FC-4f65-9D91-7224C49458BB}"/>
                <c:ext xmlns:c16="http://schemas.microsoft.com/office/drawing/2014/chart" uri="{C3380CC4-5D6E-409C-BE32-E72D297353CC}">
                  <c16:uniqueId val="{00000001-3200-4E25-AC6C-5B486719ECF6}"/>
                </c:ext>
              </c:extLst>
            </c:dLbl>
            <c:dLbl>
              <c:idx val="2"/>
              <c:delete val="1"/>
              <c:extLst>
                <c:ext xmlns:c15="http://schemas.microsoft.com/office/drawing/2012/chart" uri="{CE6537A1-D6FC-4f65-9D91-7224C49458BB}"/>
                <c:ext xmlns:c16="http://schemas.microsoft.com/office/drawing/2014/chart" uri="{C3380CC4-5D6E-409C-BE32-E72D297353CC}">
                  <c16:uniqueId val="{00000002-3200-4E25-AC6C-5B486719ECF6}"/>
                </c:ext>
              </c:extLst>
            </c:dLbl>
            <c:dLbl>
              <c:idx val="3"/>
              <c:delete val="1"/>
              <c:extLst>
                <c:ext xmlns:c15="http://schemas.microsoft.com/office/drawing/2012/chart" uri="{CE6537A1-D6FC-4f65-9D91-7224C49458BB}"/>
                <c:ext xmlns:c16="http://schemas.microsoft.com/office/drawing/2014/chart" uri="{C3380CC4-5D6E-409C-BE32-E72D297353CC}">
                  <c16:uniqueId val="{00000003-3200-4E25-AC6C-5B486719ECF6}"/>
                </c:ext>
              </c:extLst>
            </c:dLbl>
            <c:dLbl>
              <c:idx val="4"/>
              <c:delete val="1"/>
              <c:extLst>
                <c:ext xmlns:c15="http://schemas.microsoft.com/office/drawing/2012/chart" uri="{CE6537A1-D6FC-4f65-9D91-7224C49458BB}"/>
                <c:ext xmlns:c16="http://schemas.microsoft.com/office/drawing/2014/chart" uri="{C3380CC4-5D6E-409C-BE32-E72D297353CC}">
                  <c16:uniqueId val="{00000004-3200-4E25-AC6C-5B486719ECF6}"/>
                </c:ext>
              </c:extLst>
            </c:dLbl>
            <c:dLbl>
              <c:idx val="5"/>
              <c:delete val="1"/>
              <c:extLst>
                <c:ext xmlns:c15="http://schemas.microsoft.com/office/drawing/2012/chart" uri="{CE6537A1-D6FC-4f65-9D91-7224C49458BB}"/>
                <c:ext xmlns:c16="http://schemas.microsoft.com/office/drawing/2014/chart" uri="{C3380CC4-5D6E-409C-BE32-E72D297353CC}">
                  <c16:uniqueId val="{00000005-3200-4E25-AC6C-5B486719ECF6}"/>
                </c:ext>
              </c:extLst>
            </c:dLbl>
            <c:dLbl>
              <c:idx val="6"/>
              <c:delete val="1"/>
              <c:extLst>
                <c:ext xmlns:c15="http://schemas.microsoft.com/office/drawing/2012/chart" uri="{CE6537A1-D6FC-4f65-9D91-7224C49458BB}"/>
                <c:ext xmlns:c16="http://schemas.microsoft.com/office/drawing/2014/chart" uri="{C3380CC4-5D6E-409C-BE32-E72D297353CC}">
                  <c16:uniqueId val="{00000006-3200-4E25-AC6C-5B486719ECF6}"/>
                </c:ext>
              </c:extLst>
            </c:dLbl>
            <c:dLbl>
              <c:idx val="7"/>
              <c:delete val="1"/>
              <c:extLst>
                <c:ext xmlns:c15="http://schemas.microsoft.com/office/drawing/2012/chart" uri="{CE6537A1-D6FC-4f65-9D91-7224C49458BB}"/>
                <c:ext xmlns:c16="http://schemas.microsoft.com/office/drawing/2014/chart" uri="{C3380CC4-5D6E-409C-BE32-E72D297353CC}">
                  <c16:uniqueId val="{00000007-3200-4E25-AC6C-5B486719ECF6}"/>
                </c:ext>
              </c:extLst>
            </c:dLbl>
            <c:dLbl>
              <c:idx val="8"/>
              <c:delete val="1"/>
              <c:extLst>
                <c:ext xmlns:c15="http://schemas.microsoft.com/office/drawing/2012/chart" uri="{CE6537A1-D6FC-4f65-9D91-7224C49458BB}"/>
                <c:ext xmlns:c16="http://schemas.microsoft.com/office/drawing/2014/chart" uri="{C3380CC4-5D6E-409C-BE32-E72D297353CC}">
                  <c16:uniqueId val="{00000008-3200-4E25-AC6C-5B486719ECF6}"/>
                </c:ext>
              </c:extLst>
            </c:dLbl>
            <c:dLbl>
              <c:idx val="9"/>
              <c:delete val="1"/>
              <c:extLst>
                <c:ext xmlns:c15="http://schemas.microsoft.com/office/drawing/2012/chart" uri="{CE6537A1-D6FC-4f65-9D91-7224C49458BB}"/>
                <c:ext xmlns:c16="http://schemas.microsoft.com/office/drawing/2014/chart" uri="{C3380CC4-5D6E-409C-BE32-E72D297353CC}">
                  <c16:uniqueId val="{00000009-3200-4E25-AC6C-5B486719ECF6}"/>
                </c:ext>
              </c:extLst>
            </c:dLbl>
            <c:dLbl>
              <c:idx val="10"/>
              <c:delete val="1"/>
              <c:extLst>
                <c:ext xmlns:c15="http://schemas.microsoft.com/office/drawing/2012/chart" uri="{CE6537A1-D6FC-4f65-9D91-7224C49458BB}"/>
                <c:ext xmlns:c16="http://schemas.microsoft.com/office/drawing/2014/chart" uri="{C3380CC4-5D6E-409C-BE32-E72D297353CC}">
                  <c16:uniqueId val="{0000000A-3200-4E25-AC6C-5B486719ECF6}"/>
                </c:ext>
              </c:extLst>
            </c:dLbl>
            <c:dLbl>
              <c:idx val="11"/>
              <c:delete val="1"/>
              <c:extLst>
                <c:ext xmlns:c15="http://schemas.microsoft.com/office/drawing/2012/chart" uri="{CE6537A1-D6FC-4f65-9D91-7224C49458BB}"/>
                <c:ext xmlns:c16="http://schemas.microsoft.com/office/drawing/2014/chart" uri="{C3380CC4-5D6E-409C-BE32-E72D297353CC}">
                  <c16:uniqueId val="{0000000B-3200-4E25-AC6C-5B486719ECF6}"/>
                </c:ext>
              </c:extLst>
            </c:dLbl>
            <c:dLbl>
              <c:idx val="12"/>
              <c:layout>
                <c:manualLayout>
                  <c:x val="-6.3180827886710242E-2"/>
                  <c:y val="-9.713024282560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200-4E25-AC6C-5B486719ECF6}"/>
                </c:ext>
              </c:extLst>
            </c:dLbl>
            <c:dLbl>
              <c:idx val="13"/>
              <c:layout>
                <c:manualLayout>
                  <c:x val="-3.5955053352203184E-2"/>
                  <c:y val="-9.6822949326146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200-4E25-AC6C-5B486719EC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'All families wage indexed'!$B$6:$B$19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'All families wage indexed'!$C$6:$C$19</c:f>
              <c:numCache>
                <c:formatCode>_("$"* #,##0.00_);_("$"* \(#,##0.00\);_("$"* "-"??_);_(@_)</c:formatCode>
                <c:ptCount val="14"/>
                <c:pt idx="0">
                  <c:v>207.74074074074076</c:v>
                </c:pt>
                <c:pt idx="1">
                  <c:v>199.78684210526319</c:v>
                </c:pt>
                <c:pt idx="2">
                  <c:v>195.87983050847458</c:v>
                </c:pt>
                <c:pt idx="3">
                  <c:v>196.22666666666669</c:v>
                </c:pt>
                <c:pt idx="4">
                  <c:v>190.94138775510208</c:v>
                </c:pt>
                <c:pt idx="5">
                  <c:v>190.761581027668</c:v>
                </c:pt>
                <c:pt idx="6">
                  <c:v>186.34239382239386</c:v>
                </c:pt>
                <c:pt idx="7">
                  <c:v>180.75910112359551</c:v>
                </c:pt>
                <c:pt idx="8">
                  <c:v>176.14408759124089</c:v>
                </c:pt>
                <c:pt idx="9">
                  <c:v>187.81539568345326</c:v>
                </c:pt>
                <c:pt idx="10">
                  <c:v>183.84746478873242</c:v>
                </c:pt>
                <c:pt idx="11">
                  <c:v>193.96380952380952</c:v>
                </c:pt>
                <c:pt idx="12">
                  <c:v>192.23160655737706</c:v>
                </c:pt>
                <c:pt idx="13">
                  <c:v>185.5</c:v>
                </c:pt>
              </c:numCache>
            </c:numRef>
          </c:val>
          <c:smooth val="0"/>
          <c:extLst>
            <c:ext xmlns:c16="http://schemas.microsoft.com/office/drawing/2014/chart" uri="{C3380CC4-5D6E-409C-BE32-E72D297353CC}">
              <c16:uniqueId val="{0000000E-3200-4E25-AC6C-5B486719ECF6}"/>
            </c:ext>
          </c:extLst>
        </c:ser>
        <c:ser>
          <c:idx val="1"/>
          <c:order val="1"/>
          <c:tx>
            <c:v>Family Two (one child, on-benefit)</c:v>
          </c:tx>
          <c:spPr>
            <a:ln w="28575" cap="rnd">
              <a:solidFill>
                <a:schemeClr val="accent2"/>
              </a:solidFill>
              <a:round/>
            </a:ln>
            <a:effectLst/>
          </c:spPr>
          <c:marker>
            <c:symbol val="none"/>
          </c:marker>
          <c:dLbls>
            <c:dLbl>
              <c:idx val="0"/>
              <c:layout>
                <c:manualLayout>
                  <c:x val="-1.5980023712090303E-2"/>
                  <c:y val="-7.2617211994609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200-4E25-AC6C-5B486719ECF6}"/>
                </c:ext>
              </c:extLst>
            </c:dLbl>
            <c:dLbl>
              <c:idx val="1"/>
              <c:delete val="1"/>
              <c:extLst>
                <c:ext xmlns:c15="http://schemas.microsoft.com/office/drawing/2012/chart" uri="{CE6537A1-D6FC-4f65-9D91-7224C49458BB}"/>
                <c:ext xmlns:c16="http://schemas.microsoft.com/office/drawing/2014/chart" uri="{C3380CC4-5D6E-409C-BE32-E72D297353CC}">
                  <c16:uniqueId val="{00000010-3200-4E25-AC6C-5B486719ECF6}"/>
                </c:ext>
              </c:extLst>
            </c:dLbl>
            <c:dLbl>
              <c:idx val="2"/>
              <c:delete val="1"/>
              <c:extLst>
                <c:ext xmlns:c15="http://schemas.microsoft.com/office/drawing/2012/chart" uri="{CE6537A1-D6FC-4f65-9D91-7224C49458BB}"/>
                <c:ext xmlns:c16="http://schemas.microsoft.com/office/drawing/2014/chart" uri="{C3380CC4-5D6E-409C-BE32-E72D297353CC}">
                  <c16:uniqueId val="{00000011-3200-4E25-AC6C-5B486719ECF6}"/>
                </c:ext>
              </c:extLst>
            </c:dLbl>
            <c:dLbl>
              <c:idx val="3"/>
              <c:delete val="1"/>
              <c:extLst>
                <c:ext xmlns:c15="http://schemas.microsoft.com/office/drawing/2012/chart" uri="{CE6537A1-D6FC-4f65-9D91-7224C49458BB}"/>
                <c:ext xmlns:c16="http://schemas.microsoft.com/office/drawing/2014/chart" uri="{C3380CC4-5D6E-409C-BE32-E72D297353CC}">
                  <c16:uniqueId val="{00000012-3200-4E25-AC6C-5B486719ECF6}"/>
                </c:ext>
              </c:extLst>
            </c:dLbl>
            <c:dLbl>
              <c:idx val="4"/>
              <c:delete val="1"/>
              <c:extLst>
                <c:ext xmlns:c15="http://schemas.microsoft.com/office/drawing/2012/chart" uri="{CE6537A1-D6FC-4f65-9D91-7224C49458BB}"/>
                <c:ext xmlns:c16="http://schemas.microsoft.com/office/drawing/2014/chart" uri="{C3380CC4-5D6E-409C-BE32-E72D297353CC}">
                  <c16:uniqueId val="{00000013-3200-4E25-AC6C-5B486719ECF6}"/>
                </c:ext>
              </c:extLst>
            </c:dLbl>
            <c:dLbl>
              <c:idx val="5"/>
              <c:delete val="1"/>
              <c:extLst>
                <c:ext xmlns:c15="http://schemas.microsoft.com/office/drawing/2012/chart" uri="{CE6537A1-D6FC-4f65-9D91-7224C49458BB}"/>
                <c:ext xmlns:c16="http://schemas.microsoft.com/office/drawing/2014/chart" uri="{C3380CC4-5D6E-409C-BE32-E72D297353CC}">
                  <c16:uniqueId val="{00000014-3200-4E25-AC6C-5B486719ECF6}"/>
                </c:ext>
              </c:extLst>
            </c:dLbl>
            <c:dLbl>
              <c:idx val="6"/>
              <c:delete val="1"/>
              <c:extLst>
                <c:ext xmlns:c15="http://schemas.microsoft.com/office/drawing/2012/chart" uri="{CE6537A1-D6FC-4f65-9D91-7224C49458BB}"/>
                <c:ext xmlns:c16="http://schemas.microsoft.com/office/drawing/2014/chart" uri="{C3380CC4-5D6E-409C-BE32-E72D297353CC}">
                  <c16:uniqueId val="{00000015-3200-4E25-AC6C-5B486719ECF6}"/>
                </c:ext>
              </c:extLst>
            </c:dLbl>
            <c:dLbl>
              <c:idx val="7"/>
              <c:delete val="1"/>
              <c:extLst>
                <c:ext xmlns:c15="http://schemas.microsoft.com/office/drawing/2012/chart" uri="{CE6537A1-D6FC-4f65-9D91-7224C49458BB}"/>
                <c:ext xmlns:c16="http://schemas.microsoft.com/office/drawing/2014/chart" uri="{C3380CC4-5D6E-409C-BE32-E72D297353CC}">
                  <c16:uniqueId val="{00000016-3200-4E25-AC6C-5B486719ECF6}"/>
                </c:ext>
              </c:extLst>
            </c:dLbl>
            <c:dLbl>
              <c:idx val="8"/>
              <c:delete val="1"/>
              <c:extLst>
                <c:ext xmlns:c15="http://schemas.microsoft.com/office/drawing/2012/chart" uri="{CE6537A1-D6FC-4f65-9D91-7224C49458BB}"/>
                <c:ext xmlns:c16="http://schemas.microsoft.com/office/drawing/2014/chart" uri="{C3380CC4-5D6E-409C-BE32-E72D297353CC}">
                  <c16:uniqueId val="{00000017-3200-4E25-AC6C-5B486719ECF6}"/>
                </c:ext>
              </c:extLst>
            </c:dLbl>
            <c:dLbl>
              <c:idx val="9"/>
              <c:delete val="1"/>
              <c:extLst>
                <c:ext xmlns:c15="http://schemas.microsoft.com/office/drawing/2012/chart" uri="{CE6537A1-D6FC-4f65-9D91-7224C49458BB}"/>
                <c:ext xmlns:c16="http://schemas.microsoft.com/office/drawing/2014/chart" uri="{C3380CC4-5D6E-409C-BE32-E72D297353CC}">
                  <c16:uniqueId val="{00000018-3200-4E25-AC6C-5B486719ECF6}"/>
                </c:ext>
              </c:extLst>
            </c:dLbl>
            <c:dLbl>
              <c:idx val="10"/>
              <c:delete val="1"/>
              <c:extLst>
                <c:ext xmlns:c15="http://schemas.microsoft.com/office/drawing/2012/chart" uri="{CE6537A1-D6FC-4f65-9D91-7224C49458BB}"/>
                <c:ext xmlns:c16="http://schemas.microsoft.com/office/drawing/2014/chart" uri="{C3380CC4-5D6E-409C-BE32-E72D297353CC}">
                  <c16:uniqueId val="{00000019-3200-4E25-AC6C-5B486719ECF6}"/>
                </c:ext>
              </c:extLst>
            </c:dLbl>
            <c:dLbl>
              <c:idx val="11"/>
              <c:delete val="1"/>
              <c:extLst>
                <c:ext xmlns:c15="http://schemas.microsoft.com/office/drawing/2012/chart" uri="{CE6537A1-D6FC-4f65-9D91-7224C49458BB}"/>
                <c:ext xmlns:c16="http://schemas.microsoft.com/office/drawing/2014/chart" uri="{C3380CC4-5D6E-409C-BE32-E72D297353CC}">
                  <c16:uniqueId val="{0000001A-3200-4E25-AC6C-5B486719ECF6}"/>
                </c:ext>
              </c:extLst>
            </c:dLbl>
            <c:dLbl>
              <c:idx val="12"/>
              <c:layout>
                <c:manualLayout>
                  <c:x val="-7.8431372549019607E-2"/>
                  <c:y val="-8.3885209713024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200-4E25-AC6C-5B486719ECF6}"/>
                </c:ext>
              </c:extLst>
            </c:dLbl>
            <c:dLbl>
              <c:idx val="13"/>
              <c:layout>
                <c:manualLayout>
                  <c:x val="-3.5955053352203184E-2"/>
                  <c:y val="-6.8582922439353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200-4E25-AC6C-5B486719EC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'All families wage indexed'!$B$6:$B$19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'All families wage indexed'!$D$6:$D$19</c:f>
              <c:numCache>
                <c:formatCode>_("$"* #,##0.00_);_("$"* \(#,##0.00\);_("$"* "-"??_);_(@_)</c:formatCode>
                <c:ptCount val="14"/>
                <c:pt idx="0">
                  <c:v>119.96296296296296</c:v>
                </c:pt>
                <c:pt idx="1">
                  <c:v>116.62894736842107</c:v>
                </c:pt>
                <c:pt idx="2">
                  <c:v>115.54084745762712</c:v>
                </c:pt>
                <c:pt idx="3">
                  <c:v>116.22666666666669</c:v>
                </c:pt>
                <c:pt idx="4">
                  <c:v>113.55363265306124</c:v>
                </c:pt>
                <c:pt idx="5">
                  <c:v>115.82086956521741</c:v>
                </c:pt>
                <c:pt idx="6">
                  <c:v>113.13776061776065</c:v>
                </c:pt>
                <c:pt idx="7">
                  <c:v>109.74786516853933</c:v>
                </c:pt>
                <c:pt idx="8">
                  <c:v>106.94408759124089</c:v>
                </c:pt>
                <c:pt idx="9">
                  <c:v>105.40532374100721</c:v>
                </c:pt>
                <c:pt idx="10">
                  <c:v>103.17845070422537</c:v>
                </c:pt>
                <c:pt idx="11">
                  <c:v>116.03863945578232</c:v>
                </c:pt>
                <c:pt idx="12">
                  <c:v>117.1168524590164</c:v>
                </c:pt>
                <c:pt idx="13">
                  <c:v>113</c:v>
                </c:pt>
              </c:numCache>
            </c:numRef>
          </c:val>
          <c:smooth val="0"/>
          <c:extLst>
            <c:ext xmlns:c16="http://schemas.microsoft.com/office/drawing/2014/chart" uri="{C3380CC4-5D6E-409C-BE32-E72D297353CC}">
              <c16:uniqueId val="{0000001D-3200-4E25-AC6C-5B486719ECF6}"/>
            </c:ext>
          </c:extLst>
        </c:ser>
        <c:dLbls>
          <c:showLegendKey val="0"/>
          <c:showVal val="0"/>
          <c:showCatName val="0"/>
          <c:showSerName val="0"/>
          <c:showPercent val="0"/>
          <c:showBubbleSize val="0"/>
        </c:dLbls>
        <c:smooth val="0"/>
        <c:axId val="-1343655728"/>
        <c:axId val="-1343670416"/>
      </c:lineChart>
      <c:catAx>
        <c:axId val="-13436557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ended March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670416"/>
        <c:crosses val="autoZero"/>
        <c:auto val="1"/>
        <c:lblAlgn val="ctr"/>
        <c:lblOffset val="100"/>
        <c:noMultiLvlLbl val="0"/>
      </c:catAx>
      <c:valAx>
        <c:axId val="-1343670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Maximum weekly rates ($NZD)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655728"/>
        <c:crosses val="autoZero"/>
        <c:crossBetween val="between"/>
      </c:valAx>
      <c:spPr>
        <a:noFill/>
        <a:ln>
          <a:noFill/>
        </a:ln>
        <a:effectLst/>
      </c:spPr>
    </c:plotArea>
    <c:legend>
      <c:legendPos val="b"/>
      <c:layout>
        <c:manualLayout>
          <c:xMode val="edge"/>
          <c:yMode val="edge"/>
          <c:x val="0.82617381160688252"/>
          <c:y val="0.3165993985851106"/>
          <c:w val="0.16155250201567942"/>
          <c:h val="0.352615111852740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0.15755</cdr:x>
      <cdr:y>0.07751</cdr:y>
    </cdr:from>
    <cdr:to>
      <cdr:x>0.31422</cdr:x>
      <cdr:y>0.1375</cdr:y>
    </cdr:to>
    <cdr:sp macro="" textlink="">
      <cdr:nvSpPr>
        <cdr:cNvPr id="2" name="Text Box 1"/>
        <cdr:cNvSpPr txBox="1"/>
      </cdr:nvSpPr>
      <cdr:spPr>
        <a:xfrm xmlns:a="http://schemas.openxmlformats.org/drawingml/2006/main">
          <a:off x="842360" y="266753"/>
          <a:ext cx="837674" cy="206477"/>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en-US" sz="900"/>
            <a:t>$3.67 billion</a:t>
          </a:r>
          <a:endParaRPr lang="en-NZ" sz="900"/>
        </a:p>
      </cdr:txBody>
    </cdr:sp>
  </cdr:relSizeAnchor>
  <cdr:relSizeAnchor xmlns:cdr="http://schemas.openxmlformats.org/drawingml/2006/chartDrawing">
    <cdr:from>
      <cdr:x>0.14966</cdr:x>
      <cdr:y>0.24762</cdr:y>
    </cdr:from>
    <cdr:to>
      <cdr:x>0.30633</cdr:x>
      <cdr:y>0.30762</cdr:y>
    </cdr:to>
    <cdr:sp macro="" textlink="">
      <cdr:nvSpPr>
        <cdr:cNvPr id="3" name="Text Box 1"/>
        <cdr:cNvSpPr txBox="1"/>
      </cdr:nvSpPr>
      <cdr:spPr>
        <a:xfrm xmlns:a="http://schemas.openxmlformats.org/drawingml/2006/main">
          <a:off x="800170" y="852244"/>
          <a:ext cx="837674" cy="206477"/>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$2.51 billion</a:t>
          </a:r>
          <a:endParaRPr lang="en-NZ" sz="900"/>
        </a:p>
      </cdr:txBody>
    </cdr:sp>
  </cdr:relSizeAnchor>
  <cdr:relSizeAnchor xmlns:cdr="http://schemas.openxmlformats.org/drawingml/2006/chartDrawing">
    <cdr:from>
      <cdr:x>0.812</cdr:x>
      <cdr:y>0.16657</cdr:y>
    </cdr:from>
    <cdr:to>
      <cdr:x>0.96867</cdr:x>
      <cdr:y>0.22656</cdr:y>
    </cdr:to>
    <cdr:sp macro="" textlink="">
      <cdr:nvSpPr>
        <cdr:cNvPr id="4" name="Text Box 1"/>
        <cdr:cNvSpPr txBox="1"/>
      </cdr:nvSpPr>
      <cdr:spPr>
        <a:xfrm xmlns:a="http://schemas.openxmlformats.org/drawingml/2006/main">
          <a:off x="4341533" y="573275"/>
          <a:ext cx="837674" cy="206477"/>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$3.12 billion</a:t>
          </a:r>
          <a:endParaRPr lang="en-NZ"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DD4DDAAAAEA439446F31CB813A556" ma:contentTypeVersion="12" ma:contentTypeDescription="Create a new document." ma:contentTypeScope="" ma:versionID="3a046fdb3bc5ab0cb07797a03d0af1ed">
  <xsd:schema xmlns:xsd="http://www.w3.org/2001/XMLSchema" xmlns:xs="http://www.w3.org/2001/XMLSchema" xmlns:p="http://schemas.microsoft.com/office/2006/metadata/properties" xmlns:ns2="88719e9f-afdb-4be4-b5d4-c74b1d7e1746" xmlns:ns3="394c6527-4d5e-41ec-897d-9eef77429e01" targetNamespace="http://schemas.microsoft.com/office/2006/metadata/properties" ma:root="true" ma:fieldsID="195c239483e9026f713578c26a1e8e6c" ns2:_="" ns3:_="">
    <xsd:import namespace="88719e9f-afdb-4be4-b5d4-c74b1d7e1746"/>
    <xsd:import namespace="394c6527-4d5e-41ec-897d-9eef77429e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19e9f-afdb-4be4-b5d4-c74b1d7e1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c6527-4d5e-41ec-897d-9eef77429e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96A06-E213-4F52-8BF1-EA362DD6F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19e9f-afdb-4be4-b5d4-c74b1d7e1746"/>
    <ds:schemaRef ds:uri="394c6527-4d5e-41ec-897d-9eef77429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59F62-0D02-4875-92B2-46D72F1FD11C}">
  <ds:schemaRefs>
    <ds:schemaRef ds:uri="http://schemas.openxmlformats.org/officeDocument/2006/bibliography"/>
  </ds:schemaRefs>
</ds:datastoreItem>
</file>

<file path=customXml/itemProps3.xml><?xml version="1.0" encoding="utf-8"?>
<ds:datastoreItem xmlns:ds="http://schemas.openxmlformats.org/officeDocument/2006/customXml" ds:itemID="{39C12CFC-66B5-48CC-BA7C-882431EA7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ABE08A-68C4-47AD-B01E-96E54C483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8894</Words>
  <Characters>50698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Neuwelt-Kearns</dc:creator>
  <cp:keywords/>
  <dc:description/>
  <cp:lastModifiedBy>Janet McAllister</cp:lastModifiedBy>
  <cp:revision>2</cp:revision>
  <cp:lastPrinted>2021-05-03T03:49:00Z</cp:lastPrinted>
  <dcterms:created xsi:type="dcterms:W3CDTF">2021-05-03T03:53:00Z</dcterms:created>
  <dcterms:modified xsi:type="dcterms:W3CDTF">2021-05-03T03:53:00Z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0x010100C8ADD4DDAAAAEA439446F31CB813A556</vt:lpwstr>
  </property>
</Properties>
</file>